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7AB5A9"/>
    <w:tbl>
      <w:tblPr>
        <w:tblStyle w:val="23"/>
        <w:tblW w:w="5099" w:type="pct"/>
        <w:jc w:val="center"/>
        <w:tblLayout w:type="autofit"/>
        <w:tblCellMar>
          <w:top w:w="0" w:type="dxa"/>
          <w:left w:w="108" w:type="dxa"/>
          <w:bottom w:w="0" w:type="dxa"/>
          <w:right w:w="108" w:type="dxa"/>
        </w:tblCellMar>
      </w:tblPr>
      <w:tblGrid>
        <w:gridCol w:w="1813"/>
        <w:gridCol w:w="7657"/>
      </w:tblGrid>
      <w:tr w14:paraId="20CCAA41">
        <w:tblPrEx>
          <w:tblCellMar>
            <w:top w:w="0" w:type="dxa"/>
            <w:left w:w="108" w:type="dxa"/>
            <w:bottom w:w="0" w:type="dxa"/>
            <w:right w:w="108" w:type="dxa"/>
          </w:tblCellMar>
        </w:tblPrEx>
        <w:trPr>
          <w:trHeight w:val="552" w:hRule="atLeast"/>
          <w:jc w:val="center"/>
        </w:trPr>
        <w:tc>
          <w:tcPr>
            <w:tcW w:w="5000" w:type="pct"/>
            <w:gridSpan w:val="2"/>
            <w:vAlign w:val="center"/>
          </w:tcPr>
          <w:p w14:paraId="513ABE37">
            <w:pPr>
              <w:rPr>
                <w:rFonts w:eastAsia="黑体"/>
                <w:b/>
                <w:sz w:val="24"/>
              </w:rPr>
            </w:pPr>
          </w:p>
          <w:p w14:paraId="37CF4342">
            <w:pPr>
              <w:rPr>
                <w:rFonts w:eastAsia="黑体"/>
                <w:b/>
                <w:sz w:val="24"/>
              </w:rPr>
            </w:pPr>
          </w:p>
          <w:p w14:paraId="5615093A">
            <w:pPr>
              <w:rPr>
                <w:rFonts w:eastAsia="黑体"/>
                <w:b/>
                <w:sz w:val="24"/>
              </w:rPr>
            </w:pPr>
          </w:p>
          <w:p w14:paraId="37D48251">
            <w:pPr>
              <w:jc w:val="right"/>
              <w:rPr>
                <w:rFonts w:eastAsia="黑体"/>
                <w:b/>
                <w:sz w:val="24"/>
              </w:rPr>
            </w:pPr>
            <w:r>
              <w:rPr>
                <w:rFonts w:hint="eastAsia" w:eastAsia="黑体"/>
                <w:b/>
                <w:sz w:val="24"/>
              </w:rPr>
              <w:t xml:space="preserve">                                </w:t>
            </w:r>
          </w:p>
        </w:tc>
      </w:tr>
      <w:tr w14:paraId="319E3F11">
        <w:tblPrEx>
          <w:tblCellMar>
            <w:top w:w="0" w:type="dxa"/>
            <w:left w:w="108" w:type="dxa"/>
            <w:bottom w:w="0" w:type="dxa"/>
            <w:right w:w="108" w:type="dxa"/>
          </w:tblCellMar>
        </w:tblPrEx>
        <w:trPr>
          <w:trHeight w:val="1105" w:hRule="atLeast"/>
          <w:jc w:val="center"/>
        </w:trPr>
        <w:tc>
          <w:tcPr>
            <w:tcW w:w="5000" w:type="pct"/>
            <w:gridSpan w:val="2"/>
            <w:vAlign w:val="center"/>
          </w:tcPr>
          <w:p w14:paraId="1E960AD4">
            <w:pPr>
              <w:widowControl/>
              <w:adjustRightInd w:val="0"/>
              <w:snapToGrid w:val="0"/>
              <w:spacing w:after="200" w:line="360" w:lineRule="auto"/>
              <w:jc w:val="center"/>
              <w:rPr>
                <w:rFonts w:hint="eastAsia" w:ascii="华文新魏" w:hAnsi="Tahoma" w:eastAsia="华文新魏"/>
                <w:b/>
                <w:sz w:val="56"/>
                <w:szCs w:val="56"/>
              </w:rPr>
            </w:pPr>
            <w:r>
              <w:rPr>
                <w:rFonts w:hint="eastAsia" w:ascii="华文新魏" w:hAnsi="Tahoma" w:eastAsia="华文新魏"/>
                <w:b/>
                <w:sz w:val="56"/>
                <w:szCs w:val="56"/>
              </w:rPr>
              <w:t>武汉港核心区趸船码头改造提升项目（中华路客运码头）</w:t>
            </w:r>
          </w:p>
          <w:p w14:paraId="45F607B9">
            <w:pPr>
              <w:widowControl/>
              <w:adjustRightInd w:val="0"/>
              <w:snapToGrid w:val="0"/>
              <w:spacing w:after="200" w:line="360" w:lineRule="auto"/>
              <w:jc w:val="center"/>
              <w:rPr>
                <w:rFonts w:ascii="华文中宋" w:hAnsi="华文中宋" w:eastAsia="华文中宋"/>
                <w:b/>
                <w:sz w:val="44"/>
                <w:szCs w:val="48"/>
              </w:rPr>
            </w:pPr>
            <w:r>
              <w:rPr>
                <w:rFonts w:hint="eastAsia" w:ascii="华文新魏" w:hAnsi="Tahoma" w:eastAsia="华文新魏"/>
                <w:b/>
                <w:sz w:val="56"/>
                <w:szCs w:val="48"/>
              </w:rPr>
              <w:t>竣工环境保护验收调查报告</w:t>
            </w:r>
          </w:p>
        </w:tc>
      </w:tr>
      <w:tr w14:paraId="1827EE71">
        <w:tblPrEx>
          <w:tblCellMar>
            <w:top w:w="0" w:type="dxa"/>
            <w:left w:w="108" w:type="dxa"/>
            <w:bottom w:w="0" w:type="dxa"/>
            <w:right w:w="108" w:type="dxa"/>
          </w:tblCellMar>
        </w:tblPrEx>
        <w:trPr>
          <w:trHeight w:val="1381" w:hRule="atLeast"/>
          <w:jc w:val="center"/>
        </w:trPr>
        <w:tc>
          <w:tcPr>
            <w:tcW w:w="5000" w:type="pct"/>
            <w:gridSpan w:val="2"/>
            <w:vAlign w:val="center"/>
          </w:tcPr>
          <w:p w14:paraId="6F5D9AB0">
            <w:pPr>
              <w:widowControl/>
              <w:adjustRightInd w:val="0"/>
              <w:snapToGrid w:val="0"/>
              <w:spacing w:after="200" w:line="360" w:lineRule="auto"/>
              <w:jc w:val="center"/>
              <w:rPr>
                <w:rFonts w:ascii="华文中宋" w:hAnsi="华文中宋" w:eastAsia="华文中宋"/>
                <w:b/>
                <w:sz w:val="44"/>
                <w:szCs w:val="52"/>
              </w:rPr>
            </w:pPr>
          </w:p>
        </w:tc>
      </w:tr>
      <w:tr w14:paraId="3FEABF5D">
        <w:tblPrEx>
          <w:tblCellMar>
            <w:top w:w="0" w:type="dxa"/>
            <w:left w:w="108" w:type="dxa"/>
            <w:bottom w:w="0" w:type="dxa"/>
            <w:right w:w="108" w:type="dxa"/>
          </w:tblCellMar>
        </w:tblPrEx>
        <w:trPr>
          <w:trHeight w:val="4008" w:hRule="atLeast"/>
          <w:jc w:val="center"/>
        </w:trPr>
        <w:tc>
          <w:tcPr>
            <w:tcW w:w="5000" w:type="pct"/>
            <w:gridSpan w:val="2"/>
            <w:vAlign w:val="center"/>
          </w:tcPr>
          <w:p w14:paraId="127AE88A">
            <w:pPr>
              <w:rPr>
                <w:rFonts w:ascii="华文中宋" w:hAnsi="华文中宋" w:eastAsia="华文中宋"/>
                <w:b/>
                <w:sz w:val="22"/>
                <w:szCs w:val="44"/>
              </w:rPr>
            </w:pPr>
          </w:p>
          <w:p w14:paraId="0C0128EE">
            <w:pPr>
              <w:rPr>
                <w:rFonts w:ascii="华文中宋" w:hAnsi="华文中宋" w:eastAsia="华文中宋"/>
                <w:b/>
                <w:sz w:val="22"/>
                <w:szCs w:val="44"/>
              </w:rPr>
            </w:pPr>
          </w:p>
        </w:tc>
      </w:tr>
      <w:tr w14:paraId="7524930B">
        <w:tblPrEx>
          <w:tblCellMar>
            <w:top w:w="0" w:type="dxa"/>
            <w:left w:w="108" w:type="dxa"/>
            <w:bottom w:w="0" w:type="dxa"/>
            <w:right w:w="108" w:type="dxa"/>
          </w:tblCellMar>
        </w:tblPrEx>
        <w:trPr>
          <w:trHeight w:val="1611" w:hRule="atLeast"/>
          <w:jc w:val="center"/>
        </w:trPr>
        <w:tc>
          <w:tcPr>
            <w:tcW w:w="957" w:type="pct"/>
            <w:vAlign w:val="center"/>
          </w:tcPr>
          <w:p w14:paraId="4E481F40">
            <w:pPr>
              <w:widowControl/>
              <w:adjustRightInd w:val="0"/>
              <w:snapToGrid w:val="0"/>
              <w:spacing w:after="200" w:line="360" w:lineRule="auto"/>
              <w:jc w:val="center"/>
              <w:rPr>
                <w:rFonts w:ascii="华文新魏" w:hAnsi="Tahoma" w:eastAsia="华文新魏"/>
                <w:sz w:val="32"/>
                <w:szCs w:val="48"/>
              </w:rPr>
            </w:pPr>
          </w:p>
        </w:tc>
        <w:tc>
          <w:tcPr>
            <w:tcW w:w="4043" w:type="pct"/>
            <w:vAlign w:val="center"/>
          </w:tcPr>
          <w:p w14:paraId="523E6217">
            <w:pPr>
              <w:widowControl/>
              <w:adjustRightInd w:val="0"/>
              <w:snapToGrid w:val="0"/>
              <w:spacing w:after="200" w:line="360" w:lineRule="auto"/>
              <w:rPr>
                <w:rFonts w:hint="eastAsia" w:ascii="华文新魏" w:hAnsi="Tahoma" w:eastAsia="华文新魏"/>
                <w:sz w:val="32"/>
                <w:szCs w:val="48"/>
                <w:lang w:eastAsia="zh-CN"/>
              </w:rPr>
            </w:pPr>
            <w:r>
              <w:rPr>
                <w:rFonts w:hint="eastAsia" w:ascii="华文新魏" w:hAnsi="Tahoma" w:eastAsia="华文新魏"/>
                <w:sz w:val="32"/>
                <w:szCs w:val="48"/>
              </w:rPr>
              <w:t>建设单位：</w:t>
            </w:r>
            <w:r>
              <w:rPr>
                <w:rFonts w:hint="eastAsia" w:ascii="华文新魏" w:hAnsi="Tahoma" w:eastAsia="华文新魏"/>
                <w:sz w:val="32"/>
                <w:szCs w:val="48"/>
                <w:lang w:eastAsia="zh-CN"/>
              </w:rPr>
              <w:t>武汉两江轮渡有限责任公司</w:t>
            </w:r>
          </w:p>
          <w:p w14:paraId="2F2A95DF">
            <w:pPr>
              <w:widowControl/>
              <w:adjustRightInd w:val="0"/>
              <w:snapToGrid w:val="0"/>
              <w:spacing w:after="200" w:line="360" w:lineRule="auto"/>
              <w:rPr>
                <w:rFonts w:hint="eastAsia" w:ascii="华文新魏" w:hAnsi="Tahoma" w:eastAsia="华文新魏"/>
                <w:sz w:val="32"/>
                <w:szCs w:val="48"/>
                <w:lang w:eastAsia="zh-CN"/>
              </w:rPr>
            </w:pPr>
            <w:r>
              <w:rPr>
                <w:rFonts w:hint="eastAsia" w:ascii="华文新魏" w:hAnsi="Tahoma" w:eastAsia="华文新魏"/>
                <w:sz w:val="32"/>
                <w:szCs w:val="48"/>
              </w:rPr>
              <w:t>编制单位：</w:t>
            </w:r>
            <w:r>
              <w:rPr>
                <w:rFonts w:hint="eastAsia" w:ascii="华文新魏" w:hAnsi="Tahoma" w:eastAsia="华文新魏"/>
                <w:sz w:val="32"/>
                <w:szCs w:val="48"/>
                <w:lang w:eastAsia="zh-CN"/>
              </w:rPr>
              <w:t>武汉智汇元环保科技有限公司</w:t>
            </w:r>
          </w:p>
        </w:tc>
      </w:tr>
      <w:tr w14:paraId="4DB12D27">
        <w:tblPrEx>
          <w:tblCellMar>
            <w:top w:w="0" w:type="dxa"/>
            <w:left w:w="108" w:type="dxa"/>
            <w:bottom w:w="0" w:type="dxa"/>
            <w:right w:w="108" w:type="dxa"/>
          </w:tblCellMar>
        </w:tblPrEx>
        <w:trPr>
          <w:trHeight w:val="1260" w:hRule="atLeast"/>
          <w:jc w:val="center"/>
        </w:trPr>
        <w:tc>
          <w:tcPr>
            <w:tcW w:w="5000" w:type="pct"/>
            <w:gridSpan w:val="2"/>
            <w:vAlign w:val="center"/>
          </w:tcPr>
          <w:p w14:paraId="4A03F3D2">
            <w:pPr>
              <w:widowControl/>
              <w:adjustRightInd w:val="0"/>
              <w:snapToGrid w:val="0"/>
              <w:spacing w:after="200" w:line="360" w:lineRule="auto"/>
              <w:jc w:val="center"/>
              <w:rPr>
                <w:rFonts w:ascii="华文新魏" w:hAnsi="Tahoma" w:eastAsia="华文新魏"/>
                <w:sz w:val="32"/>
                <w:szCs w:val="48"/>
              </w:rPr>
            </w:pPr>
            <w:r>
              <w:rPr>
                <w:rFonts w:ascii="华文新魏" w:hAnsi="Tahoma" w:eastAsia="华文新魏"/>
                <w:sz w:val="32"/>
                <w:szCs w:val="30"/>
              </w:rPr>
              <w:t>二</w:t>
            </w:r>
            <w:r>
              <w:rPr>
                <w:rFonts w:hint="eastAsia" w:ascii="宋体" w:hAnsi="宋体" w:cs="宋体"/>
                <w:sz w:val="32"/>
                <w:szCs w:val="30"/>
              </w:rPr>
              <w:t>〇</w:t>
            </w:r>
            <w:r>
              <w:rPr>
                <w:rFonts w:ascii="华文新魏" w:hAnsi="Tahoma" w:eastAsia="华文新魏"/>
                <w:sz w:val="32"/>
                <w:szCs w:val="30"/>
              </w:rPr>
              <w:t>二</w:t>
            </w:r>
            <w:r>
              <w:rPr>
                <w:rFonts w:hint="eastAsia" w:ascii="华文新魏" w:hAnsi="Tahoma" w:eastAsia="华文新魏"/>
                <w:sz w:val="32"/>
                <w:szCs w:val="30"/>
                <w:lang w:eastAsia="zh-CN"/>
              </w:rPr>
              <w:t>四</w:t>
            </w:r>
            <w:r>
              <w:rPr>
                <w:rFonts w:ascii="华文新魏" w:hAnsi="Tahoma" w:eastAsia="华文新魏"/>
                <w:sz w:val="32"/>
                <w:szCs w:val="30"/>
              </w:rPr>
              <w:t>年</w:t>
            </w:r>
            <w:r>
              <w:rPr>
                <w:rFonts w:hint="eastAsia" w:ascii="华文新魏" w:hAnsi="Tahoma" w:eastAsia="华文新魏"/>
                <w:sz w:val="32"/>
                <w:szCs w:val="30"/>
                <w:lang w:eastAsia="zh-CN"/>
              </w:rPr>
              <w:t>三</w:t>
            </w:r>
            <w:r>
              <w:rPr>
                <w:rFonts w:hint="eastAsia" w:ascii="华文新魏" w:hAnsi="Tahoma" w:eastAsia="华文新魏"/>
                <w:sz w:val="32"/>
                <w:szCs w:val="30"/>
              </w:rPr>
              <w:t>月</w:t>
            </w:r>
          </w:p>
        </w:tc>
      </w:tr>
    </w:tbl>
    <w:p w14:paraId="01A5F9C8">
      <w:pPr>
        <w:ind w:firstLine="400"/>
      </w:pPr>
    </w:p>
    <w:p w14:paraId="789578BB">
      <w:pPr>
        <w:ind w:firstLine="21" w:firstLineChars="10"/>
      </w:pPr>
    </w:p>
    <w:tbl>
      <w:tblPr>
        <w:tblStyle w:val="23"/>
        <w:tblW w:w="5099" w:type="pct"/>
        <w:jc w:val="center"/>
        <w:tblLayout w:type="autofit"/>
        <w:tblCellMar>
          <w:top w:w="0" w:type="dxa"/>
          <w:left w:w="108" w:type="dxa"/>
          <w:bottom w:w="0" w:type="dxa"/>
          <w:right w:w="108" w:type="dxa"/>
        </w:tblCellMar>
      </w:tblPr>
      <w:tblGrid>
        <w:gridCol w:w="1813"/>
        <w:gridCol w:w="7657"/>
      </w:tblGrid>
      <w:tr w14:paraId="5F305BE3">
        <w:tblPrEx>
          <w:tblCellMar>
            <w:top w:w="0" w:type="dxa"/>
            <w:left w:w="108" w:type="dxa"/>
            <w:bottom w:w="0" w:type="dxa"/>
            <w:right w:w="108" w:type="dxa"/>
          </w:tblCellMar>
        </w:tblPrEx>
        <w:trPr>
          <w:trHeight w:val="552" w:hRule="atLeast"/>
          <w:jc w:val="center"/>
        </w:trPr>
        <w:tc>
          <w:tcPr>
            <w:tcW w:w="5000" w:type="pct"/>
            <w:gridSpan w:val="2"/>
            <w:vAlign w:val="center"/>
          </w:tcPr>
          <w:p w14:paraId="11B69FD9"/>
          <w:p w14:paraId="6356988E">
            <w:pPr>
              <w:rPr>
                <w:rFonts w:eastAsia="黑体"/>
                <w:b/>
                <w:sz w:val="24"/>
              </w:rPr>
            </w:pPr>
          </w:p>
          <w:p w14:paraId="34073E9C">
            <w:pPr>
              <w:rPr>
                <w:rFonts w:eastAsia="黑体"/>
                <w:b/>
                <w:sz w:val="24"/>
              </w:rPr>
            </w:pPr>
          </w:p>
          <w:p w14:paraId="6B7B883B">
            <w:pPr>
              <w:rPr>
                <w:rFonts w:eastAsia="黑体"/>
                <w:b/>
                <w:sz w:val="24"/>
              </w:rPr>
            </w:pPr>
          </w:p>
          <w:p w14:paraId="309BAEC3">
            <w:pPr>
              <w:jc w:val="right"/>
              <w:rPr>
                <w:rFonts w:eastAsia="黑体"/>
                <w:b/>
                <w:sz w:val="24"/>
              </w:rPr>
            </w:pPr>
            <w:r>
              <w:rPr>
                <w:rFonts w:hint="eastAsia" w:eastAsia="黑体"/>
                <w:b/>
                <w:sz w:val="24"/>
              </w:rPr>
              <w:t xml:space="preserve">                                </w:t>
            </w:r>
          </w:p>
        </w:tc>
      </w:tr>
      <w:tr w14:paraId="4E253A21">
        <w:tblPrEx>
          <w:tblCellMar>
            <w:top w:w="0" w:type="dxa"/>
            <w:left w:w="108" w:type="dxa"/>
            <w:bottom w:w="0" w:type="dxa"/>
            <w:right w:w="108" w:type="dxa"/>
          </w:tblCellMar>
        </w:tblPrEx>
        <w:trPr>
          <w:trHeight w:val="1105" w:hRule="atLeast"/>
          <w:jc w:val="center"/>
        </w:trPr>
        <w:tc>
          <w:tcPr>
            <w:tcW w:w="5000" w:type="pct"/>
            <w:gridSpan w:val="2"/>
            <w:vAlign w:val="center"/>
          </w:tcPr>
          <w:p w14:paraId="46E32ADD">
            <w:pPr>
              <w:widowControl/>
              <w:adjustRightInd w:val="0"/>
              <w:snapToGrid w:val="0"/>
              <w:spacing w:after="200" w:line="360" w:lineRule="auto"/>
              <w:jc w:val="center"/>
              <w:rPr>
                <w:rFonts w:hint="eastAsia" w:ascii="华文新魏" w:hAnsi="Tahoma" w:eastAsia="华文新魏"/>
                <w:b/>
                <w:sz w:val="56"/>
                <w:szCs w:val="56"/>
              </w:rPr>
            </w:pPr>
            <w:r>
              <w:rPr>
                <w:rFonts w:hint="eastAsia" w:ascii="华文新魏" w:hAnsi="Tahoma" w:eastAsia="华文新魏"/>
                <w:b/>
                <w:sz w:val="56"/>
                <w:szCs w:val="56"/>
              </w:rPr>
              <w:t>武汉港核心区趸船码头改造提升项目（中华路客运码头）</w:t>
            </w:r>
          </w:p>
          <w:p w14:paraId="1ED7241B">
            <w:pPr>
              <w:widowControl/>
              <w:adjustRightInd w:val="0"/>
              <w:snapToGrid w:val="0"/>
              <w:spacing w:after="200" w:line="360" w:lineRule="auto"/>
              <w:jc w:val="center"/>
              <w:rPr>
                <w:rFonts w:ascii="华文中宋" w:hAnsi="华文中宋" w:eastAsia="华文中宋"/>
                <w:b/>
                <w:sz w:val="44"/>
                <w:szCs w:val="48"/>
              </w:rPr>
            </w:pPr>
            <w:r>
              <w:rPr>
                <w:rFonts w:hint="eastAsia" w:ascii="华文新魏" w:hAnsi="Tahoma" w:eastAsia="华文新魏"/>
                <w:b/>
                <w:sz w:val="56"/>
                <w:szCs w:val="48"/>
              </w:rPr>
              <w:t>竣工环境保护验收调查报告</w:t>
            </w:r>
          </w:p>
        </w:tc>
      </w:tr>
      <w:tr w14:paraId="0B41B199">
        <w:tblPrEx>
          <w:tblCellMar>
            <w:top w:w="0" w:type="dxa"/>
            <w:left w:w="108" w:type="dxa"/>
            <w:bottom w:w="0" w:type="dxa"/>
            <w:right w:w="108" w:type="dxa"/>
          </w:tblCellMar>
        </w:tblPrEx>
        <w:trPr>
          <w:trHeight w:val="1381" w:hRule="atLeast"/>
          <w:jc w:val="center"/>
        </w:trPr>
        <w:tc>
          <w:tcPr>
            <w:tcW w:w="5000" w:type="pct"/>
            <w:gridSpan w:val="2"/>
            <w:vAlign w:val="center"/>
          </w:tcPr>
          <w:p w14:paraId="5C6D834B">
            <w:pPr>
              <w:widowControl/>
              <w:adjustRightInd w:val="0"/>
              <w:snapToGrid w:val="0"/>
              <w:spacing w:after="200" w:line="360" w:lineRule="auto"/>
              <w:jc w:val="center"/>
              <w:rPr>
                <w:rFonts w:ascii="华文中宋" w:hAnsi="华文中宋" w:eastAsia="华文中宋"/>
                <w:b/>
                <w:sz w:val="44"/>
                <w:szCs w:val="52"/>
              </w:rPr>
            </w:pPr>
          </w:p>
        </w:tc>
      </w:tr>
      <w:tr w14:paraId="1E5DEF0C">
        <w:tblPrEx>
          <w:tblCellMar>
            <w:top w:w="0" w:type="dxa"/>
            <w:left w:w="108" w:type="dxa"/>
            <w:bottom w:w="0" w:type="dxa"/>
            <w:right w:w="108" w:type="dxa"/>
          </w:tblCellMar>
        </w:tblPrEx>
        <w:trPr>
          <w:trHeight w:val="3498" w:hRule="atLeast"/>
          <w:jc w:val="center"/>
        </w:trPr>
        <w:tc>
          <w:tcPr>
            <w:tcW w:w="5000" w:type="pct"/>
            <w:gridSpan w:val="2"/>
            <w:vAlign w:val="center"/>
          </w:tcPr>
          <w:p w14:paraId="54298082">
            <w:pPr>
              <w:rPr>
                <w:rFonts w:ascii="华文中宋" w:hAnsi="华文中宋" w:eastAsia="华文中宋"/>
                <w:b/>
                <w:sz w:val="22"/>
                <w:szCs w:val="44"/>
              </w:rPr>
            </w:pPr>
          </w:p>
        </w:tc>
      </w:tr>
      <w:tr w14:paraId="2BB30DCB">
        <w:tblPrEx>
          <w:tblCellMar>
            <w:top w:w="0" w:type="dxa"/>
            <w:left w:w="108" w:type="dxa"/>
            <w:bottom w:w="0" w:type="dxa"/>
            <w:right w:w="108" w:type="dxa"/>
          </w:tblCellMar>
        </w:tblPrEx>
        <w:trPr>
          <w:trHeight w:val="1611" w:hRule="atLeast"/>
          <w:jc w:val="center"/>
        </w:trPr>
        <w:tc>
          <w:tcPr>
            <w:tcW w:w="957" w:type="pct"/>
            <w:vAlign w:val="center"/>
          </w:tcPr>
          <w:p w14:paraId="364CDE0D">
            <w:pPr>
              <w:widowControl/>
              <w:adjustRightInd w:val="0"/>
              <w:snapToGrid w:val="0"/>
              <w:spacing w:after="200" w:line="360" w:lineRule="auto"/>
              <w:jc w:val="center"/>
              <w:rPr>
                <w:rFonts w:ascii="华文新魏" w:hAnsi="Tahoma" w:eastAsia="华文新魏"/>
                <w:sz w:val="32"/>
                <w:szCs w:val="48"/>
              </w:rPr>
            </w:pPr>
          </w:p>
        </w:tc>
        <w:tc>
          <w:tcPr>
            <w:tcW w:w="4043" w:type="pct"/>
            <w:vAlign w:val="center"/>
          </w:tcPr>
          <w:p w14:paraId="5F8A41D9">
            <w:pPr>
              <w:widowControl/>
              <w:adjustRightInd w:val="0"/>
              <w:snapToGrid w:val="0"/>
              <w:spacing w:after="200" w:line="360" w:lineRule="auto"/>
              <w:rPr>
                <w:rFonts w:hint="eastAsia" w:ascii="华文新魏" w:hAnsi="Tahoma" w:eastAsia="华文新魏"/>
                <w:sz w:val="32"/>
                <w:szCs w:val="48"/>
                <w:lang w:eastAsia="zh-CN"/>
              </w:rPr>
            </w:pPr>
            <w:r>
              <w:rPr>
                <w:rFonts w:hint="eastAsia" w:ascii="华文新魏" w:hAnsi="Tahoma" w:eastAsia="华文新魏"/>
                <w:sz w:val="32"/>
                <w:szCs w:val="48"/>
              </w:rPr>
              <w:t>建设单位：</w:t>
            </w:r>
            <w:r>
              <w:rPr>
                <w:rFonts w:hint="eastAsia" w:ascii="华文新魏" w:hAnsi="Tahoma" w:eastAsia="华文新魏"/>
                <w:sz w:val="32"/>
                <w:szCs w:val="48"/>
                <w:lang w:eastAsia="zh-CN"/>
              </w:rPr>
              <w:t>武汉两江轮渡有限责任公司</w:t>
            </w:r>
          </w:p>
          <w:p w14:paraId="146E7328">
            <w:pPr>
              <w:widowControl/>
              <w:adjustRightInd w:val="0"/>
              <w:snapToGrid w:val="0"/>
              <w:spacing w:after="200" w:line="360" w:lineRule="auto"/>
              <w:rPr>
                <w:rFonts w:ascii="华文新魏" w:hAnsi="Tahoma" w:eastAsia="华文新魏"/>
                <w:sz w:val="32"/>
                <w:szCs w:val="48"/>
              </w:rPr>
            </w:pPr>
            <w:r>
              <w:rPr>
                <w:rFonts w:hint="eastAsia" w:ascii="华文新魏" w:hAnsi="Tahoma" w:eastAsia="华文新魏"/>
                <w:sz w:val="32"/>
                <w:szCs w:val="48"/>
              </w:rPr>
              <w:t>编制单位：</w:t>
            </w:r>
            <w:r>
              <w:rPr>
                <w:rFonts w:hint="eastAsia" w:ascii="华文新魏" w:hAnsi="Tahoma" w:eastAsia="华文新魏"/>
                <w:sz w:val="32"/>
                <w:szCs w:val="48"/>
                <w:lang w:eastAsia="zh-CN"/>
              </w:rPr>
              <w:t>武汉智汇元环保科技有限公司</w:t>
            </w:r>
          </w:p>
        </w:tc>
      </w:tr>
      <w:tr w14:paraId="4B3F8C74">
        <w:tblPrEx>
          <w:tblCellMar>
            <w:top w:w="0" w:type="dxa"/>
            <w:left w:w="108" w:type="dxa"/>
            <w:bottom w:w="0" w:type="dxa"/>
            <w:right w:w="108" w:type="dxa"/>
          </w:tblCellMar>
        </w:tblPrEx>
        <w:trPr>
          <w:trHeight w:val="1260" w:hRule="atLeast"/>
          <w:jc w:val="center"/>
        </w:trPr>
        <w:tc>
          <w:tcPr>
            <w:tcW w:w="5000" w:type="pct"/>
            <w:gridSpan w:val="2"/>
            <w:vAlign w:val="center"/>
          </w:tcPr>
          <w:p w14:paraId="4EBBB5CB">
            <w:pPr>
              <w:widowControl/>
              <w:adjustRightInd w:val="0"/>
              <w:snapToGrid w:val="0"/>
              <w:spacing w:after="200" w:line="360" w:lineRule="auto"/>
              <w:jc w:val="center"/>
              <w:rPr>
                <w:rFonts w:ascii="华文新魏" w:hAnsi="Tahoma" w:eastAsia="华文新魏"/>
                <w:sz w:val="32"/>
                <w:szCs w:val="48"/>
              </w:rPr>
            </w:pPr>
            <w:r>
              <w:rPr>
                <w:rFonts w:ascii="华文新魏" w:hAnsi="Tahoma" w:eastAsia="华文新魏"/>
                <w:sz w:val="32"/>
                <w:szCs w:val="30"/>
              </w:rPr>
              <w:t>二</w:t>
            </w:r>
            <w:r>
              <w:rPr>
                <w:rFonts w:hint="eastAsia" w:ascii="宋体" w:hAnsi="宋体" w:cs="宋体"/>
                <w:sz w:val="32"/>
                <w:szCs w:val="30"/>
              </w:rPr>
              <w:t>〇</w:t>
            </w:r>
            <w:r>
              <w:rPr>
                <w:rFonts w:ascii="华文新魏" w:hAnsi="Tahoma" w:eastAsia="华文新魏"/>
                <w:sz w:val="32"/>
                <w:szCs w:val="30"/>
              </w:rPr>
              <w:t>二</w:t>
            </w:r>
            <w:r>
              <w:rPr>
                <w:rFonts w:hint="eastAsia" w:ascii="华文新魏" w:hAnsi="Tahoma" w:eastAsia="华文新魏"/>
                <w:sz w:val="32"/>
                <w:szCs w:val="30"/>
                <w:lang w:eastAsia="zh-CN"/>
              </w:rPr>
              <w:t>四</w:t>
            </w:r>
            <w:r>
              <w:rPr>
                <w:rFonts w:ascii="华文新魏" w:hAnsi="Tahoma" w:eastAsia="华文新魏"/>
                <w:sz w:val="32"/>
                <w:szCs w:val="30"/>
              </w:rPr>
              <w:t>年</w:t>
            </w:r>
            <w:r>
              <w:rPr>
                <w:rFonts w:hint="eastAsia" w:ascii="华文新魏" w:hAnsi="Tahoma" w:eastAsia="华文新魏"/>
                <w:sz w:val="32"/>
                <w:szCs w:val="30"/>
                <w:lang w:eastAsia="zh-CN"/>
              </w:rPr>
              <w:t>四</w:t>
            </w:r>
            <w:r>
              <w:rPr>
                <w:rFonts w:hint="eastAsia" w:ascii="华文新魏" w:hAnsi="Tahoma" w:eastAsia="华文新魏"/>
                <w:sz w:val="32"/>
                <w:szCs w:val="30"/>
              </w:rPr>
              <w:t>月</w:t>
            </w:r>
          </w:p>
        </w:tc>
      </w:tr>
    </w:tbl>
    <w:p w14:paraId="309A1F48">
      <w:pPr>
        <w:ind w:firstLine="400"/>
      </w:pPr>
    </w:p>
    <w:p w14:paraId="348FF266">
      <w:pPr>
        <w:ind w:firstLine="21" w:firstLineChars="10"/>
      </w:pPr>
    </w:p>
    <w:tbl>
      <w:tblPr>
        <w:tblStyle w:val="23"/>
        <w:tblW w:w="5099" w:type="pct"/>
        <w:jc w:val="center"/>
        <w:tblLayout w:type="autofit"/>
        <w:tblCellMar>
          <w:top w:w="0" w:type="dxa"/>
          <w:left w:w="108" w:type="dxa"/>
          <w:bottom w:w="0" w:type="dxa"/>
          <w:right w:w="108" w:type="dxa"/>
        </w:tblCellMar>
      </w:tblPr>
      <w:tblGrid>
        <w:gridCol w:w="4737"/>
        <w:gridCol w:w="4733"/>
      </w:tblGrid>
      <w:tr w14:paraId="6BBA2B95">
        <w:tblPrEx>
          <w:tblCellMar>
            <w:top w:w="0" w:type="dxa"/>
            <w:left w:w="108" w:type="dxa"/>
            <w:bottom w:w="0" w:type="dxa"/>
            <w:right w:w="108" w:type="dxa"/>
          </w:tblCellMar>
        </w:tblPrEx>
        <w:trPr>
          <w:trHeight w:val="8168" w:hRule="atLeast"/>
          <w:jc w:val="center"/>
        </w:trPr>
        <w:tc>
          <w:tcPr>
            <w:tcW w:w="5000" w:type="pct"/>
            <w:gridSpan w:val="2"/>
          </w:tcPr>
          <w:p w14:paraId="480C90B6">
            <w:pPr>
              <w:spacing w:before="312" w:beforeLines="100" w:after="156" w:afterLines="50" w:line="360" w:lineRule="auto"/>
              <w:ind w:firstLine="24" w:firstLineChars="6"/>
              <w:jc w:val="center"/>
              <w:rPr>
                <w:rFonts w:ascii="华文新魏" w:hAnsi="Tahoma" w:eastAsia="华文新魏"/>
                <w:b/>
                <w:sz w:val="44"/>
                <w:szCs w:val="36"/>
              </w:rPr>
            </w:pPr>
            <w:r>
              <w:rPr>
                <w:rFonts w:hint="eastAsia" w:ascii="华文新魏" w:hAnsi="Tahoma" w:eastAsia="华文新魏"/>
                <w:b/>
                <w:sz w:val="40"/>
                <w:szCs w:val="40"/>
              </w:rPr>
              <w:t>武汉港核心区趸船码头改造提升项目（中华路客运码头）</w:t>
            </w:r>
            <w:r>
              <w:rPr>
                <w:rFonts w:hint="eastAsia" w:ascii="华文新魏" w:hAnsi="Tahoma" w:eastAsia="华文新魏"/>
                <w:b/>
                <w:sz w:val="44"/>
                <w:szCs w:val="36"/>
              </w:rPr>
              <w:t>竣工环境保护验收调查报告</w:t>
            </w:r>
          </w:p>
          <w:p w14:paraId="11D97804">
            <w:pPr>
              <w:spacing w:before="156" w:beforeLines="50" w:after="312" w:afterLines="100"/>
              <w:ind w:firstLine="13" w:firstLineChars="6"/>
              <w:jc w:val="center"/>
              <w:rPr>
                <w:rFonts w:ascii="仿宋_GB2312" w:hAnsi="仿宋" w:eastAsia="仿宋_GB2312"/>
                <w:b/>
                <w:bCs/>
                <w:sz w:val="22"/>
                <w:szCs w:val="36"/>
              </w:rPr>
            </w:pPr>
          </w:p>
          <w:p w14:paraId="48B3627B">
            <w:pPr>
              <w:spacing w:line="360" w:lineRule="auto"/>
              <w:ind w:firstLine="23" w:firstLineChars="6"/>
              <w:rPr>
                <w:rFonts w:hint="eastAsia" w:eastAsia="仿宋_GB2312"/>
                <w:b/>
                <w:bCs/>
                <w:sz w:val="28"/>
                <w:szCs w:val="30"/>
                <w:lang w:eastAsia="zh-CN"/>
              </w:rPr>
            </w:pPr>
            <w:r>
              <w:rPr>
                <w:rFonts w:eastAsia="仿宋_GB2312"/>
                <w:b/>
                <w:bCs/>
                <w:spacing w:val="47"/>
                <w:kern w:val="0"/>
                <w:sz w:val="28"/>
                <w:szCs w:val="30"/>
                <w:fitText w:val="1405" w:id="-1948590334"/>
              </w:rPr>
              <w:t>建设单</w:t>
            </w:r>
            <w:r>
              <w:rPr>
                <w:rFonts w:eastAsia="仿宋_GB2312"/>
                <w:b/>
                <w:bCs/>
                <w:spacing w:val="1"/>
                <w:kern w:val="0"/>
                <w:sz w:val="28"/>
                <w:szCs w:val="30"/>
                <w:fitText w:val="1405" w:id="-1948590334"/>
              </w:rPr>
              <w:t>位</w:t>
            </w:r>
            <w:r>
              <w:rPr>
                <w:rFonts w:eastAsia="仿宋_GB2312"/>
                <w:b/>
                <w:bCs/>
                <w:sz w:val="28"/>
                <w:szCs w:val="30"/>
              </w:rPr>
              <w:t>：</w:t>
            </w:r>
            <w:r>
              <w:rPr>
                <w:rFonts w:hint="eastAsia" w:eastAsia="仿宋_GB2312"/>
                <w:b/>
                <w:bCs/>
                <w:sz w:val="28"/>
                <w:szCs w:val="30"/>
                <w:lang w:eastAsia="zh-CN"/>
              </w:rPr>
              <w:t>武汉两江轮渡有限责任公司</w:t>
            </w:r>
          </w:p>
          <w:p w14:paraId="35D3E755">
            <w:pPr>
              <w:spacing w:line="360" w:lineRule="auto"/>
              <w:ind w:firstLine="23" w:firstLineChars="6"/>
              <w:rPr>
                <w:rFonts w:hint="eastAsia" w:eastAsia="仿宋_GB2312"/>
                <w:b/>
                <w:bCs/>
                <w:sz w:val="28"/>
                <w:szCs w:val="30"/>
                <w:lang w:eastAsia="zh-CN"/>
              </w:rPr>
            </w:pPr>
            <w:r>
              <w:rPr>
                <w:rFonts w:hint="eastAsia" w:eastAsia="仿宋_GB2312"/>
                <w:b/>
                <w:bCs/>
                <w:spacing w:val="47"/>
                <w:kern w:val="0"/>
                <w:sz w:val="28"/>
                <w:szCs w:val="30"/>
                <w:fitText w:val="1405" w:id="-1948590334"/>
              </w:rPr>
              <w:t>法人代</w:t>
            </w:r>
            <w:r>
              <w:rPr>
                <w:rFonts w:hint="eastAsia" w:eastAsia="仿宋_GB2312"/>
                <w:b/>
                <w:bCs/>
                <w:spacing w:val="1"/>
                <w:kern w:val="0"/>
                <w:sz w:val="28"/>
                <w:szCs w:val="30"/>
                <w:fitText w:val="1405" w:id="-1948590334"/>
              </w:rPr>
              <w:t>表</w:t>
            </w:r>
            <w:r>
              <w:rPr>
                <w:rFonts w:hint="eastAsia" w:eastAsia="仿宋_GB2312"/>
                <w:b/>
                <w:bCs/>
                <w:sz w:val="28"/>
                <w:szCs w:val="30"/>
              </w:rPr>
              <w:t>：</w:t>
            </w:r>
            <w:r>
              <w:rPr>
                <w:rFonts w:hint="eastAsia" w:eastAsia="仿宋_GB2312"/>
                <w:b/>
                <w:bCs/>
                <w:sz w:val="28"/>
                <w:szCs w:val="30"/>
                <w:lang w:eastAsia="zh-CN"/>
              </w:rPr>
              <w:t>吴操</w:t>
            </w:r>
          </w:p>
          <w:p w14:paraId="228A451C">
            <w:pPr>
              <w:spacing w:line="360" w:lineRule="auto"/>
              <w:ind w:firstLine="13" w:firstLineChars="6"/>
              <w:rPr>
                <w:rFonts w:eastAsia="仿宋_GB2312"/>
                <w:b/>
                <w:bCs/>
                <w:sz w:val="22"/>
                <w:szCs w:val="30"/>
              </w:rPr>
            </w:pPr>
          </w:p>
          <w:p w14:paraId="4505A293">
            <w:pPr>
              <w:spacing w:line="360" w:lineRule="auto"/>
              <w:ind w:firstLine="13" w:firstLineChars="6"/>
              <w:rPr>
                <w:rFonts w:eastAsia="仿宋_GB2312"/>
                <w:b/>
                <w:bCs/>
                <w:sz w:val="22"/>
                <w:szCs w:val="30"/>
              </w:rPr>
            </w:pPr>
          </w:p>
          <w:p w14:paraId="728967A8">
            <w:pPr>
              <w:spacing w:line="360" w:lineRule="auto"/>
              <w:ind w:firstLine="23" w:firstLineChars="6"/>
              <w:rPr>
                <w:rFonts w:eastAsia="仿宋_GB2312"/>
                <w:b/>
                <w:bCs/>
                <w:sz w:val="28"/>
                <w:szCs w:val="30"/>
              </w:rPr>
            </w:pPr>
            <w:r>
              <w:rPr>
                <w:rFonts w:eastAsia="仿宋_GB2312"/>
                <w:b/>
                <w:bCs/>
                <w:spacing w:val="47"/>
                <w:kern w:val="0"/>
                <w:sz w:val="28"/>
                <w:szCs w:val="30"/>
                <w:fitText w:val="1405" w:id="-1948590334"/>
              </w:rPr>
              <w:t>编制单</w:t>
            </w:r>
            <w:r>
              <w:rPr>
                <w:rFonts w:eastAsia="仿宋_GB2312"/>
                <w:b/>
                <w:bCs/>
                <w:spacing w:val="1"/>
                <w:kern w:val="0"/>
                <w:sz w:val="28"/>
                <w:szCs w:val="30"/>
                <w:fitText w:val="1405" w:id="-1948590334"/>
              </w:rPr>
              <w:t>位</w:t>
            </w:r>
            <w:r>
              <w:rPr>
                <w:rFonts w:eastAsia="仿宋_GB2312"/>
                <w:b/>
                <w:bCs/>
                <w:sz w:val="28"/>
                <w:szCs w:val="30"/>
              </w:rPr>
              <w:t>：</w:t>
            </w:r>
            <w:r>
              <w:rPr>
                <w:rFonts w:hint="eastAsia" w:eastAsia="仿宋_GB2312"/>
                <w:b/>
                <w:bCs/>
                <w:sz w:val="28"/>
                <w:szCs w:val="30"/>
              </w:rPr>
              <w:t>武汉智汇元环保科技有限公司</w:t>
            </w:r>
          </w:p>
          <w:p w14:paraId="59B08695">
            <w:pPr>
              <w:spacing w:line="360" w:lineRule="auto"/>
              <w:ind w:firstLine="23" w:firstLineChars="6"/>
              <w:rPr>
                <w:rFonts w:hint="eastAsia" w:eastAsia="仿宋_GB2312"/>
                <w:b/>
                <w:bCs/>
                <w:sz w:val="28"/>
                <w:szCs w:val="30"/>
                <w:lang w:eastAsia="zh-CN"/>
              </w:rPr>
            </w:pPr>
            <w:r>
              <w:rPr>
                <w:rFonts w:hint="eastAsia" w:eastAsia="仿宋_GB2312"/>
                <w:b/>
                <w:bCs/>
                <w:spacing w:val="47"/>
                <w:kern w:val="0"/>
                <w:sz w:val="28"/>
                <w:szCs w:val="30"/>
                <w:fitText w:val="1405" w:id="-1948590334"/>
              </w:rPr>
              <w:t>法人代</w:t>
            </w:r>
            <w:r>
              <w:rPr>
                <w:rFonts w:hint="eastAsia" w:eastAsia="仿宋_GB2312"/>
                <w:b/>
                <w:bCs/>
                <w:spacing w:val="1"/>
                <w:kern w:val="0"/>
                <w:sz w:val="28"/>
                <w:szCs w:val="30"/>
                <w:fitText w:val="1405" w:id="-1948590334"/>
              </w:rPr>
              <w:t>表</w:t>
            </w:r>
            <w:r>
              <w:rPr>
                <w:rFonts w:hint="eastAsia" w:eastAsia="仿宋_GB2312"/>
                <w:b/>
                <w:bCs/>
                <w:sz w:val="28"/>
                <w:szCs w:val="30"/>
              </w:rPr>
              <w:t>：</w:t>
            </w:r>
            <w:r>
              <w:rPr>
                <w:rFonts w:hint="eastAsia" w:eastAsia="仿宋_GB2312"/>
                <w:b/>
                <w:bCs/>
                <w:sz w:val="28"/>
                <w:szCs w:val="30"/>
                <w:lang w:eastAsia="zh-CN"/>
              </w:rPr>
              <w:t>黄颖</w:t>
            </w:r>
          </w:p>
          <w:p w14:paraId="4221D405">
            <w:pPr>
              <w:spacing w:before="156" w:beforeLines="50" w:after="156" w:afterLines="50" w:line="360" w:lineRule="auto"/>
              <w:ind w:firstLine="18" w:firstLineChars="6"/>
              <w:rPr>
                <w:b/>
                <w:bCs/>
                <w:sz w:val="30"/>
                <w:szCs w:val="30"/>
              </w:rPr>
            </w:pPr>
          </w:p>
          <w:p w14:paraId="49007498">
            <w:pPr>
              <w:spacing w:before="156" w:beforeLines="50" w:after="156" w:afterLines="50" w:line="360" w:lineRule="auto"/>
              <w:rPr>
                <w:b/>
                <w:bCs/>
                <w:sz w:val="30"/>
                <w:szCs w:val="30"/>
              </w:rPr>
            </w:pPr>
          </w:p>
        </w:tc>
      </w:tr>
      <w:tr w14:paraId="7DAB6E5E">
        <w:tblPrEx>
          <w:tblCellMar>
            <w:top w:w="0" w:type="dxa"/>
            <w:left w:w="108" w:type="dxa"/>
            <w:bottom w:w="0" w:type="dxa"/>
            <w:right w:w="108" w:type="dxa"/>
          </w:tblCellMar>
        </w:tblPrEx>
        <w:trPr>
          <w:trHeight w:val="4326" w:hRule="atLeast"/>
          <w:jc w:val="center"/>
        </w:trPr>
        <w:tc>
          <w:tcPr>
            <w:tcW w:w="2501" w:type="pct"/>
          </w:tcPr>
          <w:p w14:paraId="754E45F3">
            <w:pPr>
              <w:rPr>
                <w:rFonts w:eastAsia="仿宋"/>
                <w:bCs/>
                <w:sz w:val="28"/>
                <w:szCs w:val="28"/>
              </w:rPr>
            </w:pPr>
            <w:r>
              <w:rPr>
                <w:rFonts w:eastAsia="仿宋"/>
                <w:bCs/>
                <w:sz w:val="28"/>
                <w:szCs w:val="28"/>
              </w:rPr>
              <w:t>建设单位</w:t>
            </w:r>
            <w:r>
              <w:rPr>
                <w:rFonts w:hint="eastAsia" w:eastAsia="仿宋"/>
                <w:bCs/>
                <w:sz w:val="28"/>
                <w:szCs w:val="28"/>
              </w:rPr>
              <w:t>：</w:t>
            </w:r>
          </w:p>
          <w:p w14:paraId="787D7D49">
            <w:pPr>
              <w:rPr>
                <w:rFonts w:hint="eastAsia" w:eastAsia="仿宋"/>
                <w:bCs/>
                <w:sz w:val="28"/>
                <w:szCs w:val="28"/>
                <w:lang w:eastAsia="zh-CN"/>
              </w:rPr>
            </w:pPr>
            <w:r>
              <w:rPr>
                <w:rFonts w:hint="eastAsia" w:eastAsia="仿宋"/>
                <w:bCs/>
                <w:sz w:val="28"/>
                <w:szCs w:val="28"/>
                <w:lang w:eastAsia="zh-CN"/>
              </w:rPr>
              <w:t>武汉两江轮渡有限责任公司</w:t>
            </w:r>
          </w:p>
          <w:p w14:paraId="5F96C58B">
            <w:pPr>
              <w:rPr>
                <w:rFonts w:eastAsia="仿宋"/>
                <w:bCs/>
                <w:sz w:val="28"/>
                <w:szCs w:val="28"/>
              </w:rPr>
            </w:pPr>
            <w:r>
              <w:rPr>
                <w:rFonts w:eastAsia="仿宋"/>
                <w:bCs/>
                <w:sz w:val="28"/>
                <w:szCs w:val="28"/>
              </w:rPr>
              <w:t>电话：/</w:t>
            </w:r>
          </w:p>
          <w:p w14:paraId="3BE05DA8">
            <w:pPr>
              <w:rPr>
                <w:rFonts w:eastAsia="仿宋"/>
                <w:bCs/>
                <w:sz w:val="28"/>
                <w:szCs w:val="28"/>
              </w:rPr>
            </w:pPr>
            <w:r>
              <w:rPr>
                <w:rFonts w:eastAsia="仿宋"/>
                <w:bCs/>
                <w:sz w:val="28"/>
                <w:szCs w:val="28"/>
              </w:rPr>
              <w:t>传真：/</w:t>
            </w:r>
          </w:p>
          <w:p w14:paraId="7BCAE0DD">
            <w:pPr>
              <w:rPr>
                <w:rFonts w:eastAsia="仿宋"/>
                <w:bCs/>
                <w:sz w:val="28"/>
                <w:szCs w:val="28"/>
              </w:rPr>
            </w:pPr>
            <w:r>
              <w:rPr>
                <w:rFonts w:eastAsia="仿宋"/>
                <w:bCs/>
                <w:sz w:val="28"/>
                <w:szCs w:val="28"/>
              </w:rPr>
              <w:t>邮编：430010</w:t>
            </w:r>
          </w:p>
          <w:p w14:paraId="7B3EB093">
            <w:pPr>
              <w:rPr>
                <w:rFonts w:eastAsia="仿宋"/>
                <w:bCs/>
                <w:sz w:val="28"/>
                <w:szCs w:val="28"/>
              </w:rPr>
            </w:pPr>
            <w:r>
              <w:rPr>
                <w:rFonts w:eastAsia="仿宋"/>
                <w:bCs/>
                <w:sz w:val="28"/>
                <w:szCs w:val="28"/>
              </w:rPr>
              <w:t>地址：</w:t>
            </w:r>
            <w:r>
              <w:rPr>
                <w:rFonts w:hint="eastAsia" w:eastAsia="仿宋"/>
                <w:bCs/>
                <w:sz w:val="28"/>
                <w:szCs w:val="28"/>
                <w:lang w:eastAsia="zh-CN"/>
              </w:rPr>
              <w:t>武汉市</w:t>
            </w:r>
            <w:r>
              <w:rPr>
                <w:rFonts w:hint="eastAsia" w:eastAsia="仿宋"/>
                <w:bCs/>
                <w:sz w:val="28"/>
                <w:szCs w:val="28"/>
              </w:rPr>
              <w:t>江岸区南京路宝润里1号</w:t>
            </w:r>
          </w:p>
        </w:tc>
        <w:tc>
          <w:tcPr>
            <w:tcW w:w="2499" w:type="pct"/>
          </w:tcPr>
          <w:p w14:paraId="23012706">
            <w:pPr>
              <w:rPr>
                <w:rFonts w:eastAsia="仿宋"/>
                <w:bCs/>
                <w:sz w:val="28"/>
                <w:szCs w:val="28"/>
              </w:rPr>
            </w:pPr>
            <w:r>
              <w:rPr>
                <w:rFonts w:eastAsia="仿宋"/>
                <w:bCs/>
                <w:sz w:val="28"/>
                <w:szCs w:val="28"/>
              </w:rPr>
              <w:t>编制单位</w:t>
            </w:r>
            <w:r>
              <w:rPr>
                <w:rFonts w:hint="eastAsia" w:eastAsia="仿宋"/>
                <w:bCs/>
                <w:sz w:val="28"/>
                <w:szCs w:val="28"/>
              </w:rPr>
              <w:t>：</w:t>
            </w:r>
          </w:p>
          <w:p w14:paraId="439EDDE2">
            <w:pPr>
              <w:rPr>
                <w:rFonts w:eastAsia="仿宋"/>
                <w:bCs/>
                <w:sz w:val="28"/>
                <w:szCs w:val="28"/>
              </w:rPr>
            </w:pPr>
            <w:r>
              <w:rPr>
                <w:rFonts w:eastAsia="仿宋"/>
                <w:bCs/>
                <w:sz w:val="28"/>
                <w:szCs w:val="28"/>
              </w:rPr>
              <w:t>电话：027-87855208</w:t>
            </w:r>
          </w:p>
          <w:p w14:paraId="1CF09835">
            <w:pPr>
              <w:rPr>
                <w:rFonts w:eastAsia="仿宋"/>
                <w:bCs/>
                <w:sz w:val="28"/>
                <w:szCs w:val="28"/>
              </w:rPr>
            </w:pPr>
            <w:r>
              <w:rPr>
                <w:rFonts w:eastAsia="仿宋"/>
                <w:bCs/>
                <w:sz w:val="28"/>
                <w:szCs w:val="28"/>
              </w:rPr>
              <w:t>传真：027-87855208</w:t>
            </w:r>
          </w:p>
          <w:p w14:paraId="1078D9EF">
            <w:pPr>
              <w:rPr>
                <w:rFonts w:eastAsia="仿宋"/>
                <w:bCs/>
                <w:sz w:val="28"/>
                <w:szCs w:val="28"/>
              </w:rPr>
            </w:pPr>
            <w:r>
              <w:rPr>
                <w:rFonts w:eastAsia="仿宋"/>
                <w:bCs/>
                <w:sz w:val="28"/>
                <w:szCs w:val="28"/>
              </w:rPr>
              <w:t>邮编：430070</w:t>
            </w:r>
          </w:p>
          <w:p w14:paraId="35DD3BEB">
            <w:pPr>
              <w:rPr>
                <w:rFonts w:eastAsia="仿宋"/>
                <w:bCs/>
                <w:sz w:val="24"/>
              </w:rPr>
            </w:pPr>
            <w:r>
              <w:rPr>
                <w:rFonts w:eastAsia="仿宋"/>
                <w:bCs/>
                <w:sz w:val="28"/>
                <w:szCs w:val="28"/>
              </w:rPr>
              <w:t>地址：</w:t>
            </w:r>
            <w:r>
              <w:rPr>
                <w:rFonts w:hint="eastAsia" w:eastAsia="仿宋"/>
                <w:bCs/>
                <w:sz w:val="28"/>
                <w:szCs w:val="28"/>
              </w:rPr>
              <w:t>武汉市洪山区融科珞喻路95号T1栋2层商7室</w:t>
            </w:r>
          </w:p>
        </w:tc>
      </w:tr>
    </w:tbl>
    <w:p w14:paraId="4FD000E6">
      <w:pPr>
        <w:rPr>
          <w:sz w:val="32"/>
          <w:lang w:val="zh-CN"/>
        </w:rPr>
        <w:sectPr>
          <w:headerReference r:id="rId3" w:type="default"/>
          <w:headerReference r:id="rId4" w:type="even"/>
          <w:footerReference r:id="rId5" w:type="even"/>
          <w:pgSz w:w="11906" w:h="16838"/>
          <w:pgMar w:top="1418" w:right="1418" w:bottom="1418" w:left="1418" w:header="851" w:footer="992" w:gutter="0"/>
          <w:pgBorders>
            <w:top w:val="none" w:sz="0" w:space="0"/>
            <w:left w:val="none" w:sz="0" w:space="0"/>
            <w:bottom w:val="none" w:sz="0" w:space="0"/>
            <w:right w:val="none" w:sz="0" w:space="0"/>
          </w:pgBorders>
          <w:cols w:space="720" w:num="1"/>
          <w:docGrid w:type="lines" w:linePitch="312" w:charSpace="0"/>
        </w:sectPr>
      </w:pPr>
    </w:p>
    <w:p w14:paraId="5FED4A2F">
      <w:pPr>
        <w:jc w:val="center"/>
        <w:rPr>
          <w:b/>
          <w:sz w:val="32"/>
          <w:lang w:val="zh-CN"/>
        </w:rPr>
      </w:pPr>
      <w:r>
        <w:rPr>
          <w:b/>
          <w:sz w:val="32"/>
          <w:lang w:val="zh-CN"/>
        </w:rPr>
        <w:t>目  录</w:t>
      </w:r>
    </w:p>
    <w:p w14:paraId="1FFEE40A">
      <w:pPr>
        <w:rPr>
          <w:lang w:val="zh-CN"/>
        </w:rPr>
      </w:pPr>
    </w:p>
    <w:p w14:paraId="0EB63327">
      <w:pPr>
        <w:pStyle w:val="19"/>
        <w:tabs>
          <w:tab w:val="right" w:leader="dot" w:pos="9016"/>
        </w:tabs>
        <w:spacing w:line="360" w:lineRule="auto"/>
        <w:ind w:left="0" w:leftChars="0"/>
        <w:rPr>
          <w:rFonts w:asciiTheme="minorHAnsi" w:hAnsiTheme="minorHAnsi" w:eastAsiaTheme="minorEastAsia" w:cstheme="minorBidi"/>
          <w:sz w:val="28"/>
          <w:szCs w:val="28"/>
        </w:rPr>
      </w:pPr>
      <w:r>
        <w:rPr>
          <w:sz w:val="28"/>
          <w:szCs w:val="28"/>
        </w:rPr>
        <w:fldChar w:fldCharType="begin"/>
      </w:r>
      <w:r>
        <w:rPr>
          <w:sz w:val="28"/>
          <w:szCs w:val="28"/>
        </w:rPr>
        <w:instrText xml:space="preserve"> TOC \o "1-3" \h \z \u </w:instrText>
      </w:r>
      <w:r>
        <w:rPr>
          <w:sz w:val="28"/>
          <w:szCs w:val="28"/>
        </w:rPr>
        <w:fldChar w:fldCharType="separate"/>
      </w:r>
      <w:r>
        <w:fldChar w:fldCharType="begin"/>
      </w:r>
      <w:r>
        <w:instrText xml:space="preserve"> HYPERLINK \l "_Toc520382817" </w:instrText>
      </w:r>
      <w:r>
        <w:fldChar w:fldCharType="separate"/>
      </w:r>
      <w:r>
        <w:rPr>
          <w:rStyle w:val="28"/>
          <w:rFonts w:hint="eastAsia"/>
          <w:color w:val="auto"/>
          <w:sz w:val="28"/>
          <w:szCs w:val="28"/>
        </w:rPr>
        <w:t>表一</w:t>
      </w:r>
      <w:r>
        <w:rPr>
          <w:rStyle w:val="28"/>
          <w:color w:val="auto"/>
          <w:sz w:val="28"/>
          <w:szCs w:val="28"/>
        </w:rPr>
        <w:t xml:space="preserve">  </w:t>
      </w:r>
      <w:r>
        <w:rPr>
          <w:rStyle w:val="28"/>
          <w:rFonts w:hint="eastAsia"/>
          <w:color w:val="auto"/>
          <w:sz w:val="28"/>
          <w:szCs w:val="28"/>
        </w:rPr>
        <w:t>项目总体情况</w:t>
      </w:r>
      <w:r>
        <w:rPr>
          <w:sz w:val="28"/>
          <w:szCs w:val="28"/>
        </w:rPr>
        <w:tab/>
      </w:r>
      <w:r>
        <w:rPr>
          <w:sz w:val="28"/>
          <w:szCs w:val="28"/>
        </w:rPr>
        <w:fldChar w:fldCharType="begin"/>
      </w:r>
      <w:r>
        <w:rPr>
          <w:sz w:val="28"/>
          <w:szCs w:val="28"/>
        </w:rPr>
        <w:instrText xml:space="preserve"> PAGEREF _Toc520382817 \h </w:instrText>
      </w:r>
      <w:r>
        <w:rPr>
          <w:sz w:val="28"/>
          <w:szCs w:val="28"/>
        </w:rPr>
        <w:fldChar w:fldCharType="separate"/>
      </w:r>
      <w:r>
        <w:rPr>
          <w:sz w:val="28"/>
          <w:szCs w:val="28"/>
        </w:rPr>
        <w:t>1</w:t>
      </w:r>
      <w:r>
        <w:rPr>
          <w:sz w:val="28"/>
          <w:szCs w:val="28"/>
        </w:rPr>
        <w:fldChar w:fldCharType="end"/>
      </w:r>
      <w:r>
        <w:rPr>
          <w:sz w:val="28"/>
          <w:szCs w:val="28"/>
        </w:rPr>
        <w:fldChar w:fldCharType="end"/>
      </w:r>
    </w:p>
    <w:p w14:paraId="7A14CE30">
      <w:pPr>
        <w:pStyle w:val="19"/>
        <w:tabs>
          <w:tab w:val="right" w:leader="dot" w:pos="9016"/>
        </w:tabs>
        <w:spacing w:line="360" w:lineRule="auto"/>
        <w:ind w:left="0" w:leftChars="0"/>
        <w:rPr>
          <w:rFonts w:asciiTheme="minorHAnsi" w:hAnsiTheme="minorHAnsi" w:eastAsiaTheme="minorEastAsia" w:cstheme="minorBidi"/>
          <w:sz w:val="28"/>
          <w:szCs w:val="28"/>
        </w:rPr>
      </w:pPr>
      <w:r>
        <w:fldChar w:fldCharType="begin"/>
      </w:r>
      <w:r>
        <w:instrText xml:space="preserve"> HYPERLINK \l "_Toc520382818" </w:instrText>
      </w:r>
      <w:r>
        <w:fldChar w:fldCharType="separate"/>
      </w:r>
      <w:r>
        <w:rPr>
          <w:rStyle w:val="28"/>
          <w:rFonts w:hint="eastAsia"/>
          <w:color w:val="auto"/>
          <w:sz w:val="28"/>
          <w:szCs w:val="28"/>
        </w:rPr>
        <w:t>表二</w:t>
      </w:r>
      <w:r>
        <w:rPr>
          <w:rStyle w:val="28"/>
          <w:color w:val="auto"/>
          <w:sz w:val="28"/>
          <w:szCs w:val="28"/>
        </w:rPr>
        <w:t xml:space="preserve">  </w:t>
      </w:r>
      <w:r>
        <w:rPr>
          <w:rStyle w:val="28"/>
          <w:rFonts w:hint="eastAsia"/>
          <w:color w:val="auto"/>
          <w:sz w:val="28"/>
          <w:szCs w:val="28"/>
        </w:rPr>
        <w:t>调查范围、因子、目标、重点</w:t>
      </w:r>
      <w:r>
        <w:rPr>
          <w:sz w:val="28"/>
          <w:szCs w:val="28"/>
        </w:rPr>
        <w:tab/>
      </w:r>
      <w:r>
        <w:rPr>
          <w:sz w:val="28"/>
          <w:szCs w:val="28"/>
        </w:rPr>
        <w:fldChar w:fldCharType="begin"/>
      </w:r>
      <w:r>
        <w:rPr>
          <w:sz w:val="28"/>
          <w:szCs w:val="28"/>
        </w:rPr>
        <w:instrText xml:space="preserve"> PAGEREF _Toc520382818 \h </w:instrText>
      </w:r>
      <w:r>
        <w:rPr>
          <w:sz w:val="28"/>
          <w:szCs w:val="28"/>
        </w:rPr>
        <w:fldChar w:fldCharType="separate"/>
      </w:r>
      <w:r>
        <w:rPr>
          <w:sz w:val="28"/>
          <w:szCs w:val="28"/>
        </w:rPr>
        <w:t>4</w:t>
      </w:r>
      <w:r>
        <w:rPr>
          <w:sz w:val="28"/>
          <w:szCs w:val="28"/>
        </w:rPr>
        <w:fldChar w:fldCharType="end"/>
      </w:r>
      <w:r>
        <w:rPr>
          <w:sz w:val="28"/>
          <w:szCs w:val="28"/>
        </w:rPr>
        <w:fldChar w:fldCharType="end"/>
      </w:r>
    </w:p>
    <w:p w14:paraId="5296FA90">
      <w:pPr>
        <w:pStyle w:val="19"/>
        <w:tabs>
          <w:tab w:val="right" w:leader="dot" w:pos="9016"/>
        </w:tabs>
        <w:spacing w:line="360" w:lineRule="auto"/>
        <w:ind w:left="0" w:leftChars="0"/>
        <w:rPr>
          <w:rFonts w:asciiTheme="minorHAnsi" w:hAnsiTheme="minorHAnsi" w:eastAsiaTheme="minorEastAsia" w:cstheme="minorBidi"/>
          <w:sz w:val="28"/>
          <w:szCs w:val="28"/>
        </w:rPr>
      </w:pPr>
      <w:r>
        <w:fldChar w:fldCharType="begin"/>
      </w:r>
      <w:r>
        <w:instrText xml:space="preserve"> HYPERLINK \l "_Toc520382819" </w:instrText>
      </w:r>
      <w:r>
        <w:fldChar w:fldCharType="separate"/>
      </w:r>
      <w:r>
        <w:rPr>
          <w:rStyle w:val="28"/>
          <w:rFonts w:hint="eastAsia"/>
          <w:color w:val="auto"/>
          <w:sz w:val="28"/>
          <w:szCs w:val="28"/>
        </w:rPr>
        <w:t>表三</w:t>
      </w:r>
      <w:r>
        <w:rPr>
          <w:rStyle w:val="28"/>
          <w:color w:val="auto"/>
          <w:sz w:val="28"/>
          <w:szCs w:val="28"/>
        </w:rPr>
        <w:t xml:space="preserve">  </w:t>
      </w:r>
      <w:r>
        <w:rPr>
          <w:rStyle w:val="28"/>
          <w:rFonts w:hint="eastAsia"/>
          <w:color w:val="auto"/>
          <w:sz w:val="28"/>
          <w:szCs w:val="28"/>
        </w:rPr>
        <w:t>验收执行标准</w:t>
      </w:r>
      <w:r>
        <w:rPr>
          <w:sz w:val="28"/>
          <w:szCs w:val="28"/>
        </w:rPr>
        <w:tab/>
      </w:r>
      <w:r>
        <w:rPr>
          <w:sz w:val="28"/>
          <w:szCs w:val="28"/>
        </w:rPr>
        <w:fldChar w:fldCharType="begin"/>
      </w:r>
      <w:r>
        <w:rPr>
          <w:sz w:val="28"/>
          <w:szCs w:val="28"/>
        </w:rPr>
        <w:instrText xml:space="preserve"> PAGEREF _Toc520382819 \h </w:instrText>
      </w:r>
      <w:r>
        <w:rPr>
          <w:sz w:val="28"/>
          <w:szCs w:val="28"/>
        </w:rPr>
        <w:fldChar w:fldCharType="separate"/>
      </w:r>
      <w:r>
        <w:rPr>
          <w:sz w:val="28"/>
          <w:szCs w:val="28"/>
        </w:rPr>
        <w:t>6</w:t>
      </w:r>
      <w:r>
        <w:rPr>
          <w:sz w:val="28"/>
          <w:szCs w:val="28"/>
        </w:rPr>
        <w:fldChar w:fldCharType="end"/>
      </w:r>
      <w:r>
        <w:rPr>
          <w:sz w:val="28"/>
          <w:szCs w:val="28"/>
        </w:rPr>
        <w:fldChar w:fldCharType="end"/>
      </w:r>
    </w:p>
    <w:p w14:paraId="58956C79">
      <w:pPr>
        <w:pStyle w:val="19"/>
        <w:tabs>
          <w:tab w:val="right" w:leader="dot" w:pos="9016"/>
        </w:tabs>
        <w:spacing w:line="360" w:lineRule="auto"/>
        <w:ind w:left="0" w:leftChars="0"/>
        <w:rPr>
          <w:rFonts w:asciiTheme="minorHAnsi" w:hAnsiTheme="minorHAnsi" w:eastAsiaTheme="minorEastAsia" w:cstheme="minorBidi"/>
          <w:sz w:val="28"/>
          <w:szCs w:val="28"/>
        </w:rPr>
      </w:pPr>
      <w:r>
        <w:fldChar w:fldCharType="begin"/>
      </w:r>
      <w:r>
        <w:instrText xml:space="preserve"> HYPERLINK \l "_Toc520382820" </w:instrText>
      </w:r>
      <w:r>
        <w:fldChar w:fldCharType="separate"/>
      </w:r>
      <w:r>
        <w:rPr>
          <w:rStyle w:val="28"/>
          <w:rFonts w:hint="eastAsia"/>
          <w:color w:val="auto"/>
          <w:sz w:val="28"/>
          <w:szCs w:val="28"/>
        </w:rPr>
        <w:t>表四</w:t>
      </w:r>
      <w:r>
        <w:rPr>
          <w:rStyle w:val="28"/>
          <w:color w:val="auto"/>
          <w:sz w:val="28"/>
          <w:szCs w:val="28"/>
        </w:rPr>
        <w:t xml:space="preserve">  </w:t>
      </w:r>
      <w:r>
        <w:rPr>
          <w:rStyle w:val="28"/>
          <w:rFonts w:hint="eastAsia"/>
          <w:color w:val="auto"/>
          <w:sz w:val="28"/>
          <w:szCs w:val="28"/>
        </w:rPr>
        <w:t>工程概况</w:t>
      </w:r>
      <w:r>
        <w:rPr>
          <w:sz w:val="28"/>
          <w:szCs w:val="28"/>
        </w:rPr>
        <w:tab/>
      </w:r>
      <w:r>
        <w:rPr>
          <w:sz w:val="28"/>
          <w:szCs w:val="28"/>
        </w:rPr>
        <w:fldChar w:fldCharType="begin"/>
      </w:r>
      <w:r>
        <w:rPr>
          <w:sz w:val="28"/>
          <w:szCs w:val="28"/>
        </w:rPr>
        <w:instrText xml:space="preserve"> PAGEREF _Toc520382820 \h </w:instrText>
      </w:r>
      <w:r>
        <w:rPr>
          <w:sz w:val="28"/>
          <w:szCs w:val="28"/>
        </w:rPr>
        <w:fldChar w:fldCharType="separate"/>
      </w:r>
      <w:r>
        <w:rPr>
          <w:sz w:val="28"/>
          <w:szCs w:val="28"/>
        </w:rPr>
        <w:t>8</w:t>
      </w:r>
      <w:r>
        <w:rPr>
          <w:sz w:val="28"/>
          <w:szCs w:val="28"/>
        </w:rPr>
        <w:fldChar w:fldCharType="end"/>
      </w:r>
      <w:r>
        <w:rPr>
          <w:sz w:val="28"/>
          <w:szCs w:val="28"/>
        </w:rPr>
        <w:fldChar w:fldCharType="end"/>
      </w:r>
    </w:p>
    <w:p w14:paraId="78640B97">
      <w:pPr>
        <w:pStyle w:val="19"/>
        <w:tabs>
          <w:tab w:val="right" w:leader="dot" w:pos="9016"/>
        </w:tabs>
        <w:spacing w:line="360" w:lineRule="auto"/>
        <w:ind w:left="0" w:leftChars="0"/>
        <w:rPr>
          <w:rFonts w:asciiTheme="minorHAnsi" w:hAnsiTheme="minorHAnsi" w:eastAsiaTheme="minorEastAsia" w:cstheme="minorBidi"/>
          <w:sz w:val="28"/>
          <w:szCs w:val="28"/>
        </w:rPr>
      </w:pPr>
      <w:r>
        <w:fldChar w:fldCharType="begin"/>
      </w:r>
      <w:r>
        <w:instrText xml:space="preserve"> HYPERLINK \l "_Toc520382821" </w:instrText>
      </w:r>
      <w:r>
        <w:fldChar w:fldCharType="separate"/>
      </w:r>
      <w:r>
        <w:rPr>
          <w:rStyle w:val="28"/>
          <w:rFonts w:hint="eastAsia"/>
          <w:color w:val="auto"/>
          <w:sz w:val="28"/>
          <w:szCs w:val="28"/>
        </w:rPr>
        <w:t>表五</w:t>
      </w:r>
      <w:r>
        <w:rPr>
          <w:rStyle w:val="28"/>
          <w:color w:val="auto"/>
          <w:sz w:val="28"/>
          <w:szCs w:val="28"/>
        </w:rPr>
        <w:t xml:space="preserve">  </w:t>
      </w:r>
      <w:r>
        <w:rPr>
          <w:rStyle w:val="28"/>
          <w:rFonts w:hint="eastAsia"/>
          <w:color w:val="auto"/>
          <w:sz w:val="28"/>
          <w:szCs w:val="28"/>
        </w:rPr>
        <w:t>环境影响评价回顾</w:t>
      </w:r>
      <w:r>
        <w:rPr>
          <w:sz w:val="28"/>
          <w:szCs w:val="28"/>
        </w:rPr>
        <w:tab/>
      </w:r>
      <w:r>
        <w:rPr>
          <w:sz w:val="28"/>
          <w:szCs w:val="28"/>
        </w:rPr>
        <w:fldChar w:fldCharType="begin"/>
      </w:r>
      <w:r>
        <w:rPr>
          <w:sz w:val="28"/>
          <w:szCs w:val="28"/>
        </w:rPr>
        <w:instrText xml:space="preserve"> PAGEREF _Toc520382821 \h </w:instrText>
      </w:r>
      <w:r>
        <w:rPr>
          <w:sz w:val="28"/>
          <w:szCs w:val="28"/>
        </w:rPr>
        <w:fldChar w:fldCharType="separate"/>
      </w:r>
      <w:r>
        <w:rPr>
          <w:sz w:val="28"/>
          <w:szCs w:val="28"/>
        </w:rPr>
        <w:t>28</w:t>
      </w:r>
      <w:r>
        <w:rPr>
          <w:sz w:val="28"/>
          <w:szCs w:val="28"/>
        </w:rPr>
        <w:fldChar w:fldCharType="end"/>
      </w:r>
      <w:r>
        <w:rPr>
          <w:sz w:val="28"/>
          <w:szCs w:val="28"/>
        </w:rPr>
        <w:fldChar w:fldCharType="end"/>
      </w:r>
    </w:p>
    <w:p w14:paraId="06CC1689">
      <w:pPr>
        <w:pStyle w:val="19"/>
        <w:tabs>
          <w:tab w:val="right" w:leader="dot" w:pos="9016"/>
        </w:tabs>
        <w:spacing w:line="360" w:lineRule="auto"/>
        <w:ind w:left="0" w:leftChars="0"/>
        <w:rPr>
          <w:rFonts w:asciiTheme="minorHAnsi" w:hAnsiTheme="minorHAnsi" w:eastAsiaTheme="minorEastAsia" w:cstheme="minorBidi"/>
          <w:sz w:val="28"/>
          <w:szCs w:val="28"/>
        </w:rPr>
      </w:pPr>
      <w:r>
        <w:fldChar w:fldCharType="begin"/>
      </w:r>
      <w:r>
        <w:instrText xml:space="preserve"> HYPERLINK \l "_Toc520382822" </w:instrText>
      </w:r>
      <w:r>
        <w:fldChar w:fldCharType="separate"/>
      </w:r>
      <w:r>
        <w:rPr>
          <w:rStyle w:val="28"/>
          <w:rFonts w:hint="eastAsia"/>
          <w:color w:val="auto"/>
          <w:sz w:val="28"/>
          <w:szCs w:val="28"/>
        </w:rPr>
        <w:t>表六</w:t>
      </w:r>
      <w:r>
        <w:rPr>
          <w:rStyle w:val="28"/>
          <w:color w:val="auto"/>
          <w:sz w:val="28"/>
          <w:szCs w:val="28"/>
        </w:rPr>
        <w:t xml:space="preserve">  </w:t>
      </w:r>
      <w:r>
        <w:rPr>
          <w:rStyle w:val="28"/>
          <w:rFonts w:hint="eastAsia"/>
          <w:color w:val="auto"/>
          <w:sz w:val="28"/>
          <w:szCs w:val="28"/>
        </w:rPr>
        <w:t>环境保护措施执行情况</w:t>
      </w:r>
      <w:r>
        <w:rPr>
          <w:sz w:val="28"/>
          <w:szCs w:val="28"/>
        </w:rPr>
        <w:tab/>
      </w:r>
      <w:r>
        <w:rPr>
          <w:sz w:val="28"/>
          <w:szCs w:val="28"/>
        </w:rPr>
        <w:fldChar w:fldCharType="begin"/>
      </w:r>
      <w:r>
        <w:rPr>
          <w:sz w:val="28"/>
          <w:szCs w:val="28"/>
        </w:rPr>
        <w:instrText xml:space="preserve"> PAGEREF _Toc520382822 \h </w:instrText>
      </w:r>
      <w:r>
        <w:rPr>
          <w:sz w:val="28"/>
          <w:szCs w:val="28"/>
        </w:rPr>
        <w:fldChar w:fldCharType="separate"/>
      </w:r>
      <w:r>
        <w:rPr>
          <w:sz w:val="28"/>
          <w:szCs w:val="28"/>
        </w:rPr>
        <w:t>32</w:t>
      </w:r>
      <w:r>
        <w:rPr>
          <w:sz w:val="28"/>
          <w:szCs w:val="28"/>
        </w:rPr>
        <w:fldChar w:fldCharType="end"/>
      </w:r>
      <w:r>
        <w:rPr>
          <w:sz w:val="28"/>
          <w:szCs w:val="28"/>
        </w:rPr>
        <w:fldChar w:fldCharType="end"/>
      </w:r>
    </w:p>
    <w:p w14:paraId="7DF7D551">
      <w:pPr>
        <w:pStyle w:val="19"/>
        <w:tabs>
          <w:tab w:val="right" w:leader="dot" w:pos="9016"/>
        </w:tabs>
        <w:spacing w:line="360" w:lineRule="auto"/>
        <w:ind w:left="0" w:leftChars="0"/>
        <w:rPr>
          <w:rFonts w:asciiTheme="minorHAnsi" w:hAnsiTheme="minorHAnsi" w:eastAsiaTheme="minorEastAsia" w:cstheme="minorBidi"/>
          <w:sz w:val="28"/>
          <w:szCs w:val="28"/>
        </w:rPr>
      </w:pPr>
      <w:r>
        <w:fldChar w:fldCharType="begin"/>
      </w:r>
      <w:r>
        <w:instrText xml:space="preserve"> HYPERLINK \l "_Toc520382823" </w:instrText>
      </w:r>
      <w:r>
        <w:fldChar w:fldCharType="separate"/>
      </w:r>
      <w:r>
        <w:rPr>
          <w:rStyle w:val="28"/>
          <w:rFonts w:hint="eastAsia"/>
          <w:color w:val="auto"/>
          <w:sz w:val="28"/>
          <w:szCs w:val="28"/>
        </w:rPr>
        <w:t>表七</w:t>
      </w:r>
      <w:r>
        <w:rPr>
          <w:rStyle w:val="28"/>
          <w:color w:val="auto"/>
          <w:sz w:val="28"/>
          <w:szCs w:val="28"/>
        </w:rPr>
        <w:t xml:space="preserve">  </w:t>
      </w:r>
      <w:r>
        <w:rPr>
          <w:rStyle w:val="28"/>
          <w:rFonts w:hint="eastAsia"/>
          <w:color w:val="auto"/>
          <w:sz w:val="28"/>
          <w:szCs w:val="28"/>
        </w:rPr>
        <w:t>环境影响调查</w:t>
      </w:r>
      <w:r>
        <w:rPr>
          <w:sz w:val="28"/>
          <w:szCs w:val="28"/>
        </w:rPr>
        <w:tab/>
      </w:r>
      <w:r>
        <w:rPr>
          <w:sz w:val="28"/>
          <w:szCs w:val="28"/>
        </w:rPr>
        <w:fldChar w:fldCharType="begin"/>
      </w:r>
      <w:r>
        <w:rPr>
          <w:sz w:val="28"/>
          <w:szCs w:val="28"/>
        </w:rPr>
        <w:instrText xml:space="preserve"> PAGEREF _Toc520382823 \h </w:instrText>
      </w:r>
      <w:r>
        <w:rPr>
          <w:sz w:val="28"/>
          <w:szCs w:val="28"/>
        </w:rPr>
        <w:fldChar w:fldCharType="separate"/>
      </w:r>
      <w:r>
        <w:rPr>
          <w:sz w:val="28"/>
          <w:szCs w:val="28"/>
        </w:rPr>
        <w:t>35</w:t>
      </w:r>
      <w:r>
        <w:rPr>
          <w:sz w:val="28"/>
          <w:szCs w:val="28"/>
        </w:rPr>
        <w:fldChar w:fldCharType="end"/>
      </w:r>
      <w:r>
        <w:rPr>
          <w:sz w:val="28"/>
          <w:szCs w:val="28"/>
        </w:rPr>
        <w:fldChar w:fldCharType="end"/>
      </w:r>
    </w:p>
    <w:p w14:paraId="57701BE9">
      <w:pPr>
        <w:pStyle w:val="19"/>
        <w:tabs>
          <w:tab w:val="right" w:leader="dot" w:pos="9016"/>
        </w:tabs>
        <w:spacing w:line="360" w:lineRule="auto"/>
        <w:ind w:left="0" w:leftChars="0"/>
        <w:rPr>
          <w:rFonts w:asciiTheme="minorHAnsi" w:hAnsiTheme="minorHAnsi" w:eastAsiaTheme="minorEastAsia" w:cstheme="minorBidi"/>
          <w:sz w:val="28"/>
          <w:szCs w:val="28"/>
        </w:rPr>
      </w:pPr>
      <w:r>
        <w:fldChar w:fldCharType="begin"/>
      </w:r>
      <w:r>
        <w:instrText xml:space="preserve"> HYPERLINK \l "_Toc520382824" </w:instrText>
      </w:r>
      <w:r>
        <w:fldChar w:fldCharType="separate"/>
      </w:r>
      <w:r>
        <w:rPr>
          <w:rStyle w:val="28"/>
          <w:rFonts w:hint="eastAsia"/>
          <w:color w:val="auto"/>
          <w:sz w:val="28"/>
          <w:szCs w:val="28"/>
        </w:rPr>
        <w:t>表八</w:t>
      </w:r>
      <w:r>
        <w:rPr>
          <w:rStyle w:val="28"/>
          <w:color w:val="auto"/>
          <w:sz w:val="28"/>
          <w:szCs w:val="28"/>
        </w:rPr>
        <w:t xml:space="preserve">  </w:t>
      </w:r>
      <w:r>
        <w:rPr>
          <w:rStyle w:val="28"/>
          <w:rFonts w:hint="eastAsia"/>
          <w:color w:val="auto"/>
          <w:sz w:val="28"/>
          <w:szCs w:val="28"/>
        </w:rPr>
        <w:t>环境质量及污染源监测</w:t>
      </w:r>
      <w:r>
        <w:rPr>
          <w:sz w:val="28"/>
          <w:szCs w:val="28"/>
        </w:rPr>
        <w:tab/>
      </w:r>
      <w:r>
        <w:rPr>
          <w:sz w:val="28"/>
          <w:szCs w:val="28"/>
        </w:rPr>
        <w:fldChar w:fldCharType="begin"/>
      </w:r>
      <w:r>
        <w:rPr>
          <w:sz w:val="28"/>
          <w:szCs w:val="28"/>
        </w:rPr>
        <w:instrText xml:space="preserve"> PAGEREF _Toc520382824 \h </w:instrText>
      </w:r>
      <w:r>
        <w:rPr>
          <w:sz w:val="28"/>
          <w:szCs w:val="28"/>
        </w:rPr>
        <w:fldChar w:fldCharType="separate"/>
      </w:r>
      <w:r>
        <w:rPr>
          <w:sz w:val="28"/>
          <w:szCs w:val="28"/>
        </w:rPr>
        <w:t>36</w:t>
      </w:r>
      <w:r>
        <w:rPr>
          <w:sz w:val="28"/>
          <w:szCs w:val="28"/>
        </w:rPr>
        <w:fldChar w:fldCharType="end"/>
      </w:r>
      <w:r>
        <w:rPr>
          <w:sz w:val="28"/>
          <w:szCs w:val="28"/>
        </w:rPr>
        <w:fldChar w:fldCharType="end"/>
      </w:r>
    </w:p>
    <w:p w14:paraId="7D2DF82A">
      <w:pPr>
        <w:pStyle w:val="19"/>
        <w:tabs>
          <w:tab w:val="right" w:leader="dot" w:pos="9016"/>
        </w:tabs>
        <w:spacing w:line="360" w:lineRule="auto"/>
        <w:ind w:left="0" w:leftChars="0"/>
        <w:rPr>
          <w:rFonts w:asciiTheme="minorHAnsi" w:hAnsiTheme="minorHAnsi" w:eastAsiaTheme="minorEastAsia" w:cstheme="minorBidi"/>
          <w:sz w:val="28"/>
          <w:szCs w:val="28"/>
        </w:rPr>
      </w:pPr>
      <w:r>
        <w:fldChar w:fldCharType="begin"/>
      </w:r>
      <w:r>
        <w:instrText xml:space="preserve"> HYPERLINK \l "_Toc520382825" </w:instrText>
      </w:r>
      <w:r>
        <w:fldChar w:fldCharType="separate"/>
      </w:r>
      <w:r>
        <w:rPr>
          <w:rStyle w:val="28"/>
          <w:rFonts w:hint="eastAsia"/>
          <w:color w:val="auto"/>
          <w:sz w:val="28"/>
          <w:szCs w:val="28"/>
        </w:rPr>
        <w:t>表九</w:t>
      </w:r>
      <w:r>
        <w:rPr>
          <w:rStyle w:val="28"/>
          <w:color w:val="auto"/>
          <w:sz w:val="28"/>
          <w:szCs w:val="28"/>
        </w:rPr>
        <w:t xml:space="preserve">  </w:t>
      </w:r>
      <w:r>
        <w:rPr>
          <w:rStyle w:val="28"/>
          <w:rFonts w:hint="eastAsia"/>
          <w:color w:val="auto"/>
          <w:sz w:val="28"/>
          <w:szCs w:val="28"/>
        </w:rPr>
        <w:t>环境管理状况及监测计划</w:t>
      </w:r>
      <w:r>
        <w:rPr>
          <w:sz w:val="28"/>
          <w:szCs w:val="28"/>
        </w:rPr>
        <w:tab/>
      </w:r>
      <w:r>
        <w:rPr>
          <w:sz w:val="28"/>
          <w:szCs w:val="28"/>
        </w:rPr>
        <w:fldChar w:fldCharType="begin"/>
      </w:r>
      <w:r>
        <w:rPr>
          <w:sz w:val="28"/>
          <w:szCs w:val="28"/>
        </w:rPr>
        <w:instrText xml:space="preserve"> PAGEREF _Toc520382825 \h </w:instrText>
      </w:r>
      <w:r>
        <w:rPr>
          <w:sz w:val="28"/>
          <w:szCs w:val="28"/>
        </w:rPr>
        <w:fldChar w:fldCharType="separate"/>
      </w:r>
      <w:r>
        <w:rPr>
          <w:sz w:val="28"/>
          <w:szCs w:val="28"/>
        </w:rPr>
        <w:t>38</w:t>
      </w:r>
      <w:r>
        <w:rPr>
          <w:sz w:val="28"/>
          <w:szCs w:val="28"/>
        </w:rPr>
        <w:fldChar w:fldCharType="end"/>
      </w:r>
      <w:r>
        <w:rPr>
          <w:sz w:val="28"/>
          <w:szCs w:val="28"/>
        </w:rPr>
        <w:fldChar w:fldCharType="end"/>
      </w:r>
    </w:p>
    <w:p w14:paraId="16944E9F">
      <w:pPr>
        <w:pStyle w:val="19"/>
        <w:tabs>
          <w:tab w:val="right" w:leader="dot" w:pos="9016"/>
        </w:tabs>
        <w:spacing w:line="360" w:lineRule="auto"/>
        <w:ind w:left="0" w:leftChars="0"/>
        <w:rPr>
          <w:rFonts w:asciiTheme="minorHAnsi" w:hAnsiTheme="minorHAnsi" w:eastAsiaTheme="minorEastAsia" w:cstheme="minorBidi"/>
          <w:sz w:val="28"/>
          <w:szCs w:val="28"/>
        </w:rPr>
      </w:pPr>
      <w:r>
        <w:fldChar w:fldCharType="begin"/>
      </w:r>
      <w:r>
        <w:instrText xml:space="preserve"> HYPERLINK \l "_Toc520382826" </w:instrText>
      </w:r>
      <w:r>
        <w:fldChar w:fldCharType="separate"/>
      </w:r>
      <w:r>
        <w:rPr>
          <w:rStyle w:val="28"/>
          <w:rFonts w:hint="eastAsia"/>
          <w:color w:val="auto"/>
          <w:sz w:val="28"/>
          <w:szCs w:val="28"/>
        </w:rPr>
        <w:t>表十</w:t>
      </w:r>
      <w:r>
        <w:rPr>
          <w:rStyle w:val="28"/>
          <w:color w:val="auto"/>
          <w:sz w:val="28"/>
          <w:szCs w:val="28"/>
        </w:rPr>
        <w:t xml:space="preserve">  </w:t>
      </w:r>
      <w:r>
        <w:rPr>
          <w:rStyle w:val="28"/>
          <w:rFonts w:hint="eastAsia"/>
          <w:color w:val="auto"/>
          <w:sz w:val="28"/>
          <w:szCs w:val="28"/>
        </w:rPr>
        <w:t>调查结论与建议</w:t>
      </w:r>
      <w:r>
        <w:rPr>
          <w:sz w:val="28"/>
          <w:szCs w:val="28"/>
        </w:rPr>
        <w:tab/>
      </w:r>
      <w:r>
        <w:rPr>
          <w:sz w:val="28"/>
          <w:szCs w:val="28"/>
        </w:rPr>
        <w:fldChar w:fldCharType="begin"/>
      </w:r>
      <w:r>
        <w:rPr>
          <w:sz w:val="28"/>
          <w:szCs w:val="28"/>
        </w:rPr>
        <w:instrText xml:space="preserve"> PAGEREF _Toc520382826 \h </w:instrText>
      </w:r>
      <w:r>
        <w:rPr>
          <w:sz w:val="28"/>
          <w:szCs w:val="28"/>
        </w:rPr>
        <w:fldChar w:fldCharType="separate"/>
      </w:r>
      <w:r>
        <w:rPr>
          <w:sz w:val="28"/>
          <w:szCs w:val="28"/>
        </w:rPr>
        <w:t>39</w:t>
      </w:r>
      <w:r>
        <w:rPr>
          <w:sz w:val="28"/>
          <w:szCs w:val="28"/>
        </w:rPr>
        <w:fldChar w:fldCharType="end"/>
      </w:r>
      <w:r>
        <w:rPr>
          <w:sz w:val="28"/>
          <w:szCs w:val="28"/>
        </w:rPr>
        <w:fldChar w:fldCharType="end"/>
      </w:r>
    </w:p>
    <w:p w14:paraId="5FEE15D0">
      <w:pPr>
        <w:spacing w:line="360" w:lineRule="auto"/>
      </w:pPr>
      <w:r>
        <w:rPr>
          <w:sz w:val="28"/>
          <w:szCs w:val="28"/>
        </w:rPr>
        <w:fldChar w:fldCharType="end"/>
      </w:r>
    </w:p>
    <w:p w14:paraId="136421E5">
      <w:pPr>
        <w:jc w:val="center"/>
        <w:rPr>
          <w:rFonts w:eastAsia="黑体"/>
          <w:sz w:val="30"/>
          <w:szCs w:val="30"/>
        </w:rPr>
      </w:pPr>
    </w:p>
    <w:p w14:paraId="71B6BD14">
      <w:pPr>
        <w:jc w:val="center"/>
        <w:rPr>
          <w:rFonts w:eastAsia="黑体"/>
          <w:sz w:val="30"/>
          <w:szCs w:val="30"/>
        </w:rPr>
      </w:pPr>
    </w:p>
    <w:p w14:paraId="1567D53A">
      <w:pPr>
        <w:jc w:val="center"/>
        <w:rPr>
          <w:rFonts w:eastAsia="黑体"/>
          <w:sz w:val="30"/>
          <w:szCs w:val="30"/>
        </w:rPr>
      </w:pPr>
    </w:p>
    <w:p w14:paraId="60E5DC4A">
      <w:pPr>
        <w:jc w:val="center"/>
        <w:rPr>
          <w:rFonts w:eastAsia="黑体"/>
          <w:sz w:val="30"/>
          <w:szCs w:val="30"/>
        </w:rPr>
        <w:sectPr>
          <w:pgSz w:w="11906" w:h="16838"/>
          <w:pgMar w:top="1440" w:right="1440" w:bottom="1440" w:left="1440" w:header="851" w:footer="992" w:gutter="0"/>
          <w:pgBorders>
            <w:top w:val="none" w:sz="0" w:space="0"/>
            <w:left w:val="none" w:sz="0" w:space="0"/>
            <w:bottom w:val="none" w:sz="0" w:space="0"/>
            <w:right w:val="none" w:sz="0" w:space="0"/>
          </w:pgBorders>
          <w:cols w:space="720" w:num="1"/>
          <w:docGrid w:type="lines" w:linePitch="312" w:charSpace="0"/>
        </w:sectPr>
      </w:pPr>
    </w:p>
    <w:p w14:paraId="615D8562">
      <w:pPr>
        <w:pStyle w:val="4"/>
        <w:rPr>
          <w:rFonts w:ascii="Times New Roman" w:hAnsi="Times New Roman"/>
          <w:color w:val="auto"/>
        </w:rPr>
      </w:pPr>
      <w:bookmarkStart w:id="0" w:name="_Toc520382817"/>
      <w:r>
        <w:rPr>
          <w:rFonts w:ascii="Times New Roman" w:hAnsi="Times New Roman"/>
          <w:color w:val="auto"/>
        </w:rPr>
        <w:t xml:space="preserve">表一  </w:t>
      </w:r>
      <w:r>
        <w:rPr>
          <w:rFonts w:hint="eastAsia" w:ascii="Times New Roman" w:hAnsi="Times New Roman"/>
          <w:color w:val="auto"/>
        </w:rPr>
        <w:t>项目总体情况</w:t>
      </w:r>
      <w:bookmarkEnd w:id="0"/>
    </w:p>
    <w:tbl>
      <w:tblPr>
        <w:tblStyle w:val="2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25"/>
        <w:gridCol w:w="1330"/>
        <w:gridCol w:w="1671"/>
        <w:gridCol w:w="734"/>
        <w:gridCol w:w="206"/>
        <w:gridCol w:w="540"/>
        <w:gridCol w:w="687"/>
        <w:gridCol w:w="542"/>
        <w:gridCol w:w="730"/>
        <w:gridCol w:w="568"/>
        <w:gridCol w:w="76"/>
        <w:gridCol w:w="877"/>
      </w:tblGrid>
      <w:tr w14:paraId="103E0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9" w:type="pct"/>
            <w:gridSpan w:val="2"/>
            <w:vAlign w:val="center"/>
          </w:tcPr>
          <w:p w14:paraId="1E585AF5">
            <w:pPr>
              <w:contextualSpacing/>
              <w:jc w:val="center"/>
              <w:rPr>
                <w:sz w:val="24"/>
              </w:rPr>
            </w:pPr>
            <w:r>
              <w:rPr>
                <w:sz w:val="24"/>
              </w:rPr>
              <w:t>建设项目名称</w:t>
            </w:r>
          </w:p>
        </w:tc>
        <w:tc>
          <w:tcPr>
            <w:tcW w:w="3571" w:type="pct"/>
            <w:gridSpan w:val="10"/>
            <w:vAlign w:val="center"/>
          </w:tcPr>
          <w:p w14:paraId="27967717">
            <w:pPr>
              <w:contextualSpacing/>
              <w:jc w:val="center"/>
              <w:rPr>
                <w:sz w:val="24"/>
              </w:rPr>
            </w:pPr>
            <w:r>
              <w:rPr>
                <w:rFonts w:hint="eastAsia"/>
                <w:sz w:val="24"/>
              </w:rPr>
              <w:t>武汉港核心区趸船码头改造提升项目（中华路客运码头）</w:t>
            </w:r>
          </w:p>
        </w:tc>
      </w:tr>
      <w:tr w14:paraId="2A3DA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9" w:type="pct"/>
            <w:gridSpan w:val="2"/>
            <w:vAlign w:val="center"/>
          </w:tcPr>
          <w:p w14:paraId="5089B7F3">
            <w:pPr>
              <w:contextualSpacing/>
              <w:jc w:val="center"/>
              <w:rPr>
                <w:sz w:val="24"/>
              </w:rPr>
            </w:pPr>
            <w:r>
              <w:rPr>
                <w:sz w:val="24"/>
              </w:rPr>
              <w:t>建设单位</w:t>
            </w:r>
          </w:p>
        </w:tc>
        <w:tc>
          <w:tcPr>
            <w:tcW w:w="3571" w:type="pct"/>
            <w:gridSpan w:val="10"/>
            <w:vAlign w:val="center"/>
          </w:tcPr>
          <w:p w14:paraId="2BB67240">
            <w:pPr>
              <w:contextualSpacing/>
              <w:jc w:val="center"/>
              <w:rPr>
                <w:rFonts w:hint="eastAsia" w:eastAsia="宋体"/>
                <w:sz w:val="24"/>
                <w:lang w:eastAsia="zh-CN"/>
              </w:rPr>
            </w:pPr>
            <w:r>
              <w:rPr>
                <w:rFonts w:hint="eastAsia"/>
                <w:sz w:val="24"/>
                <w:lang w:eastAsia="zh-CN"/>
              </w:rPr>
              <w:t>武汉两江轮渡有限责任公司（原武汉市轮渡公司）</w:t>
            </w:r>
          </w:p>
        </w:tc>
      </w:tr>
      <w:tr w14:paraId="12123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9" w:type="pct"/>
            <w:gridSpan w:val="2"/>
            <w:vAlign w:val="center"/>
          </w:tcPr>
          <w:p w14:paraId="68CCD572">
            <w:pPr>
              <w:contextualSpacing/>
              <w:jc w:val="center"/>
              <w:rPr>
                <w:sz w:val="24"/>
              </w:rPr>
            </w:pPr>
            <w:r>
              <w:rPr>
                <w:sz w:val="24"/>
              </w:rPr>
              <w:t>法人代表</w:t>
            </w:r>
          </w:p>
        </w:tc>
        <w:tc>
          <w:tcPr>
            <w:tcW w:w="1406" w:type="pct"/>
            <w:gridSpan w:val="3"/>
            <w:vAlign w:val="center"/>
          </w:tcPr>
          <w:p w14:paraId="3413833E">
            <w:pPr>
              <w:contextualSpacing/>
              <w:jc w:val="center"/>
              <w:rPr>
                <w:rFonts w:hint="eastAsia" w:eastAsia="宋体"/>
                <w:sz w:val="24"/>
                <w:lang w:eastAsia="zh-CN"/>
              </w:rPr>
            </w:pPr>
            <w:r>
              <w:rPr>
                <w:rFonts w:hint="eastAsia"/>
                <w:sz w:val="24"/>
                <w:lang w:eastAsia="zh-CN"/>
              </w:rPr>
              <w:t>吴操</w:t>
            </w:r>
          </w:p>
        </w:tc>
        <w:tc>
          <w:tcPr>
            <w:tcW w:w="953" w:type="pct"/>
            <w:gridSpan w:val="3"/>
            <w:vAlign w:val="center"/>
          </w:tcPr>
          <w:p w14:paraId="283BEEE0">
            <w:pPr>
              <w:contextualSpacing/>
              <w:jc w:val="center"/>
              <w:rPr>
                <w:sz w:val="24"/>
              </w:rPr>
            </w:pPr>
            <w:r>
              <w:rPr>
                <w:sz w:val="24"/>
              </w:rPr>
              <w:t>联系人</w:t>
            </w:r>
          </w:p>
        </w:tc>
        <w:tc>
          <w:tcPr>
            <w:tcW w:w="1213" w:type="pct"/>
            <w:gridSpan w:val="4"/>
            <w:vAlign w:val="center"/>
          </w:tcPr>
          <w:p w14:paraId="242E6207">
            <w:pPr>
              <w:contextualSpacing/>
              <w:jc w:val="center"/>
              <w:rPr>
                <w:sz w:val="24"/>
              </w:rPr>
            </w:pPr>
            <w:r>
              <w:rPr>
                <w:rFonts w:hint="eastAsia"/>
                <w:sz w:val="24"/>
                <w:lang w:val="en-US" w:eastAsia="zh-CN"/>
              </w:rPr>
              <w:t>王晓东</w:t>
            </w:r>
          </w:p>
        </w:tc>
      </w:tr>
      <w:tr w14:paraId="2541EF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9" w:type="pct"/>
            <w:gridSpan w:val="2"/>
            <w:vAlign w:val="center"/>
          </w:tcPr>
          <w:p w14:paraId="33BC6139">
            <w:pPr>
              <w:contextualSpacing/>
              <w:jc w:val="center"/>
              <w:rPr>
                <w:sz w:val="24"/>
              </w:rPr>
            </w:pPr>
            <w:r>
              <w:rPr>
                <w:sz w:val="24"/>
              </w:rPr>
              <w:t>通信地址</w:t>
            </w:r>
          </w:p>
        </w:tc>
        <w:tc>
          <w:tcPr>
            <w:tcW w:w="3571" w:type="pct"/>
            <w:gridSpan w:val="10"/>
            <w:vAlign w:val="center"/>
          </w:tcPr>
          <w:p w14:paraId="7F97B7BB">
            <w:pPr>
              <w:contextualSpacing/>
              <w:jc w:val="center"/>
              <w:rPr>
                <w:sz w:val="24"/>
              </w:rPr>
            </w:pPr>
            <w:r>
              <w:rPr>
                <w:rFonts w:hint="eastAsia"/>
                <w:sz w:val="24"/>
              </w:rPr>
              <w:t>武汉市江岸区南京路宝润里1号</w:t>
            </w:r>
          </w:p>
        </w:tc>
      </w:tr>
      <w:tr w14:paraId="4D75D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9" w:type="pct"/>
            <w:gridSpan w:val="2"/>
            <w:vAlign w:val="center"/>
          </w:tcPr>
          <w:p w14:paraId="53BBC50C">
            <w:pPr>
              <w:contextualSpacing/>
              <w:jc w:val="center"/>
              <w:rPr>
                <w:sz w:val="24"/>
              </w:rPr>
            </w:pPr>
            <w:r>
              <w:rPr>
                <w:sz w:val="24"/>
              </w:rPr>
              <w:t>联系电话</w:t>
            </w:r>
          </w:p>
        </w:tc>
        <w:tc>
          <w:tcPr>
            <w:tcW w:w="900" w:type="pct"/>
          </w:tcPr>
          <w:p w14:paraId="59980B03">
            <w:pPr>
              <w:contextualSpacing/>
              <w:jc w:val="center"/>
              <w:rPr>
                <w:sz w:val="24"/>
              </w:rPr>
            </w:pPr>
            <w:r>
              <w:rPr>
                <w:rFonts w:hint="eastAsia"/>
                <w:sz w:val="24"/>
                <w:lang w:val="en-US" w:eastAsia="zh-CN"/>
              </w:rPr>
              <w:t>027-82836854</w:t>
            </w:r>
          </w:p>
        </w:tc>
        <w:tc>
          <w:tcPr>
            <w:tcW w:w="506" w:type="pct"/>
            <w:gridSpan w:val="2"/>
          </w:tcPr>
          <w:p w14:paraId="4DDE0A3A">
            <w:pPr>
              <w:contextualSpacing/>
              <w:jc w:val="center"/>
              <w:rPr>
                <w:sz w:val="24"/>
              </w:rPr>
            </w:pPr>
            <w:r>
              <w:rPr>
                <w:rFonts w:hint="eastAsia"/>
                <w:sz w:val="24"/>
              </w:rPr>
              <w:t>传 真</w:t>
            </w:r>
          </w:p>
        </w:tc>
        <w:tc>
          <w:tcPr>
            <w:tcW w:w="953" w:type="pct"/>
            <w:gridSpan w:val="3"/>
          </w:tcPr>
          <w:p w14:paraId="4EECD554">
            <w:pPr>
              <w:contextualSpacing/>
              <w:jc w:val="center"/>
              <w:rPr>
                <w:sz w:val="24"/>
              </w:rPr>
            </w:pPr>
            <w:r>
              <w:rPr>
                <w:rFonts w:hint="eastAsia"/>
                <w:sz w:val="24"/>
              </w:rPr>
              <w:t>--</w:t>
            </w:r>
          </w:p>
        </w:tc>
        <w:tc>
          <w:tcPr>
            <w:tcW w:w="699" w:type="pct"/>
            <w:gridSpan w:val="2"/>
          </w:tcPr>
          <w:p w14:paraId="26662A99">
            <w:pPr>
              <w:contextualSpacing/>
              <w:jc w:val="center"/>
              <w:rPr>
                <w:sz w:val="24"/>
              </w:rPr>
            </w:pPr>
            <w:r>
              <w:rPr>
                <w:rFonts w:hint="eastAsia"/>
                <w:sz w:val="24"/>
              </w:rPr>
              <w:t>邮政编码</w:t>
            </w:r>
          </w:p>
        </w:tc>
        <w:tc>
          <w:tcPr>
            <w:tcW w:w="514" w:type="pct"/>
            <w:gridSpan w:val="2"/>
          </w:tcPr>
          <w:p w14:paraId="57149B17">
            <w:pPr>
              <w:contextualSpacing/>
              <w:jc w:val="center"/>
              <w:rPr>
                <w:sz w:val="24"/>
              </w:rPr>
            </w:pPr>
            <w:r>
              <w:rPr>
                <w:rFonts w:hint="eastAsia"/>
                <w:sz w:val="24"/>
              </w:rPr>
              <w:t>430000</w:t>
            </w:r>
          </w:p>
        </w:tc>
      </w:tr>
      <w:tr w14:paraId="2471E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9" w:type="pct"/>
            <w:gridSpan w:val="2"/>
            <w:vAlign w:val="center"/>
          </w:tcPr>
          <w:p w14:paraId="2D937A6F">
            <w:pPr>
              <w:contextualSpacing/>
              <w:jc w:val="center"/>
              <w:rPr>
                <w:sz w:val="24"/>
              </w:rPr>
            </w:pPr>
            <w:r>
              <w:rPr>
                <w:sz w:val="24"/>
              </w:rPr>
              <w:t>建设地点</w:t>
            </w:r>
          </w:p>
        </w:tc>
        <w:tc>
          <w:tcPr>
            <w:tcW w:w="3571" w:type="pct"/>
            <w:gridSpan w:val="10"/>
            <w:vAlign w:val="center"/>
          </w:tcPr>
          <w:p w14:paraId="6CCDFC53">
            <w:pPr>
              <w:contextualSpacing/>
              <w:jc w:val="center"/>
              <w:rPr>
                <w:sz w:val="24"/>
              </w:rPr>
            </w:pPr>
            <w:r>
              <w:rPr>
                <w:rFonts w:hint="eastAsia" w:ascii="Times New Roman" w:hAnsi="Times New Roman" w:eastAsia="宋体" w:cs="Times New Roman"/>
                <w:sz w:val="24"/>
                <w:lang w:eastAsia="zh-CN"/>
              </w:rPr>
              <w:t>武汉市武昌区中华路码头</w:t>
            </w:r>
          </w:p>
        </w:tc>
      </w:tr>
      <w:tr w14:paraId="4436C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9" w:type="pct"/>
            <w:gridSpan w:val="2"/>
            <w:vAlign w:val="center"/>
          </w:tcPr>
          <w:p w14:paraId="174935FF">
            <w:pPr>
              <w:contextualSpacing/>
              <w:jc w:val="center"/>
              <w:rPr>
                <w:sz w:val="24"/>
              </w:rPr>
            </w:pPr>
            <w:r>
              <w:rPr>
                <w:sz w:val="24"/>
              </w:rPr>
              <w:t>项目性质</w:t>
            </w:r>
          </w:p>
        </w:tc>
        <w:tc>
          <w:tcPr>
            <w:tcW w:w="1406" w:type="pct"/>
            <w:gridSpan w:val="3"/>
            <w:vAlign w:val="center"/>
          </w:tcPr>
          <w:p w14:paraId="61D29B8C">
            <w:pPr>
              <w:contextualSpacing/>
              <w:jc w:val="center"/>
              <w:rPr>
                <w:sz w:val="24"/>
              </w:rPr>
            </w:pPr>
            <w:r>
              <w:rPr>
                <w:sz w:val="24"/>
              </w:rPr>
              <w:t xml:space="preserve">新建√ </w:t>
            </w:r>
            <w:r>
              <w:rPr>
                <w:rFonts w:hint="eastAsia"/>
                <w:sz w:val="24"/>
              </w:rPr>
              <w:t xml:space="preserve"> </w:t>
            </w:r>
            <w:r>
              <w:rPr>
                <w:sz w:val="24"/>
              </w:rPr>
              <w:t xml:space="preserve">改扩建 </w:t>
            </w:r>
            <w:r>
              <w:rPr>
                <w:rFonts w:hint="eastAsia"/>
                <w:sz w:val="24"/>
              </w:rPr>
              <w:t xml:space="preserve"> </w:t>
            </w:r>
            <w:r>
              <w:rPr>
                <w:sz w:val="24"/>
              </w:rPr>
              <w:t>技改</w:t>
            </w:r>
          </w:p>
        </w:tc>
        <w:tc>
          <w:tcPr>
            <w:tcW w:w="661" w:type="pct"/>
            <w:gridSpan w:val="2"/>
            <w:vAlign w:val="center"/>
          </w:tcPr>
          <w:p w14:paraId="0EB55C14">
            <w:pPr>
              <w:contextualSpacing/>
              <w:jc w:val="center"/>
              <w:rPr>
                <w:sz w:val="24"/>
              </w:rPr>
            </w:pPr>
            <w:r>
              <w:rPr>
                <w:sz w:val="24"/>
              </w:rPr>
              <w:t>行业类别</w:t>
            </w:r>
          </w:p>
        </w:tc>
        <w:tc>
          <w:tcPr>
            <w:tcW w:w="1504" w:type="pct"/>
            <w:gridSpan w:val="5"/>
            <w:vAlign w:val="center"/>
          </w:tcPr>
          <w:p w14:paraId="520FC261">
            <w:pPr>
              <w:contextualSpacing/>
              <w:jc w:val="center"/>
              <w:rPr>
                <w:sz w:val="24"/>
              </w:rPr>
            </w:pPr>
            <w:r>
              <w:rPr>
                <w:sz w:val="24"/>
              </w:rPr>
              <w:t>G55</w:t>
            </w:r>
            <w:r>
              <w:rPr>
                <w:rFonts w:hint="eastAsia"/>
                <w:sz w:val="24"/>
              </w:rPr>
              <w:t>39</w:t>
            </w:r>
            <w:r>
              <w:rPr>
                <w:sz w:val="24"/>
              </w:rPr>
              <w:t xml:space="preserve"> </w:t>
            </w:r>
            <w:r>
              <w:rPr>
                <w:rFonts w:hint="eastAsia"/>
                <w:sz w:val="24"/>
              </w:rPr>
              <w:t>其他水上运动辅助活动</w:t>
            </w:r>
          </w:p>
        </w:tc>
      </w:tr>
      <w:tr w14:paraId="6B65E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9" w:type="pct"/>
            <w:gridSpan w:val="2"/>
            <w:vAlign w:val="center"/>
          </w:tcPr>
          <w:p w14:paraId="14D773DF">
            <w:pPr>
              <w:contextualSpacing/>
              <w:jc w:val="center"/>
              <w:rPr>
                <w:sz w:val="24"/>
              </w:rPr>
            </w:pPr>
            <w:r>
              <w:rPr>
                <w:sz w:val="24"/>
              </w:rPr>
              <w:t>环境影响报告表名称</w:t>
            </w:r>
          </w:p>
        </w:tc>
        <w:tc>
          <w:tcPr>
            <w:tcW w:w="3571" w:type="pct"/>
            <w:gridSpan w:val="10"/>
            <w:vAlign w:val="center"/>
          </w:tcPr>
          <w:p w14:paraId="36BB9846">
            <w:pPr>
              <w:contextualSpacing/>
              <w:jc w:val="center"/>
              <w:rPr>
                <w:sz w:val="24"/>
              </w:rPr>
            </w:pPr>
            <w:r>
              <w:rPr>
                <w:rFonts w:hint="eastAsia"/>
                <w:sz w:val="24"/>
              </w:rPr>
              <w:t>武汉港核心区趸船码头改造提升项目（中华路客运码头）环境影响报告表</w:t>
            </w:r>
          </w:p>
        </w:tc>
      </w:tr>
      <w:tr w14:paraId="362205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9" w:type="pct"/>
            <w:gridSpan w:val="2"/>
            <w:vAlign w:val="center"/>
          </w:tcPr>
          <w:p w14:paraId="16E0B575">
            <w:pPr>
              <w:contextualSpacing/>
              <w:jc w:val="center"/>
              <w:rPr>
                <w:sz w:val="24"/>
              </w:rPr>
            </w:pPr>
            <w:r>
              <w:rPr>
                <w:sz w:val="24"/>
              </w:rPr>
              <w:t>环境影响评价单位</w:t>
            </w:r>
          </w:p>
        </w:tc>
        <w:tc>
          <w:tcPr>
            <w:tcW w:w="3571" w:type="pct"/>
            <w:gridSpan w:val="10"/>
            <w:vAlign w:val="center"/>
          </w:tcPr>
          <w:p w14:paraId="35C2F3B2">
            <w:pPr>
              <w:contextualSpacing/>
              <w:jc w:val="center"/>
              <w:rPr>
                <w:sz w:val="24"/>
              </w:rPr>
            </w:pPr>
            <w:r>
              <w:rPr>
                <w:rFonts w:hint="eastAsia"/>
                <w:sz w:val="24"/>
              </w:rPr>
              <w:t>武汉智汇元环保科技有限公司</w:t>
            </w:r>
          </w:p>
        </w:tc>
      </w:tr>
      <w:tr w14:paraId="2A6FD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9" w:type="pct"/>
            <w:gridSpan w:val="2"/>
            <w:vAlign w:val="center"/>
          </w:tcPr>
          <w:p w14:paraId="21758ECF">
            <w:pPr>
              <w:contextualSpacing/>
              <w:jc w:val="center"/>
              <w:rPr>
                <w:sz w:val="24"/>
              </w:rPr>
            </w:pPr>
            <w:r>
              <w:rPr>
                <w:sz w:val="24"/>
              </w:rPr>
              <w:t>初步设计单位</w:t>
            </w:r>
          </w:p>
        </w:tc>
        <w:tc>
          <w:tcPr>
            <w:tcW w:w="3571" w:type="pct"/>
            <w:gridSpan w:val="10"/>
            <w:vAlign w:val="center"/>
          </w:tcPr>
          <w:p w14:paraId="76920D7F">
            <w:pPr>
              <w:contextualSpacing/>
              <w:jc w:val="center"/>
              <w:rPr>
                <w:sz w:val="24"/>
              </w:rPr>
            </w:pPr>
            <w:r>
              <w:rPr>
                <w:rFonts w:hint="eastAsia"/>
                <w:sz w:val="24"/>
              </w:rPr>
              <w:t>中交武汉港湾工程设计研究院有限公司</w:t>
            </w:r>
          </w:p>
        </w:tc>
      </w:tr>
      <w:tr w14:paraId="199DB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9" w:type="pct"/>
            <w:gridSpan w:val="2"/>
            <w:vAlign w:val="center"/>
          </w:tcPr>
          <w:p w14:paraId="47397D3D">
            <w:pPr>
              <w:contextualSpacing/>
              <w:jc w:val="center"/>
              <w:rPr>
                <w:sz w:val="24"/>
              </w:rPr>
            </w:pPr>
            <w:r>
              <w:rPr>
                <w:sz w:val="24"/>
              </w:rPr>
              <w:t>环境影响评价审批部门</w:t>
            </w:r>
          </w:p>
        </w:tc>
        <w:tc>
          <w:tcPr>
            <w:tcW w:w="900" w:type="pct"/>
            <w:vAlign w:val="center"/>
          </w:tcPr>
          <w:p w14:paraId="08C0E696">
            <w:pPr>
              <w:contextualSpacing/>
              <w:jc w:val="center"/>
              <w:rPr>
                <w:sz w:val="24"/>
              </w:rPr>
            </w:pPr>
            <w:r>
              <w:rPr>
                <w:rFonts w:hint="eastAsia"/>
                <w:sz w:val="24"/>
              </w:rPr>
              <w:t>武汉市生态环境局</w:t>
            </w:r>
            <w:r>
              <w:rPr>
                <w:rFonts w:hint="eastAsia"/>
                <w:sz w:val="24"/>
                <w:lang w:eastAsia="zh-CN"/>
              </w:rPr>
              <w:t>武昌</w:t>
            </w:r>
            <w:r>
              <w:rPr>
                <w:rFonts w:hint="eastAsia"/>
                <w:sz w:val="24"/>
              </w:rPr>
              <w:t>区分局</w:t>
            </w:r>
          </w:p>
        </w:tc>
        <w:tc>
          <w:tcPr>
            <w:tcW w:w="395" w:type="pct"/>
            <w:vAlign w:val="center"/>
          </w:tcPr>
          <w:p w14:paraId="2579AFF3">
            <w:pPr>
              <w:contextualSpacing/>
              <w:jc w:val="center"/>
              <w:rPr>
                <w:sz w:val="24"/>
              </w:rPr>
            </w:pPr>
            <w:r>
              <w:rPr>
                <w:sz w:val="24"/>
              </w:rPr>
              <w:t>文号</w:t>
            </w:r>
          </w:p>
        </w:tc>
        <w:tc>
          <w:tcPr>
            <w:tcW w:w="1063" w:type="pct"/>
            <w:gridSpan w:val="4"/>
            <w:vAlign w:val="center"/>
          </w:tcPr>
          <w:p w14:paraId="3D904012">
            <w:pPr>
              <w:contextualSpacing/>
              <w:jc w:val="center"/>
              <w:rPr>
                <w:sz w:val="24"/>
              </w:rPr>
            </w:pPr>
            <w:r>
              <w:rPr>
                <w:rFonts w:hint="eastAsia"/>
                <w:sz w:val="24"/>
                <w:lang w:eastAsia="zh-CN"/>
              </w:rPr>
              <w:t>武</w:t>
            </w:r>
            <w:r>
              <w:rPr>
                <w:rFonts w:hint="eastAsia"/>
                <w:sz w:val="24"/>
              </w:rPr>
              <w:t>环</w:t>
            </w:r>
            <w:r>
              <w:rPr>
                <w:rFonts w:hint="eastAsia"/>
                <w:sz w:val="24"/>
                <w:lang w:eastAsia="zh-CN"/>
              </w:rPr>
              <w:t>武昌审</w:t>
            </w:r>
            <w:r>
              <w:rPr>
                <w:rFonts w:hint="eastAsia"/>
                <w:sz w:val="24"/>
              </w:rPr>
              <w:t>[202</w:t>
            </w:r>
            <w:r>
              <w:rPr>
                <w:rFonts w:hint="eastAsia"/>
                <w:sz w:val="24"/>
                <w:lang w:val="en-US" w:eastAsia="zh-CN"/>
              </w:rPr>
              <w:t>1</w:t>
            </w:r>
            <w:r>
              <w:rPr>
                <w:rFonts w:hint="eastAsia"/>
                <w:sz w:val="24"/>
              </w:rPr>
              <w:t>]</w:t>
            </w:r>
            <w:r>
              <w:rPr>
                <w:rFonts w:hint="eastAsia"/>
                <w:sz w:val="24"/>
                <w:lang w:val="en-US" w:eastAsia="zh-CN"/>
              </w:rPr>
              <w:t>4</w:t>
            </w:r>
            <w:r>
              <w:rPr>
                <w:rFonts w:hint="eastAsia"/>
                <w:sz w:val="24"/>
              </w:rPr>
              <w:t>号</w:t>
            </w:r>
          </w:p>
        </w:tc>
        <w:tc>
          <w:tcPr>
            <w:tcW w:w="393" w:type="pct"/>
            <w:vAlign w:val="center"/>
          </w:tcPr>
          <w:p w14:paraId="56572AE9">
            <w:pPr>
              <w:contextualSpacing/>
              <w:jc w:val="center"/>
              <w:rPr>
                <w:sz w:val="24"/>
              </w:rPr>
            </w:pPr>
            <w:r>
              <w:rPr>
                <w:sz w:val="24"/>
              </w:rPr>
              <w:t>时间</w:t>
            </w:r>
          </w:p>
        </w:tc>
        <w:tc>
          <w:tcPr>
            <w:tcW w:w="820" w:type="pct"/>
            <w:gridSpan w:val="3"/>
            <w:vAlign w:val="center"/>
          </w:tcPr>
          <w:p w14:paraId="5239165D">
            <w:pPr>
              <w:contextualSpacing/>
              <w:jc w:val="center"/>
              <w:rPr>
                <w:rFonts w:hint="eastAsia" w:eastAsia="宋体"/>
                <w:sz w:val="24"/>
                <w:lang w:eastAsia="zh-CN"/>
              </w:rPr>
            </w:pPr>
            <w:r>
              <w:rPr>
                <w:sz w:val="24"/>
              </w:rPr>
              <w:t>20</w:t>
            </w:r>
            <w:r>
              <w:rPr>
                <w:rFonts w:hint="eastAsia"/>
                <w:sz w:val="24"/>
              </w:rPr>
              <w:t>2</w:t>
            </w:r>
            <w:r>
              <w:rPr>
                <w:rFonts w:hint="eastAsia"/>
                <w:sz w:val="24"/>
                <w:lang w:val="en-US" w:eastAsia="zh-CN"/>
              </w:rPr>
              <w:t>1</w:t>
            </w:r>
            <w:r>
              <w:rPr>
                <w:rFonts w:hint="eastAsia"/>
                <w:sz w:val="24"/>
              </w:rPr>
              <w:t>.1</w:t>
            </w:r>
            <w:r>
              <w:rPr>
                <w:rFonts w:hint="eastAsia"/>
                <w:sz w:val="24"/>
                <w:lang w:val="en-US" w:eastAsia="zh-CN"/>
              </w:rPr>
              <w:t>1</w:t>
            </w:r>
            <w:r>
              <w:rPr>
                <w:rFonts w:hint="eastAsia"/>
                <w:sz w:val="24"/>
              </w:rPr>
              <w:t>.1</w:t>
            </w:r>
            <w:r>
              <w:rPr>
                <w:rFonts w:hint="eastAsia"/>
                <w:sz w:val="24"/>
                <w:lang w:val="en-US" w:eastAsia="zh-CN"/>
              </w:rPr>
              <w:t>1</w:t>
            </w:r>
          </w:p>
        </w:tc>
      </w:tr>
      <w:tr w14:paraId="32A97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9" w:type="pct"/>
            <w:gridSpan w:val="2"/>
            <w:vAlign w:val="center"/>
          </w:tcPr>
          <w:p w14:paraId="0D38FC30">
            <w:pPr>
              <w:contextualSpacing/>
              <w:jc w:val="center"/>
              <w:rPr>
                <w:sz w:val="24"/>
              </w:rPr>
            </w:pPr>
            <w:r>
              <w:rPr>
                <w:sz w:val="24"/>
              </w:rPr>
              <w:t>初步设计审批部门</w:t>
            </w:r>
          </w:p>
        </w:tc>
        <w:tc>
          <w:tcPr>
            <w:tcW w:w="900" w:type="pct"/>
            <w:vAlign w:val="center"/>
          </w:tcPr>
          <w:p w14:paraId="78BCC368">
            <w:pPr>
              <w:contextualSpacing/>
              <w:jc w:val="center"/>
              <w:rPr>
                <w:rFonts w:hint="eastAsia" w:eastAsia="宋体"/>
                <w:sz w:val="24"/>
                <w:lang w:eastAsia="zh-CN"/>
              </w:rPr>
            </w:pPr>
            <w:r>
              <w:rPr>
                <w:rFonts w:hint="eastAsia"/>
                <w:sz w:val="24"/>
                <w:lang w:eastAsia="zh-CN"/>
              </w:rPr>
              <w:t>武汉市交通运输局</w:t>
            </w:r>
          </w:p>
        </w:tc>
        <w:tc>
          <w:tcPr>
            <w:tcW w:w="395" w:type="pct"/>
            <w:vAlign w:val="center"/>
          </w:tcPr>
          <w:p w14:paraId="5799A838">
            <w:pPr>
              <w:contextualSpacing/>
              <w:jc w:val="center"/>
              <w:rPr>
                <w:sz w:val="24"/>
              </w:rPr>
            </w:pPr>
            <w:r>
              <w:rPr>
                <w:sz w:val="24"/>
              </w:rPr>
              <w:t>文号</w:t>
            </w:r>
          </w:p>
        </w:tc>
        <w:tc>
          <w:tcPr>
            <w:tcW w:w="1063" w:type="pct"/>
            <w:gridSpan w:val="4"/>
            <w:vAlign w:val="center"/>
          </w:tcPr>
          <w:p w14:paraId="232E3867">
            <w:pPr>
              <w:contextualSpacing/>
              <w:jc w:val="center"/>
              <w:rPr>
                <w:rFonts w:hint="default" w:eastAsia="宋体"/>
                <w:sz w:val="24"/>
                <w:lang w:val="en-US" w:eastAsia="zh-CN"/>
              </w:rPr>
            </w:pPr>
            <w:r>
              <w:rPr>
                <w:rFonts w:hint="eastAsia"/>
                <w:sz w:val="24"/>
                <w:lang w:eastAsia="zh-CN"/>
              </w:rPr>
              <w:t>武交审复【</w:t>
            </w:r>
            <w:r>
              <w:rPr>
                <w:rFonts w:hint="eastAsia"/>
                <w:sz w:val="24"/>
                <w:lang w:val="en-US" w:eastAsia="zh-CN"/>
              </w:rPr>
              <w:t>2022</w:t>
            </w:r>
            <w:r>
              <w:rPr>
                <w:rFonts w:hint="eastAsia"/>
                <w:sz w:val="24"/>
                <w:lang w:eastAsia="zh-CN"/>
              </w:rPr>
              <w:t>】</w:t>
            </w:r>
            <w:r>
              <w:rPr>
                <w:rFonts w:hint="eastAsia"/>
                <w:sz w:val="24"/>
                <w:lang w:val="en-US" w:eastAsia="zh-CN"/>
              </w:rPr>
              <w:t>9号</w:t>
            </w:r>
          </w:p>
        </w:tc>
        <w:tc>
          <w:tcPr>
            <w:tcW w:w="393" w:type="pct"/>
            <w:vAlign w:val="center"/>
          </w:tcPr>
          <w:p w14:paraId="61F7C893">
            <w:pPr>
              <w:contextualSpacing/>
              <w:jc w:val="center"/>
              <w:rPr>
                <w:sz w:val="24"/>
              </w:rPr>
            </w:pPr>
            <w:r>
              <w:rPr>
                <w:sz w:val="24"/>
              </w:rPr>
              <w:t>时间</w:t>
            </w:r>
          </w:p>
        </w:tc>
        <w:tc>
          <w:tcPr>
            <w:tcW w:w="820" w:type="pct"/>
            <w:gridSpan w:val="3"/>
            <w:vAlign w:val="center"/>
          </w:tcPr>
          <w:p w14:paraId="71F25C7E">
            <w:pPr>
              <w:contextualSpacing/>
              <w:jc w:val="center"/>
              <w:rPr>
                <w:rFonts w:hint="default" w:eastAsia="宋体"/>
                <w:sz w:val="24"/>
                <w:lang w:val="en-US" w:eastAsia="zh-CN"/>
              </w:rPr>
            </w:pPr>
            <w:r>
              <w:rPr>
                <w:rFonts w:hint="eastAsia"/>
                <w:sz w:val="24"/>
                <w:lang w:val="en-US" w:eastAsia="zh-CN"/>
              </w:rPr>
              <w:t>2022.1.27</w:t>
            </w:r>
          </w:p>
        </w:tc>
      </w:tr>
      <w:tr w14:paraId="3A322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9" w:type="pct"/>
            <w:gridSpan w:val="2"/>
            <w:vAlign w:val="center"/>
          </w:tcPr>
          <w:p w14:paraId="67562736">
            <w:pPr>
              <w:contextualSpacing/>
              <w:jc w:val="center"/>
              <w:rPr>
                <w:sz w:val="24"/>
              </w:rPr>
            </w:pPr>
            <w:r>
              <w:rPr>
                <w:rFonts w:hint="eastAsia"/>
                <w:sz w:val="24"/>
              </w:rPr>
              <w:t>环境保护设施设计单位</w:t>
            </w:r>
          </w:p>
        </w:tc>
        <w:tc>
          <w:tcPr>
            <w:tcW w:w="3571" w:type="pct"/>
            <w:gridSpan w:val="10"/>
            <w:vAlign w:val="center"/>
          </w:tcPr>
          <w:p w14:paraId="2978B028">
            <w:pPr>
              <w:contextualSpacing/>
              <w:jc w:val="center"/>
              <w:rPr>
                <w:sz w:val="24"/>
                <w:highlight w:val="yellow"/>
              </w:rPr>
            </w:pPr>
            <w:r>
              <w:rPr>
                <w:rFonts w:hint="eastAsia"/>
                <w:sz w:val="24"/>
              </w:rPr>
              <w:t>中交武汉港湾工程设计研究院有限公司</w:t>
            </w:r>
          </w:p>
        </w:tc>
      </w:tr>
      <w:tr w14:paraId="0B6BC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9" w:type="pct"/>
            <w:gridSpan w:val="2"/>
            <w:vAlign w:val="center"/>
          </w:tcPr>
          <w:p w14:paraId="0278036F">
            <w:pPr>
              <w:contextualSpacing/>
              <w:jc w:val="center"/>
              <w:rPr>
                <w:sz w:val="24"/>
              </w:rPr>
            </w:pPr>
            <w:r>
              <w:rPr>
                <w:rFonts w:hint="eastAsia"/>
                <w:color w:val="FF0000"/>
                <w:sz w:val="24"/>
              </w:rPr>
              <w:t>环境保护设施施工单位</w:t>
            </w:r>
          </w:p>
        </w:tc>
        <w:tc>
          <w:tcPr>
            <w:tcW w:w="3571" w:type="pct"/>
            <w:gridSpan w:val="10"/>
            <w:vAlign w:val="center"/>
          </w:tcPr>
          <w:p w14:paraId="2D400A1D">
            <w:pPr>
              <w:contextualSpacing/>
              <w:jc w:val="center"/>
              <w:rPr>
                <w:sz w:val="24"/>
                <w:highlight w:val="yellow"/>
              </w:rPr>
            </w:pPr>
          </w:p>
        </w:tc>
      </w:tr>
      <w:tr w14:paraId="00806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9" w:type="pct"/>
            <w:gridSpan w:val="2"/>
            <w:vAlign w:val="center"/>
          </w:tcPr>
          <w:p w14:paraId="372F42A9">
            <w:pPr>
              <w:contextualSpacing/>
              <w:jc w:val="center"/>
              <w:rPr>
                <w:sz w:val="24"/>
              </w:rPr>
            </w:pPr>
            <w:r>
              <w:rPr>
                <w:rFonts w:hint="eastAsia"/>
                <w:sz w:val="24"/>
              </w:rPr>
              <w:t>环境</w:t>
            </w:r>
            <w:r>
              <w:rPr>
                <w:sz w:val="24"/>
              </w:rPr>
              <w:t>保护设施监测单位</w:t>
            </w:r>
          </w:p>
        </w:tc>
        <w:tc>
          <w:tcPr>
            <w:tcW w:w="3571" w:type="pct"/>
            <w:gridSpan w:val="10"/>
            <w:vAlign w:val="center"/>
          </w:tcPr>
          <w:p w14:paraId="3C5EBA59">
            <w:pPr>
              <w:contextualSpacing/>
              <w:jc w:val="center"/>
              <w:rPr>
                <w:sz w:val="24"/>
              </w:rPr>
            </w:pPr>
            <w:r>
              <w:rPr>
                <w:rFonts w:hint="eastAsia"/>
                <w:sz w:val="24"/>
              </w:rPr>
              <w:t xml:space="preserve"> 湖北弗思检测技术有限公司  </w:t>
            </w:r>
          </w:p>
        </w:tc>
      </w:tr>
      <w:tr w14:paraId="59FA6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9" w:type="pct"/>
            <w:gridSpan w:val="2"/>
            <w:vAlign w:val="center"/>
          </w:tcPr>
          <w:p w14:paraId="343045B3">
            <w:pPr>
              <w:contextualSpacing/>
              <w:jc w:val="center"/>
              <w:rPr>
                <w:sz w:val="24"/>
              </w:rPr>
            </w:pPr>
            <w:r>
              <w:rPr>
                <w:sz w:val="24"/>
              </w:rPr>
              <w:t>投资总概算</w:t>
            </w:r>
            <w:r>
              <w:rPr>
                <w:rFonts w:hint="eastAsia"/>
                <w:sz w:val="24"/>
              </w:rPr>
              <w:t>（</w:t>
            </w:r>
            <w:r>
              <w:rPr>
                <w:sz w:val="24"/>
              </w:rPr>
              <w:t>万元</w:t>
            </w:r>
            <w:r>
              <w:rPr>
                <w:rFonts w:hint="eastAsia"/>
                <w:sz w:val="24"/>
              </w:rPr>
              <w:t>）</w:t>
            </w:r>
          </w:p>
        </w:tc>
        <w:tc>
          <w:tcPr>
            <w:tcW w:w="900" w:type="pct"/>
            <w:vAlign w:val="center"/>
          </w:tcPr>
          <w:p w14:paraId="6DB0C911">
            <w:pPr>
              <w:contextualSpacing/>
              <w:jc w:val="center"/>
              <w:rPr>
                <w:sz w:val="24"/>
              </w:rPr>
            </w:pPr>
            <w:r>
              <w:rPr>
                <w:rFonts w:hint="eastAsia" w:ascii="Times New Roman" w:hAnsi="Times New Roman" w:eastAsia="宋体" w:cs="Times New Roman"/>
                <w:sz w:val="24"/>
              </w:rPr>
              <w:t>63045.67</w:t>
            </w:r>
          </w:p>
        </w:tc>
        <w:tc>
          <w:tcPr>
            <w:tcW w:w="797" w:type="pct"/>
            <w:gridSpan w:val="3"/>
            <w:vAlign w:val="center"/>
          </w:tcPr>
          <w:p w14:paraId="4042CF62">
            <w:pPr>
              <w:contextualSpacing/>
              <w:jc w:val="center"/>
              <w:rPr>
                <w:sz w:val="24"/>
              </w:rPr>
            </w:pPr>
            <w:r>
              <w:rPr>
                <w:sz w:val="24"/>
              </w:rPr>
              <w:t>其中</w:t>
            </w:r>
            <w:r>
              <w:rPr>
                <w:rFonts w:hint="eastAsia"/>
                <w:sz w:val="24"/>
              </w:rPr>
              <w:t>：环境</w:t>
            </w:r>
            <w:r>
              <w:rPr>
                <w:sz w:val="24"/>
              </w:rPr>
              <w:t>保护投资</w:t>
            </w:r>
            <w:r>
              <w:rPr>
                <w:rFonts w:hint="eastAsia"/>
                <w:sz w:val="24"/>
              </w:rPr>
              <w:t>（</w:t>
            </w:r>
            <w:r>
              <w:rPr>
                <w:sz w:val="24"/>
              </w:rPr>
              <w:t>万元</w:t>
            </w:r>
            <w:r>
              <w:rPr>
                <w:rFonts w:hint="eastAsia"/>
                <w:sz w:val="24"/>
              </w:rPr>
              <w:t>）</w:t>
            </w:r>
          </w:p>
        </w:tc>
        <w:tc>
          <w:tcPr>
            <w:tcW w:w="662" w:type="pct"/>
            <w:gridSpan w:val="2"/>
            <w:vAlign w:val="center"/>
          </w:tcPr>
          <w:p w14:paraId="036E2799">
            <w:pPr>
              <w:contextualSpacing/>
              <w:jc w:val="center"/>
              <w:rPr>
                <w:rFonts w:hint="default" w:eastAsia="宋体"/>
                <w:sz w:val="24"/>
                <w:lang w:val="en-US" w:eastAsia="zh-CN"/>
              </w:rPr>
            </w:pPr>
            <w:r>
              <w:rPr>
                <w:rFonts w:hint="eastAsia" w:ascii="Times New Roman" w:hAnsi="Times New Roman" w:eastAsia="宋体" w:cs="Times New Roman"/>
                <w:sz w:val="24"/>
                <w:lang w:val="en-US" w:eastAsia="zh-CN"/>
              </w:rPr>
              <w:t>300</w:t>
            </w:r>
          </w:p>
        </w:tc>
        <w:tc>
          <w:tcPr>
            <w:tcW w:w="740" w:type="pct"/>
            <w:gridSpan w:val="3"/>
            <w:vMerge w:val="restart"/>
            <w:vAlign w:val="center"/>
          </w:tcPr>
          <w:p w14:paraId="20D1B781">
            <w:pPr>
              <w:contextualSpacing/>
              <w:jc w:val="center"/>
              <w:rPr>
                <w:sz w:val="24"/>
              </w:rPr>
            </w:pPr>
            <w:r>
              <w:rPr>
                <w:sz w:val="24"/>
              </w:rPr>
              <w:t>实际环境保护投资占总投资比例</w:t>
            </w:r>
          </w:p>
        </w:tc>
        <w:tc>
          <w:tcPr>
            <w:tcW w:w="473" w:type="pct"/>
            <w:vAlign w:val="center"/>
          </w:tcPr>
          <w:p w14:paraId="08EBD074">
            <w:pPr>
              <w:contextualSpacing/>
              <w:jc w:val="center"/>
              <w:rPr>
                <w:sz w:val="24"/>
              </w:rPr>
            </w:pPr>
            <w:r>
              <w:rPr>
                <w:rFonts w:hint="eastAsia"/>
                <w:sz w:val="24"/>
              </w:rPr>
              <w:t>0.</w:t>
            </w:r>
            <w:r>
              <w:rPr>
                <w:rFonts w:hint="eastAsia"/>
                <w:sz w:val="24"/>
                <w:lang w:val="en-US" w:eastAsia="zh-CN"/>
              </w:rPr>
              <w:t>5</w:t>
            </w:r>
            <w:r>
              <w:rPr>
                <w:rFonts w:hint="eastAsia"/>
                <w:sz w:val="24"/>
              </w:rPr>
              <w:t>%</w:t>
            </w:r>
          </w:p>
        </w:tc>
      </w:tr>
      <w:tr w14:paraId="1D003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9" w:type="pct"/>
            <w:gridSpan w:val="2"/>
            <w:vAlign w:val="center"/>
          </w:tcPr>
          <w:p w14:paraId="34C8ABF4">
            <w:pPr>
              <w:contextualSpacing/>
              <w:jc w:val="center"/>
              <w:rPr>
                <w:sz w:val="24"/>
              </w:rPr>
            </w:pPr>
            <w:r>
              <w:rPr>
                <w:sz w:val="24"/>
              </w:rPr>
              <w:t>实际总投资</w:t>
            </w:r>
            <w:r>
              <w:rPr>
                <w:rFonts w:hint="eastAsia"/>
                <w:sz w:val="24"/>
              </w:rPr>
              <w:t>（</w:t>
            </w:r>
            <w:r>
              <w:rPr>
                <w:sz w:val="24"/>
              </w:rPr>
              <w:t>万元</w:t>
            </w:r>
            <w:r>
              <w:rPr>
                <w:rFonts w:hint="eastAsia"/>
                <w:sz w:val="24"/>
              </w:rPr>
              <w:t>）</w:t>
            </w:r>
          </w:p>
        </w:tc>
        <w:tc>
          <w:tcPr>
            <w:tcW w:w="900" w:type="pct"/>
            <w:vAlign w:val="center"/>
          </w:tcPr>
          <w:p w14:paraId="1BC1AD8F">
            <w:pPr>
              <w:contextualSpacing/>
              <w:jc w:val="center"/>
              <w:rPr>
                <w:sz w:val="24"/>
              </w:rPr>
            </w:pPr>
            <w:r>
              <w:rPr>
                <w:rFonts w:hint="eastAsia" w:ascii="Times New Roman" w:hAnsi="Times New Roman" w:eastAsia="宋体" w:cs="Times New Roman"/>
                <w:sz w:val="24"/>
              </w:rPr>
              <w:t>63045.67</w:t>
            </w:r>
          </w:p>
        </w:tc>
        <w:tc>
          <w:tcPr>
            <w:tcW w:w="797" w:type="pct"/>
            <w:gridSpan w:val="3"/>
            <w:vAlign w:val="center"/>
          </w:tcPr>
          <w:p w14:paraId="49300390">
            <w:pPr>
              <w:contextualSpacing/>
              <w:jc w:val="center"/>
              <w:rPr>
                <w:sz w:val="24"/>
              </w:rPr>
            </w:pPr>
            <w:r>
              <w:rPr>
                <w:sz w:val="24"/>
              </w:rPr>
              <w:t>其中</w:t>
            </w:r>
            <w:r>
              <w:rPr>
                <w:rFonts w:hint="eastAsia"/>
                <w:sz w:val="24"/>
              </w:rPr>
              <w:t>：环境</w:t>
            </w:r>
            <w:r>
              <w:rPr>
                <w:sz w:val="24"/>
              </w:rPr>
              <w:t>保护投资</w:t>
            </w:r>
            <w:r>
              <w:rPr>
                <w:rFonts w:hint="eastAsia"/>
                <w:sz w:val="24"/>
              </w:rPr>
              <w:t>（</w:t>
            </w:r>
            <w:r>
              <w:rPr>
                <w:sz w:val="24"/>
              </w:rPr>
              <w:t>万元</w:t>
            </w:r>
            <w:r>
              <w:rPr>
                <w:rFonts w:hint="eastAsia"/>
                <w:sz w:val="24"/>
              </w:rPr>
              <w:t>）</w:t>
            </w:r>
          </w:p>
        </w:tc>
        <w:tc>
          <w:tcPr>
            <w:tcW w:w="662" w:type="pct"/>
            <w:gridSpan w:val="2"/>
            <w:vAlign w:val="center"/>
          </w:tcPr>
          <w:p w14:paraId="6124BA5B">
            <w:pPr>
              <w:contextualSpacing/>
              <w:jc w:val="center"/>
              <w:rPr>
                <w:sz w:val="24"/>
              </w:rPr>
            </w:pPr>
            <w:r>
              <w:rPr>
                <w:rFonts w:hint="eastAsia" w:ascii="Times New Roman" w:hAnsi="Times New Roman" w:eastAsia="宋体" w:cs="Times New Roman"/>
                <w:sz w:val="24"/>
                <w:lang w:val="en-US" w:eastAsia="zh-CN"/>
              </w:rPr>
              <w:t>300</w:t>
            </w:r>
          </w:p>
        </w:tc>
        <w:tc>
          <w:tcPr>
            <w:tcW w:w="740" w:type="pct"/>
            <w:gridSpan w:val="3"/>
            <w:vMerge w:val="continue"/>
            <w:vAlign w:val="center"/>
          </w:tcPr>
          <w:p w14:paraId="22951B43">
            <w:pPr>
              <w:contextualSpacing/>
              <w:jc w:val="center"/>
              <w:rPr>
                <w:sz w:val="24"/>
              </w:rPr>
            </w:pPr>
          </w:p>
        </w:tc>
        <w:tc>
          <w:tcPr>
            <w:tcW w:w="473" w:type="pct"/>
            <w:vAlign w:val="center"/>
          </w:tcPr>
          <w:p w14:paraId="1D3BE69E">
            <w:pPr>
              <w:contextualSpacing/>
              <w:jc w:val="center"/>
              <w:rPr>
                <w:sz w:val="24"/>
              </w:rPr>
            </w:pPr>
            <w:r>
              <w:rPr>
                <w:rFonts w:hint="eastAsia"/>
                <w:sz w:val="24"/>
              </w:rPr>
              <w:t>0.</w:t>
            </w:r>
            <w:r>
              <w:rPr>
                <w:rFonts w:hint="eastAsia"/>
                <w:sz w:val="24"/>
                <w:lang w:val="en-US" w:eastAsia="zh-CN"/>
              </w:rPr>
              <w:t>5</w:t>
            </w:r>
            <w:r>
              <w:rPr>
                <w:rFonts w:hint="eastAsia"/>
                <w:sz w:val="24"/>
              </w:rPr>
              <w:t>%</w:t>
            </w:r>
          </w:p>
        </w:tc>
      </w:tr>
      <w:tr w14:paraId="09D30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9" w:type="pct"/>
            <w:gridSpan w:val="2"/>
            <w:vAlign w:val="center"/>
          </w:tcPr>
          <w:p w14:paraId="410D3CB3">
            <w:pPr>
              <w:contextualSpacing/>
              <w:jc w:val="center"/>
              <w:rPr>
                <w:sz w:val="24"/>
              </w:rPr>
            </w:pPr>
            <w:r>
              <w:rPr>
                <w:sz w:val="24"/>
              </w:rPr>
              <w:t>设计生产能力</w:t>
            </w:r>
            <w:r>
              <w:rPr>
                <w:rFonts w:hint="eastAsia"/>
                <w:sz w:val="24"/>
              </w:rPr>
              <w:t>（交通量）</w:t>
            </w:r>
          </w:p>
        </w:tc>
        <w:tc>
          <w:tcPr>
            <w:tcW w:w="900" w:type="pct"/>
            <w:vAlign w:val="center"/>
          </w:tcPr>
          <w:p w14:paraId="1E672891">
            <w:pPr>
              <w:contextualSpacing/>
              <w:jc w:val="center"/>
              <w:rPr>
                <w:sz w:val="24"/>
              </w:rPr>
            </w:pPr>
            <w:r>
              <w:rPr>
                <w:rFonts w:hint="eastAsia"/>
                <w:sz w:val="24"/>
              </w:rPr>
              <w:t>/</w:t>
            </w:r>
          </w:p>
        </w:tc>
        <w:tc>
          <w:tcPr>
            <w:tcW w:w="1459" w:type="pct"/>
            <w:gridSpan w:val="5"/>
            <w:vAlign w:val="center"/>
          </w:tcPr>
          <w:p w14:paraId="474F5353">
            <w:pPr>
              <w:contextualSpacing/>
              <w:jc w:val="center"/>
              <w:rPr>
                <w:sz w:val="24"/>
              </w:rPr>
            </w:pPr>
            <w:r>
              <w:rPr>
                <w:sz w:val="24"/>
              </w:rPr>
              <w:t>建设项目开工日期</w:t>
            </w:r>
          </w:p>
        </w:tc>
        <w:tc>
          <w:tcPr>
            <w:tcW w:w="1213" w:type="pct"/>
            <w:gridSpan w:val="4"/>
            <w:vAlign w:val="center"/>
          </w:tcPr>
          <w:p w14:paraId="2FD23C66">
            <w:pPr>
              <w:contextualSpacing/>
              <w:jc w:val="center"/>
              <w:rPr>
                <w:sz w:val="24"/>
              </w:rPr>
            </w:pPr>
            <w:r>
              <w:rPr>
                <w:rFonts w:hint="eastAsia"/>
                <w:sz w:val="24"/>
              </w:rPr>
              <w:t>2</w:t>
            </w:r>
            <w:r>
              <w:rPr>
                <w:sz w:val="24"/>
              </w:rPr>
              <w:t>0</w:t>
            </w:r>
            <w:r>
              <w:rPr>
                <w:rFonts w:hint="eastAsia"/>
                <w:sz w:val="24"/>
              </w:rPr>
              <w:t>2</w:t>
            </w:r>
            <w:r>
              <w:rPr>
                <w:rFonts w:hint="eastAsia"/>
                <w:sz w:val="24"/>
                <w:lang w:val="en-US" w:eastAsia="zh-CN"/>
              </w:rPr>
              <w:t>2</w:t>
            </w:r>
            <w:r>
              <w:rPr>
                <w:rFonts w:hint="eastAsia"/>
                <w:sz w:val="24"/>
              </w:rPr>
              <w:t>年</w:t>
            </w:r>
            <w:r>
              <w:rPr>
                <w:rFonts w:hint="eastAsia"/>
                <w:sz w:val="24"/>
                <w:lang w:val="en-US" w:eastAsia="zh-CN"/>
              </w:rPr>
              <w:t>1</w:t>
            </w:r>
            <w:r>
              <w:rPr>
                <w:rFonts w:hint="eastAsia"/>
                <w:sz w:val="24"/>
              </w:rPr>
              <w:t>月</w:t>
            </w:r>
          </w:p>
        </w:tc>
      </w:tr>
      <w:tr w14:paraId="46720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9" w:type="pct"/>
            <w:gridSpan w:val="2"/>
            <w:vAlign w:val="center"/>
          </w:tcPr>
          <w:p w14:paraId="02F0BBD8">
            <w:pPr>
              <w:contextualSpacing/>
              <w:jc w:val="center"/>
              <w:rPr>
                <w:sz w:val="24"/>
              </w:rPr>
            </w:pPr>
            <w:r>
              <w:rPr>
                <w:rFonts w:hint="eastAsia"/>
                <w:sz w:val="24"/>
              </w:rPr>
              <w:t>实际</w:t>
            </w:r>
            <w:r>
              <w:rPr>
                <w:sz w:val="24"/>
              </w:rPr>
              <w:t>生产能力</w:t>
            </w:r>
            <w:r>
              <w:rPr>
                <w:rFonts w:hint="eastAsia"/>
                <w:sz w:val="24"/>
              </w:rPr>
              <w:t>（交通量）</w:t>
            </w:r>
          </w:p>
        </w:tc>
        <w:tc>
          <w:tcPr>
            <w:tcW w:w="900" w:type="pct"/>
            <w:vAlign w:val="center"/>
          </w:tcPr>
          <w:p w14:paraId="0E70BB83">
            <w:pPr>
              <w:contextualSpacing/>
              <w:jc w:val="center"/>
              <w:rPr>
                <w:sz w:val="24"/>
              </w:rPr>
            </w:pPr>
            <w:r>
              <w:rPr>
                <w:rFonts w:hint="eastAsia"/>
                <w:sz w:val="24"/>
              </w:rPr>
              <w:t>/</w:t>
            </w:r>
          </w:p>
        </w:tc>
        <w:tc>
          <w:tcPr>
            <w:tcW w:w="1459" w:type="pct"/>
            <w:gridSpan w:val="5"/>
            <w:vAlign w:val="center"/>
          </w:tcPr>
          <w:p w14:paraId="4D0ABB56">
            <w:pPr>
              <w:contextualSpacing/>
              <w:jc w:val="center"/>
              <w:rPr>
                <w:sz w:val="24"/>
              </w:rPr>
            </w:pPr>
            <w:r>
              <w:rPr>
                <w:sz w:val="24"/>
              </w:rPr>
              <w:t>投入试运行日期</w:t>
            </w:r>
          </w:p>
        </w:tc>
        <w:tc>
          <w:tcPr>
            <w:tcW w:w="1213" w:type="pct"/>
            <w:gridSpan w:val="4"/>
            <w:vAlign w:val="center"/>
          </w:tcPr>
          <w:p w14:paraId="1F236A8C">
            <w:pPr>
              <w:contextualSpacing/>
              <w:jc w:val="center"/>
              <w:rPr>
                <w:sz w:val="24"/>
              </w:rPr>
            </w:pPr>
            <w:r>
              <w:rPr>
                <w:rFonts w:hint="eastAsia"/>
                <w:sz w:val="24"/>
              </w:rPr>
              <w:t>2</w:t>
            </w:r>
            <w:r>
              <w:rPr>
                <w:sz w:val="24"/>
              </w:rPr>
              <w:t>0</w:t>
            </w:r>
            <w:r>
              <w:rPr>
                <w:rFonts w:hint="eastAsia"/>
                <w:sz w:val="24"/>
              </w:rPr>
              <w:t>2</w:t>
            </w:r>
            <w:r>
              <w:rPr>
                <w:rFonts w:hint="eastAsia"/>
                <w:sz w:val="24"/>
                <w:lang w:val="en-US" w:eastAsia="zh-CN"/>
              </w:rPr>
              <w:t>4</w:t>
            </w:r>
            <w:r>
              <w:rPr>
                <w:rFonts w:hint="eastAsia"/>
                <w:sz w:val="24"/>
              </w:rPr>
              <w:t>年</w:t>
            </w:r>
            <w:r>
              <w:rPr>
                <w:rFonts w:hint="eastAsia"/>
                <w:sz w:val="24"/>
                <w:lang w:val="en-US" w:eastAsia="zh-CN"/>
              </w:rPr>
              <w:t>3</w:t>
            </w:r>
            <w:r>
              <w:rPr>
                <w:rFonts w:hint="eastAsia"/>
                <w:sz w:val="24"/>
              </w:rPr>
              <w:t>月</w:t>
            </w:r>
          </w:p>
        </w:tc>
      </w:tr>
      <w:tr w14:paraId="030C4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9" w:type="pct"/>
            <w:gridSpan w:val="2"/>
            <w:vAlign w:val="center"/>
          </w:tcPr>
          <w:p w14:paraId="70D59B58">
            <w:pPr>
              <w:contextualSpacing/>
              <w:rPr>
                <w:sz w:val="24"/>
              </w:rPr>
            </w:pPr>
            <w:r>
              <w:rPr>
                <w:rFonts w:hint="eastAsia"/>
                <w:sz w:val="24"/>
              </w:rPr>
              <w:t>调查经费</w:t>
            </w:r>
          </w:p>
        </w:tc>
        <w:tc>
          <w:tcPr>
            <w:tcW w:w="3571" w:type="pct"/>
            <w:gridSpan w:val="10"/>
            <w:vAlign w:val="center"/>
          </w:tcPr>
          <w:p w14:paraId="55FD0255">
            <w:pPr>
              <w:contextualSpacing/>
              <w:jc w:val="center"/>
              <w:rPr>
                <w:sz w:val="24"/>
              </w:rPr>
            </w:pPr>
            <w:r>
              <w:rPr>
                <w:rFonts w:hint="eastAsia"/>
                <w:sz w:val="24"/>
              </w:rPr>
              <w:t>/</w:t>
            </w:r>
          </w:p>
        </w:tc>
      </w:tr>
      <w:tr w14:paraId="779BE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13" w:type="pct"/>
            <w:vAlign w:val="center"/>
          </w:tcPr>
          <w:p w14:paraId="7E887B27">
            <w:pPr>
              <w:contextualSpacing/>
              <w:jc w:val="center"/>
              <w:rPr>
                <w:sz w:val="24"/>
              </w:rPr>
            </w:pPr>
            <w:r>
              <w:rPr>
                <w:rFonts w:hint="eastAsia"/>
                <w:sz w:val="24"/>
              </w:rPr>
              <w:t>项目建设过程简述</w:t>
            </w:r>
          </w:p>
        </w:tc>
        <w:tc>
          <w:tcPr>
            <w:tcW w:w="4287" w:type="pct"/>
            <w:gridSpan w:val="11"/>
            <w:vAlign w:val="center"/>
          </w:tcPr>
          <w:p w14:paraId="648FF2B5">
            <w:pPr>
              <w:pStyle w:val="86"/>
              <w:ind w:firstLine="480"/>
              <w:rPr>
                <w:rFonts w:hint="eastAsia"/>
                <w:bCs/>
                <w:color w:val="000000"/>
                <w:sz w:val="24"/>
              </w:rPr>
            </w:pPr>
            <w:r>
              <w:rPr>
                <w:rFonts w:hint="eastAsia"/>
                <w:bCs/>
                <w:color w:val="000000"/>
                <w:sz w:val="24"/>
              </w:rPr>
              <w:t>随着城市发展，武汉港的部分港区如沌口、青菱、舵落口、永安堂、杨泗等已逐步位于城市中心区，港口与城市总体规划矛盾日益显著。为此，规划修编着重对这些港区的功能定位进行了调整。杨泗港区由货运变为客运，辅以金口中山舰博物馆、武汉关、晴川、汉阳门、中华路、粤汉、花山等客运港点，主要承担武汉市范围内的旅游客运和航运服务。青菱、舵落口、永安堂港区的运输货类将由件杂货、煤炭、粮食等散货逐步调整为洁净类杂货、城市生活物资等，远期可进一步调整为支持系统码头和旅游客运，以减少港口作业对城市环境的污染和对居民生活的影响。为加强港口的规模化、集约化效应，满足后发产业发展要求，在原规划的基础上提出在林四房港区龙口作业区建设煤炭基地。通过这些港区功能定位的改变，武汉港的建设能够更好地与武汉城市圈社会经济发展相协调，从规划层面减轻港口与城市发展在土地、环境、集疏运通道等方面的矛盾，也有助于改善港口发展的外部环境。</w:t>
            </w:r>
          </w:p>
          <w:p w14:paraId="452DE551">
            <w:pPr>
              <w:pStyle w:val="86"/>
              <w:ind w:firstLine="480"/>
              <w:rPr>
                <w:bCs/>
                <w:color w:val="000000"/>
                <w:sz w:val="24"/>
              </w:rPr>
            </w:pPr>
            <w:r>
              <w:rPr>
                <w:rFonts w:hint="eastAsia"/>
                <w:bCs/>
                <w:color w:val="000000"/>
                <w:sz w:val="24"/>
                <w:lang w:eastAsia="zh-CN"/>
              </w:rPr>
              <w:t>同时</w:t>
            </w:r>
            <w:r>
              <w:rPr>
                <w:rFonts w:hint="eastAsia"/>
                <w:bCs/>
                <w:color w:val="000000"/>
                <w:sz w:val="24"/>
              </w:rPr>
              <w:t>武汉市多年来旅游接待总人次虽处于副省级城市首位，但是旅游收入却并没有居于首位，主要原因是，随着休闲时代的到来，传统观光游览、走马观花式的旅游方式，已然不再是游客的选择，深度体验、融入其中是游客们所推崇的方式。同时，生产、生活污水直接排入长江的陈旧、落后的码头设施，不仅有损旅游形象，也不符合长江经济带环保战略。武汉市需要在旅游产品开发、旅游形象宣传、城市环境打造方面，进行全面提升</w:t>
            </w:r>
            <w:r>
              <w:rPr>
                <w:bCs/>
                <w:color w:val="000000"/>
                <w:sz w:val="24"/>
              </w:rPr>
              <w:t>。</w:t>
            </w:r>
          </w:p>
          <w:p w14:paraId="26962514">
            <w:pPr>
              <w:pStyle w:val="86"/>
              <w:ind w:firstLine="480"/>
              <w:rPr>
                <w:sz w:val="24"/>
              </w:rPr>
            </w:pPr>
            <w:r>
              <w:rPr>
                <w:bCs/>
                <w:color w:val="000000"/>
                <w:sz w:val="24"/>
              </w:rPr>
              <w:t>为解决上述问题，</w:t>
            </w:r>
            <w:r>
              <w:rPr>
                <w:rFonts w:hint="eastAsia"/>
                <w:bCs/>
                <w:color w:val="000000"/>
                <w:sz w:val="24"/>
                <w:lang w:eastAsia="zh-CN"/>
              </w:rPr>
              <w:t>原</w:t>
            </w:r>
            <w:r>
              <w:rPr>
                <w:rFonts w:hint="eastAsia"/>
                <w:sz w:val="24"/>
                <w:lang w:eastAsia="zh-CN"/>
              </w:rPr>
              <w:t>武汉市轮渡公司（现</w:t>
            </w:r>
            <w:r>
              <w:rPr>
                <w:rFonts w:hint="eastAsia"/>
                <w:bCs/>
                <w:color w:val="000000"/>
                <w:sz w:val="24"/>
                <w:lang w:eastAsia="zh-CN"/>
              </w:rPr>
              <w:t>武汉两江轮渡有限责任公司</w:t>
            </w:r>
            <w:r>
              <w:rPr>
                <w:rFonts w:hint="eastAsia"/>
                <w:sz w:val="24"/>
                <w:lang w:eastAsia="zh-CN"/>
              </w:rPr>
              <w:t>）</w:t>
            </w:r>
            <w:r>
              <w:rPr>
                <w:rFonts w:hint="eastAsia"/>
                <w:bCs/>
                <w:color w:val="000000"/>
                <w:sz w:val="24"/>
              </w:rPr>
              <w:t>于20</w:t>
            </w:r>
            <w:r>
              <w:rPr>
                <w:rFonts w:hint="eastAsia"/>
                <w:bCs/>
                <w:color w:val="000000"/>
                <w:sz w:val="24"/>
                <w:lang w:val="en-US" w:eastAsia="zh-CN"/>
              </w:rPr>
              <w:t>20</w:t>
            </w:r>
            <w:r>
              <w:rPr>
                <w:rFonts w:hint="eastAsia"/>
                <w:bCs/>
                <w:color w:val="000000"/>
                <w:sz w:val="24"/>
              </w:rPr>
              <w:t>年启动“武汉港核心区趸船码头改造提升项目（中华路客运码头）”工程。</w:t>
            </w:r>
          </w:p>
        </w:tc>
      </w:tr>
      <w:tr w14:paraId="75126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713" w:type="pct"/>
            <w:vAlign w:val="center"/>
          </w:tcPr>
          <w:p w14:paraId="7CCAB24E">
            <w:pPr>
              <w:contextualSpacing/>
              <w:jc w:val="center"/>
              <w:rPr>
                <w:sz w:val="24"/>
              </w:rPr>
            </w:pPr>
            <w:r>
              <w:rPr>
                <w:rFonts w:hint="eastAsia"/>
                <w:sz w:val="24"/>
              </w:rPr>
              <w:t>项目建设过程简述</w:t>
            </w:r>
          </w:p>
        </w:tc>
        <w:tc>
          <w:tcPr>
            <w:tcW w:w="4287" w:type="pct"/>
            <w:gridSpan w:val="11"/>
          </w:tcPr>
          <w:p w14:paraId="264F4236">
            <w:pPr>
              <w:spacing w:line="360" w:lineRule="auto"/>
              <w:ind w:firstLine="480" w:firstLineChars="200"/>
              <w:contextualSpacing/>
              <w:rPr>
                <w:sz w:val="24"/>
              </w:rPr>
            </w:pPr>
            <w:r>
              <w:rPr>
                <w:rFonts w:hint="eastAsia"/>
                <w:sz w:val="24"/>
              </w:rPr>
              <w:t>2</w:t>
            </w:r>
            <w:r>
              <w:rPr>
                <w:sz w:val="24"/>
              </w:rPr>
              <w:t>0</w:t>
            </w:r>
            <w:r>
              <w:rPr>
                <w:rFonts w:hint="eastAsia"/>
                <w:sz w:val="24"/>
              </w:rPr>
              <w:t>20年</w:t>
            </w:r>
            <w:r>
              <w:rPr>
                <w:rFonts w:hint="eastAsia"/>
                <w:sz w:val="24"/>
                <w:lang w:val="en-US" w:eastAsia="zh-CN"/>
              </w:rPr>
              <w:t>9</w:t>
            </w:r>
            <w:r>
              <w:rPr>
                <w:rFonts w:hint="eastAsia"/>
                <w:sz w:val="24"/>
              </w:rPr>
              <w:t>月，</w:t>
            </w:r>
            <w:r>
              <w:rPr>
                <w:rFonts w:hint="eastAsia"/>
                <w:sz w:val="24"/>
                <w:lang w:eastAsia="zh-CN"/>
              </w:rPr>
              <w:t>武汉两江轮渡有限责任公司</w:t>
            </w:r>
            <w:r>
              <w:rPr>
                <w:rFonts w:hint="eastAsia"/>
                <w:sz w:val="24"/>
              </w:rPr>
              <w:t>委托武汉智汇元环保科技有限公司编制《</w:t>
            </w:r>
            <w:r>
              <w:rPr>
                <w:rFonts w:hint="eastAsia"/>
                <w:sz w:val="24"/>
                <w:lang w:eastAsia="zh-CN"/>
              </w:rPr>
              <w:t>武汉港核心区趸船码头改造提升项目（中华路客运码头）</w:t>
            </w:r>
            <w:r>
              <w:rPr>
                <w:rFonts w:hint="eastAsia"/>
                <w:sz w:val="24"/>
              </w:rPr>
              <w:t>环境影响报告表》。武汉市生态环境局</w:t>
            </w:r>
            <w:r>
              <w:rPr>
                <w:rFonts w:hint="eastAsia"/>
                <w:sz w:val="24"/>
                <w:lang w:eastAsia="zh-CN"/>
              </w:rPr>
              <w:t>武昌</w:t>
            </w:r>
            <w:r>
              <w:rPr>
                <w:rFonts w:hint="eastAsia"/>
                <w:sz w:val="24"/>
              </w:rPr>
              <w:t>区分局于</w:t>
            </w:r>
            <w:r>
              <w:rPr>
                <w:sz w:val="24"/>
              </w:rPr>
              <w:t>20</w:t>
            </w:r>
            <w:r>
              <w:rPr>
                <w:rFonts w:hint="eastAsia"/>
                <w:sz w:val="24"/>
              </w:rPr>
              <w:t>2</w:t>
            </w:r>
            <w:r>
              <w:rPr>
                <w:rFonts w:hint="eastAsia"/>
                <w:sz w:val="24"/>
                <w:lang w:val="en-US" w:eastAsia="zh-CN"/>
              </w:rPr>
              <w:t>1</w:t>
            </w:r>
            <w:r>
              <w:rPr>
                <w:rFonts w:hint="eastAsia"/>
                <w:sz w:val="24"/>
              </w:rPr>
              <w:t>年</w:t>
            </w:r>
            <w:r>
              <w:rPr>
                <w:rFonts w:hint="eastAsia"/>
                <w:sz w:val="24"/>
                <w:lang w:val="en-US" w:eastAsia="zh-CN"/>
              </w:rPr>
              <w:t>11</w:t>
            </w:r>
            <w:r>
              <w:rPr>
                <w:rFonts w:hint="eastAsia"/>
                <w:sz w:val="24"/>
              </w:rPr>
              <w:t>月</w:t>
            </w:r>
            <w:r>
              <w:rPr>
                <w:rFonts w:hint="eastAsia"/>
                <w:sz w:val="24"/>
                <w:lang w:val="en-US" w:eastAsia="zh-CN"/>
              </w:rPr>
              <w:t>11</w:t>
            </w:r>
            <w:r>
              <w:rPr>
                <w:rFonts w:hint="eastAsia"/>
                <w:sz w:val="24"/>
              </w:rPr>
              <w:t>日以</w:t>
            </w:r>
            <w:r>
              <w:rPr>
                <w:rFonts w:hint="eastAsia"/>
                <w:sz w:val="24"/>
                <w:lang w:eastAsia="zh-CN"/>
              </w:rPr>
              <w:t>武</w:t>
            </w:r>
            <w:r>
              <w:rPr>
                <w:rFonts w:hint="eastAsia"/>
                <w:sz w:val="24"/>
              </w:rPr>
              <w:t>环</w:t>
            </w:r>
            <w:r>
              <w:rPr>
                <w:rFonts w:hint="eastAsia"/>
                <w:sz w:val="24"/>
                <w:lang w:eastAsia="zh-CN"/>
              </w:rPr>
              <w:t>武昌审</w:t>
            </w:r>
            <w:r>
              <w:rPr>
                <w:rFonts w:hint="eastAsia"/>
                <w:sz w:val="24"/>
              </w:rPr>
              <w:t>[202</w:t>
            </w:r>
            <w:r>
              <w:rPr>
                <w:rFonts w:hint="eastAsia"/>
                <w:sz w:val="24"/>
                <w:lang w:val="en-US" w:eastAsia="zh-CN"/>
              </w:rPr>
              <w:t>1</w:t>
            </w:r>
            <w:r>
              <w:rPr>
                <w:rFonts w:hint="eastAsia"/>
                <w:sz w:val="24"/>
              </w:rPr>
              <w:t>]</w:t>
            </w:r>
            <w:r>
              <w:rPr>
                <w:rFonts w:hint="eastAsia"/>
                <w:sz w:val="24"/>
                <w:lang w:val="en-US" w:eastAsia="zh-CN"/>
              </w:rPr>
              <w:t>4</w:t>
            </w:r>
            <w:r>
              <w:rPr>
                <w:rFonts w:hint="eastAsia"/>
                <w:sz w:val="24"/>
              </w:rPr>
              <w:t>号批复了该项目。</w:t>
            </w:r>
          </w:p>
          <w:p w14:paraId="7FF6201A">
            <w:pPr>
              <w:spacing w:line="360" w:lineRule="auto"/>
              <w:ind w:firstLine="480" w:firstLineChars="200"/>
              <w:contextualSpacing/>
              <w:rPr>
                <w:sz w:val="24"/>
              </w:rPr>
            </w:pPr>
            <w:r>
              <w:rPr>
                <w:rFonts w:hint="eastAsia" w:ascii="Times New Roman" w:hAnsi="Times New Roman" w:eastAsia="宋体" w:cs="Times New Roman"/>
                <w:bCs/>
                <w:color w:val="000000"/>
                <w:kern w:val="2"/>
                <w:sz w:val="24"/>
                <w:szCs w:val="21"/>
                <w:lang w:val="en-US" w:eastAsia="zh-CN" w:bidi="ar-SA"/>
              </w:rPr>
              <w:t>2022年1月，中交武汉港湾工程设计研究院有限公司完成了《武汉港核心区趸船码头改造提升项目（中华路客运码头）初步设计》，并于2022年1月27日获得</w:t>
            </w:r>
            <w:r>
              <w:rPr>
                <w:rFonts w:hint="eastAsia" w:cs="Times New Roman"/>
                <w:bCs/>
                <w:color w:val="000000"/>
                <w:kern w:val="2"/>
                <w:sz w:val="24"/>
                <w:szCs w:val="21"/>
                <w:lang w:val="en-US" w:eastAsia="zh-CN" w:bidi="ar-SA"/>
              </w:rPr>
              <w:t>武汉市交通运输局</w:t>
            </w:r>
            <w:r>
              <w:rPr>
                <w:rFonts w:hint="eastAsia" w:ascii="Times New Roman" w:hAnsi="Times New Roman" w:eastAsia="宋体" w:cs="Times New Roman"/>
                <w:bCs/>
                <w:color w:val="000000"/>
                <w:kern w:val="2"/>
                <w:sz w:val="24"/>
                <w:szCs w:val="21"/>
                <w:lang w:val="en-US" w:eastAsia="zh-CN" w:bidi="ar-SA"/>
              </w:rPr>
              <w:t>《关于武汉港</w:t>
            </w:r>
            <w:r>
              <w:rPr>
                <w:rFonts w:hint="eastAsia" w:cs="Times New Roman"/>
                <w:bCs/>
                <w:color w:val="000000"/>
                <w:kern w:val="2"/>
                <w:sz w:val="24"/>
                <w:szCs w:val="21"/>
                <w:lang w:val="en-US" w:eastAsia="zh-CN" w:bidi="ar-SA"/>
              </w:rPr>
              <w:t>核心区趸船码头改造提升项目（中华路客运码头）初步设计的批复函</w:t>
            </w:r>
            <w:r>
              <w:rPr>
                <w:rFonts w:hint="eastAsia" w:ascii="Times New Roman" w:hAnsi="Times New Roman" w:eastAsia="宋体" w:cs="Times New Roman"/>
                <w:bCs/>
                <w:color w:val="000000"/>
                <w:kern w:val="2"/>
                <w:sz w:val="24"/>
                <w:szCs w:val="21"/>
                <w:lang w:val="en-US" w:eastAsia="zh-CN" w:bidi="ar-SA"/>
              </w:rPr>
              <w:t>》（武交审复【2022】9号）</w:t>
            </w:r>
            <w:r>
              <w:rPr>
                <w:rFonts w:hint="eastAsia"/>
                <w:sz w:val="24"/>
              </w:rPr>
              <w:t>；</w:t>
            </w:r>
          </w:p>
          <w:p w14:paraId="413EDF97">
            <w:pPr>
              <w:spacing w:line="360" w:lineRule="auto"/>
              <w:ind w:firstLine="480" w:firstLineChars="200"/>
              <w:contextualSpacing/>
              <w:rPr>
                <w:sz w:val="24"/>
              </w:rPr>
            </w:pPr>
            <w:bookmarkStart w:id="1" w:name="_Hlk55812460"/>
            <w:bookmarkStart w:id="2" w:name="_Hlk58839966"/>
            <w:r>
              <w:rPr>
                <w:rFonts w:hint="eastAsia"/>
                <w:sz w:val="24"/>
                <w:lang w:eastAsia="zh-CN"/>
              </w:rPr>
              <w:t>武汉港核心区趸船码头改造提升项目（中华路客运码头）</w:t>
            </w:r>
            <w:r>
              <w:rPr>
                <w:sz w:val="24"/>
              </w:rPr>
              <w:t>于20</w:t>
            </w:r>
            <w:r>
              <w:rPr>
                <w:rFonts w:hint="eastAsia"/>
                <w:sz w:val="24"/>
                <w:lang w:val="en-US" w:eastAsia="zh-CN"/>
              </w:rPr>
              <w:t>22</w:t>
            </w:r>
            <w:r>
              <w:rPr>
                <w:sz w:val="24"/>
              </w:rPr>
              <w:t>年</w:t>
            </w:r>
            <w:r>
              <w:rPr>
                <w:rFonts w:hint="eastAsia"/>
                <w:sz w:val="24"/>
                <w:lang w:val="en-US" w:eastAsia="zh-CN"/>
              </w:rPr>
              <w:t>7</w:t>
            </w:r>
            <w:r>
              <w:rPr>
                <w:sz w:val="24"/>
              </w:rPr>
              <w:t>月开工建设，20</w:t>
            </w:r>
            <w:r>
              <w:rPr>
                <w:rFonts w:hint="eastAsia"/>
                <w:sz w:val="24"/>
                <w:lang w:val="en-US" w:eastAsia="zh-CN"/>
              </w:rPr>
              <w:t>24</w:t>
            </w:r>
            <w:r>
              <w:rPr>
                <w:sz w:val="24"/>
              </w:rPr>
              <w:t>年</w:t>
            </w:r>
            <w:r>
              <w:rPr>
                <w:rFonts w:hint="eastAsia"/>
                <w:sz w:val="24"/>
                <w:lang w:val="en-US" w:eastAsia="zh-CN"/>
              </w:rPr>
              <w:t>3</w:t>
            </w:r>
            <w:r>
              <w:rPr>
                <w:sz w:val="24"/>
              </w:rPr>
              <w:t>月竣工。</w:t>
            </w:r>
            <w:bookmarkEnd w:id="1"/>
            <w:bookmarkEnd w:id="2"/>
          </w:p>
          <w:p w14:paraId="0917F0C2">
            <w:pPr>
              <w:spacing w:line="360" w:lineRule="auto"/>
              <w:ind w:firstLine="480" w:firstLineChars="200"/>
              <w:contextualSpacing/>
              <w:rPr>
                <w:sz w:val="24"/>
              </w:rPr>
            </w:pPr>
            <w:r>
              <w:rPr>
                <w:rFonts w:hint="eastAsia"/>
                <w:sz w:val="24"/>
              </w:rPr>
              <w:t>根据国务院第682号令《国务院关于修改〈建设项目环境保护管理条例〉的决定》、环境保护部[2017]4号文《关于发布&lt;建设项目竣工环境保护验收暂行办法&gt;的公告》等法律法规要求，20</w:t>
            </w:r>
            <w:r>
              <w:rPr>
                <w:sz w:val="24"/>
              </w:rPr>
              <w:t>2</w:t>
            </w:r>
            <w:r>
              <w:rPr>
                <w:rFonts w:hint="eastAsia"/>
                <w:sz w:val="24"/>
                <w:lang w:val="en-US" w:eastAsia="zh-CN"/>
              </w:rPr>
              <w:t>4</w:t>
            </w:r>
            <w:r>
              <w:rPr>
                <w:rFonts w:hint="eastAsia"/>
                <w:sz w:val="24"/>
              </w:rPr>
              <w:t>年</w:t>
            </w:r>
            <w:r>
              <w:rPr>
                <w:rFonts w:hint="eastAsia"/>
                <w:sz w:val="24"/>
                <w:lang w:val="en-US" w:eastAsia="zh-CN"/>
              </w:rPr>
              <w:t>3</w:t>
            </w:r>
            <w:r>
              <w:rPr>
                <w:rFonts w:hint="eastAsia"/>
                <w:sz w:val="24"/>
              </w:rPr>
              <w:t>月，</w:t>
            </w:r>
            <w:r>
              <w:rPr>
                <w:rFonts w:hint="eastAsia"/>
                <w:sz w:val="24"/>
                <w:lang w:eastAsia="zh-CN"/>
              </w:rPr>
              <w:t>武汉两江轮渡有限责任公司</w:t>
            </w:r>
            <w:r>
              <w:rPr>
                <w:rFonts w:hint="eastAsia"/>
                <w:sz w:val="24"/>
              </w:rPr>
              <w:t>委托</w:t>
            </w:r>
            <w:r>
              <w:rPr>
                <w:rFonts w:hint="eastAsia"/>
                <w:sz w:val="24"/>
                <w:lang w:eastAsia="zh-CN"/>
              </w:rPr>
              <w:t>武汉智汇元环保科技有限公司</w:t>
            </w:r>
            <w:r>
              <w:rPr>
                <w:rFonts w:hint="eastAsia"/>
                <w:sz w:val="24"/>
              </w:rPr>
              <w:t>承担其</w:t>
            </w:r>
            <w:r>
              <w:rPr>
                <w:rFonts w:hint="eastAsia"/>
                <w:sz w:val="24"/>
                <w:lang w:eastAsia="zh-CN"/>
              </w:rPr>
              <w:t>武汉港核心区趸船码头改造提升项目（中华路客运码头）</w:t>
            </w:r>
            <w:r>
              <w:rPr>
                <w:rFonts w:hint="eastAsia"/>
                <w:sz w:val="24"/>
              </w:rPr>
              <w:t>竣工环境保护验收工作。我公司接收委托后，立即组织有关技术人员进行现场踏勘、资料收集等一系列前期工作，在此基础上，按照《建设项目竣工环境保护验收技术规范  生态影响类》（HJ/T394-2007）的要求，结合项目性质、污染特征进行了现场调查，编制了该项目的竣工环境保护验收调查表。</w:t>
            </w:r>
          </w:p>
          <w:p w14:paraId="2A080188">
            <w:pPr>
              <w:spacing w:line="360" w:lineRule="auto"/>
              <w:ind w:firstLine="480" w:firstLineChars="200"/>
              <w:contextualSpacing/>
              <w:rPr>
                <w:sz w:val="24"/>
              </w:rPr>
            </w:pPr>
            <w:r>
              <w:rPr>
                <w:rFonts w:hint="eastAsia"/>
                <w:sz w:val="24"/>
              </w:rPr>
              <w:t>20</w:t>
            </w:r>
            <w:r>
              <w:rPr>
                <w:sz w:val="24"/>
              </w:rPr>
              <w:t>2</w:t>
            </w:r>
            <w:r>
              <w:rPr>
                <w:rFonts w:hint="eastAsia"/>
                <w:sz w:val="24"/>
                <w:lang w:val="en-US" w:eastAsia="zh-CN"/>
              </w:rPr>
              <w:t>4</w:t>
            </w:r>
            <w:r>
              <w:rPr>
                <w:rFonts w:hint="eastAsia"/>
                <w:sz w:val="24"/>
              </w:rPr>
              <w:t>年</w:t>
            </w:r>
            <w:r>
              <w:rPr>
                <w:rFonts w:hint="eastAsia"/>
                <w:sz w:val="24"/>
                <w:lang w:val="en-US" w:eastAsia="zh-CN"/>
              </w:rPr>
              <w:t>4</w:t>
            </w:r>
            <w:r>
              <w:rPr>
                <w:rFonts w:hint="eastAsia"/>
                <w:sz w:val="24"/>
              </w:rPr>
              <w:t>月，</w:t>
            </w:r>
            <w:r>
              <w:rPr>
                <w:rFonts w:hint="eastAsia"/>
                <w:sz w:val="24"/>
                <w:lang w:eastAsia="zh-CN"/>
              </w:rPr>
              <w:t>武汉两江轮渡有限责任公司</w:t>
            </w:r>
            <w:r>
              <w:rPr>
                <w:rFonts w:hint="eastAsia"/>
                <w:sz w:val="24"/>
              </w:rPr>
              <w:t>组织成立验收工作组召开验收现场检查会议，并邀请专家对本项目进行评审。</w:t>
            </w:r>
          </w:p>
        </w:tc>
      </w:tr>
      <w:tr w14:paraId="21F3B5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21" w:hRule="atLeast"/>
          <w:jc w:val="center"/>
        </w:trPr>
        <w:tc>
          <w:tcPr>
            <w:tcW w:w="713" w:type="pct"/>
            <w:vAlign w:val="center"/>
          </w:tcPr>
          <w:p w14:paraId="53A00DC3">
            <w:pPr>
              <w:contextualSpacing/>
              <w:jc w:val="center"/>
              <w:rPr>
                <w:sz w:val="24"/>
              </w:rPr>
            </w:pPr>
            <w:r>
              <w:rPr>
                <w:rFonts w:hint="eastAsia"/>
                <w:sz w:val="24"/>
              </w:rPr>
              <w:t>验收调查依据</w:t>
            </w:r>
          </w:p>
        </w:tc>
        <w:tc>
          <w:tcPr>
            <w:tcW w:w="4287" w:type="pct"/>
            <w:gridSpan w:val="11"/>
          </w:tcPr>
          <w:p w14:paraId="60FD4CDB">
            <w:pPr>
              <w:pStyle w:val="76"/>
              <w:numPr>
                <w:ilvl w:val="0"/>
                <w:numId w:val="1"/>
              </w:numPr>
              <w:spacing w:line="360" w:lineRule="auto"/>
              <w:ind w:left="420" w:firstLineChars="0"/>
            </w:pPr>
            <w:r>
              <w:t>《中华人民共和国环境保护法》，2015年1月1日实施；</w:t>
            </w:r>
          </w:p>
          <w:p w14:paraId="4DD93669">
            <w:pPr>
              <w:pStyle w:val="76"/>
              <w:numPr>
                <w:ilvl w:val="0"/>
                <w:numId w:val="1"/>
              </w:numPr>
              <w:spacing w:line="360" w:lineRule="auto"/>
              <w:ind w:left="420" w:firstLineChars="0"/>
            </w:pPr>
            <w:r>
              <w:t>《中华人民共和国环境影响评价法》，2018</w:t>
            </w:r>
            <w:r>
              <w:rPr>
                <w:rFonts w:hint="eastAsia"/>
              </w:rPr>
              <w:t>年1</w:t>
            </w:r>
            <w:r>
              <w:t>2</w:t>
            </w:r>
            <w:r>
              <w:rPr>
                <w:rFonts w:hint="eastAsia"/>
              </w:rPr>
              <w:t>月2</w:t>
            </w:r>
            <w:r>
              <w:t>9</w:t>
            </w:r>
            <w:r>
              <w:rPr>
                <w:rFonts w:hint="eastAsia"/>
              </w:rPr>
              <w:t>日修订并</w:t>
            </w:r>
            <w:r>
              <w:t>实施；</w:t>
            </w:r>
          </w:p>
          <w:p w14:paraId="402F55CD">
            <w:pPr>
              <w:pStyle w:val="76"/>
              <w:numPr>
                <w:ilvl w:val="0"/>
                <w:numId w:val="1"/>
              </w:numPr>
              <w:spacing w:line="360" w:lineRule="auto"/>
              <w:ind w:left="420" w:firstLineChars="0"/>
            </w:pPr>
            <w:r>
              <w:t>《中华人民共和国大气污染防治法》，2018</w:t>
            </w:r>
            <w:r>
              <w:rPr>
                <w:rFonts w:hint="eastAsia"/>
              </w:rPr>
              <w:t>年1</w:t>
            </w:r>
            <w:r>
              <w:t>0</w:t>
            </w:r>
            <w:r>
              <w:rPr>
                <w:rFonts w:hint="eastAsia"/>
              </w:rPr>
              <w:t>月2</w:t>
            </w:r>
            <w:r>
              <w:t>6</w:t>
            </w:r>
            <w:r>
              <w:rPr>
                <w:rFonts w:hint="eastAsia"/>
              </w:rPr>
              <w:t>日修订并</w:t>
            </w:r>
            <w:r>
              <w:t>实施；</w:t>
            </w:r>
          </w:p>
          <w:p w14:paraId="3A0C42A7">
            <w:pPr>
              <w:pStyle w:val="76"/>
              <w:numPr>
                <w:ilvl w:val="0"/>
                <w:numId w:val="1"/>
              </w:numPr>
              <w:spacing w:line="360" w:lineRule="auto"/>
              <w:ind w:left="420" w:firstLineChars="0"/>
            </w:pPr>
            <w:r>
              <w:t>《中华人民共和国水污染防治法》，2018年1月1日实施；</w:t>
            </w:r>
          </w:p>
          <w:p w14:paraId="40A40F16">
            <w:pPr>
              <w:pStyle w:val="76"/>
              <w:numPr>
                <w:ilvl w:val="0"/>
                <w:numId w:val="1"/>
              </w:numPr>
              <w:spacing w:line="360" w:lineRule="auto"/>
              <w:ind w:left="420" w:firstLineChars="0"/>
            </w:pPr>
            <w:r>
              <w:t>《中华人民共和国环境噪声污染防治法》，2018</w:t>
            </w:r>
            <w:r>
              <w:rPr>
                <w:rFonts w:hint="eastAsia"/>
              </w:rPr>
              <w:t>年1</w:t>
            </w:r>
            <w:r>
              <w:t>2</w:t>
            </w:r>
            <w:r>
              <w:rPr>
                <w:rFonts w:hint="eastAsia"/>
              </w:rPr>
              <w:t>月2</w:t>
            </w:r>
            <w:r>
              <w:t>9</w:t>
            </w:r>
            <w:r>
              <w:rPr>
                <w:rFonts w:hint="eastAsia"/>
              </w:rPr>
              <w:t>日修订并</w:t>
            </w:r>
            <w:r>
              <w:t>实施；</w:t>
            </w:r>
          </w:p>
          <w:p w14:paraId="47252AA3">
            <w:pPr>
              <w:pStyle w:val="76"/>
              <w:numPr>
                <w:ilvl w:val="0"/>
                <w:numId w:val="1"/>
              </w:numPr>
              <w:spacing w:line="360" w:lineRule="auto"/>
              <w:ind w:left="420" w:firstLineChars="0"/>
            </w:pPr>
            <w:r>
              <w:t>《中华人民共和国固体废物污染环境防治法》，2020</w:t>
            </w:r>
            <w:r>
              <w:rPr>
                <w:rFonts w:hint="eastAsia"/>
              </w:rPr>
              <w:t>年4月2</w:t>
            </w:r>
            <w:r>
              <w:t>9</w:t>
            </w:r>
            <w:r>
              <w:rPr>
                <w:rFonts w:hint="eastAsia"/>
              </w:rPr>
              <w:t>日修订，2</w:t>
            </w:r>
            <w:r>
              <w:t>020</w:t>
            </w:r>
            <w:r>
              <w:rPr>
                <w:rFonts w:hint="eastAsia"/>
              </w:rPr>
              <w:t>年9月1日起施行</w:t>
            </w:r>
            <w:r>
              <w:t>；</w:t>
            </w:r>
          </w:p>
          <w:p w14:paraId="2368E592">
            <w:pPr>
              <w:pStyle w:val="76"/>
              <w:numPr>
                <w:ilvl w:val="0"/>
                <w:numId w:val="1"/>
              </w:numPr>
              <w:spacing w:line="360" w:lineRule="auto"/>
              <w:ind w:left="420" w:firstLineChars="0"/>
            </w:pPr>
            <w:r>
              <w:rPr>
                <w:rFonts w:hint="eastAsia"/>
              </w:rPr>
              <w:t>《国务院关于修改〈建设项目环境保护管理条例〉的决定》（国务院第682号令），2017年10月1日起施行；</w:t>
            </w:r>
          </w:p>
          <w:p w14:paraId="2D321827">
            <w:pPr>
              <w:pStyle w:val="76"/>
              <w:numPr>
                <w:ilvl w:val="0"/>
                <w:numId w:val="1"/>
              </w:numPr>
              <w:spacing w:line="360" w:lineRule="auto"/>
              <w:ind w:left="420" w:firstLineChars="0"/>
            </w:pPr>
            <w:r>
              <w:rPr>
                <w:rFonts w:hint="eastAsia"/>
              </w:rPr>
              <w:t>《建设项目竣工环境保护验收暂行办法》（国环规环评[2017]4号文），2017年11月20日发布施行；</w:t>
            </w:r>
          </w:p>
          <w:p w14:paraId="5B4AE281">
            <w:pPr>
              <w:pStyle w:val="76"/>
              <w:numPr>
                <w:ilvl w:val="0"/>
                <w:numId w:val="1"/>
              </w:numPr>
              <w:spacing w:line="360" w:lineRule="auto"/>
              <w:ind w:left="420" w:firstLineChars="0"/>
            </w:pPr>
            <w:r>
              <w:rPr>
                <w:rFonts w:hint="eastAsia"/>
              </w:rPr>
              <w:t>《建设项目竣工环境保护验收技术规范（生态影响类）》（HJ/T 394-2007）；</w:t>
            </w:r>
          </w:p>
          <w:p w14:paraId="6250BE26">
            <w:pPr>
              <w:pStyle w:val="76"/>
              <w:numPr>
                <w:ilvl w:val="0"/>
                <w:numId w:val="1"/>
              </w:numPr>
              <w:spacing w:line="360" w:lineRule="auto"/>
              <w:ind w:left="420" w:firstLineChars="0"/>
            </w:pPr>
            <w:r>
              <w:rPr>
                <w:rFonts w:hint="eastAsia"/>
              </w:rPr>
              <w:t>武汉智汇元环保科技有限公司编制完成的《武汉港核心区趸船码头改造提升项目（中华路客运码头）环境影响报告表》（202</w:t>
            </w:r>
            <w:r>
              <w:rPr>
                <w:rFonts w:hint="eastAsia"/>
                <w:lang w:val="en-US" w:eastAsia="zh-CN"/>
              </w:rPr>
              <w:t>1</w:t>
            </w:r>
            <w:r>
              <w:rPr>
                <w:rFonts w:hint="eastAsia"/>
              </w:rPr>
              <w:t>年</w:t>
            </w:r>
            <w:r>
              <w:t>10</w:t>
            </w:r>
            <w:r>
              <w:rPr>
                <w:rFonts w:hint="eastAsia"/>
              </w:rPr>
              <w:t>月）；</w:t>
            </w:r>
          </w:p>
          <w:p w14:paraId="458716BE">
            <w:pPr>
              <w:pStyle w:val="76"/>
              <w:numPr>
                <w:ilvl w:val="0"/>
                <w:numId w:val="1"/>
              </w:numPr>
              <w:spacing w:line="360" w:lineRule="auto"/>
              <w:ind w:left="420" w:firstLineChars="0"/>
            </w:pPr>
            <w:r>
              <w:rPr>
                <w:rFonts w:hint="eastAsia"/>
              </w:rPr>
              <w:t>“</w:t>
            </w:r>
            <w:r>
              <w:rPr>
                <w:rFonts w:hint="eastAsia"/>
                <w:lang w:eastAsia="zh-CN"/>
              </w:rPr>
              <w:t>武汉港核心区趸船码头改造提升项目（中华路客运码头）</w:t>
            </w:r>
            <w:r>
              <w:rPr>
                <w:rFonts w:hint="eastAsia"/>
              </w:rPr>
              <w:t>”竣工环境保护验收调查委托书（见附件1）；</w:t>
            </w:r>
          </w:p>
          <w:p w14:paraId="4575171E">
            <w:pPr>
              <w:pStyle w:val="76"/>
              <w:numPr>
                <w:ilvl w:val="0"/>
                <w:numId w:val="1"/>
              </w:numPr>
              <w:spacing w:line="360" w:lineRule="auto"/>
              <w:ind w:left="420" w:firstLineChars="0"/>
              <w:rPr>
                <w:rFonts w:hint="eastAsia"/>
              </w:rPr>
            </w:pPr>
            <w:r>
              <w:rPr>
                <w:rFonts w:hint="eastAsia"/>
                <w:lang w:eastAsia="zh-CN"/>
              </w:rPr>
              <w:t>武汉市交通运输局</w:t>
            </w:r>
            <w:r>
              <w:rPr>
                <w:rFonts w:hint="eastAsia"/>
              </w:rPr>
              <w:t>《关于武汉港核心区趸船码头改造提升项目（中华路客运码头）初步设计的批复》</w:t>
            </w:r>
            <w:r>
              <w:rPr>
                <w:rFonts w:hint="default"/>
              </w:rPr>
              <w:t>（</w:t>
            </w:r>
            <w:r>
              <w:rPr>
                <w:rFonts w:hint="eastAsia"/>
                <w:lang w:eastAsia="zh-CN"/>
              </w:rPr>
              <w:t>武交审复【2022】9号</w:t>
            </w:r>
            <w:r>
              <w:rPr>
                <w:rFonts w:hint="default"/>
              </w:rPr>
              <w:t>，见附件</w:t>
            </w:r>
            <w:r>
              <w:rPr>
                <w:rFonts w:hint="eastAsia"/>
                <w:lang w:val="en-US" w:eastAsia="zh-CN"/>
              </w:rPr>
              <w:t>3</w:t>
            </w:r>
            <w:r>
              <w:rPr>
                <w:rFonts w:hint="default"/>
              </w:rPr>
              <w:t>）；</w:t>
            </w:r>
          </w:p>
          <w:p w14:paraId="6EBE258D">
            <w:pPr>
              <w:pStyle w:val="76"/>
              <w:numPr>
                <w:ilvl w:val="0"/>
                <w:numId w:val="1"/>
              </w:numPr>
              <w:spacing w:line="360" w:lineRule="auto"/>
              <w:ind w:left="420" w:firstLineChars="0"/>
              <w:rPr>
                <w:rFonts w:hint="eastAsia"/>
              </w:rPr>
            </w:pPr>
            <w:r>
              <w:rPr>
                <w:rFonts w:hint="eastAsia"/>
              </w:rPr>
              <w:t>武汉市生态环境局</w:t>
            </w:r>
            <w:r>
              <w:rPr>
                <w:rFonts w:hint="eastAsia"/>
                <w:lang w:eastAsia="zh-CN"/>
              </w:rPr>
              <w:t>武昌</w:t>
            </w:r>
            <w:r>
              <w:rPr>
                <w:rFonts w:hint="eastAsia"/>
              </w:rPr>
              <w:t>区分局关于《</w:t>
            </w:r>
            <w:r>
              <w:rPr>
                <w:rFonts w:hint="eastAsia"/>
                <w:lang w:eastAsia="zh-CN"/>
              </w:rPr>
              <w:t>武汉港核心区趸船码头改造提升项目（中华路客运码头）</w:t>
            </w:r>
            <w:r>
              <w:rPr>
                <w:rFonts w:hint="eastAsia"/>
              </w:rPr>
              <w:t>环境影响报告表的批复》（武环武昌审[2021]4号，见附件</w:t>
            </w:r>
            <w:r>
              <w:rPr>
                <w:rFonts w:hint="eastAsia"/>
                <w:lang w:val="en-US" w:eastAsia="zh-CN"/>
              </w:rPr>
              <w:t>2</w:t>
            </w:r>
            <w:r>
              <w:rPr>
                <w:rFonts w:hint="eastAsia"/>
              </w:rPr>
              <w:t>）；</w:t>
            </w:r>
          </w:p>
          <w:p w14:paraId="78C1A4EA">
            <w:pPr>
              <w:pStyle w:val="76"/>
              <w:spacing w:line="360" w:lineRule="auto"/>
              <w:ind w:firstLineChars="0"/>
            </w:pPr>
          </w:p>
          <w:p w14:paraId="580506E2">
            <w:pPr>
              <w:pStyle w:val="76"/>
              <w:spacing w:line="360" w:lineRule="auto"/>
              <w:ind w:firstLineChars="0"/>
            </w:pPr>
          </w:p>
          <w:p w14:paraId="7884A1D4">
            <w:pPr>
              <w:pStyle w:val="76"/>
              <w:spacing w:line="360" w:lineRule="auto"/>
              <w:ind w:firstLineChars="0"/>
            </w:pPr>
          </w:p>
        </w:tc>
      </w:tr>
    </w:tbl>
    <w:p w14:paraId="1E4B6F9E">
      <w:r>
        <w:br w:type="page"/>
      </w:r>
    </w:p>
    <w:p w14:paraId="75BFBFF2">
      <w:pPr>
        <w:pStyle w:val="4"/>
        <w:rPr>
          <w:rFonts w:ascii="Times New Roman" w:hAnsi="Times New Roman"/>
          <w:color w:val="auto"/>
        </w:rPr>
      </w:pPr>
      <w:bookmarkStart w:id="3" w:name="_Toc520382818"/>
      <w:r>
        <w:rPr>
          <w:rFonts w:ascii="Times New Roman" w:hAnsi="Times New Roman"/>
          <w:color w:val="auto"/>
        </w:rPr>
        <w:t xml:space="preserve">表二  </w:t>
      </w:r>
      <w:r>
        <w:rPr>
          <w:rFonts w:hint="eastAsia" w:ascii="Times New Roman" w:hAnsi="Times New Roman"/>
          <w:color w:val="auto"/>
        </w:rPr>
        <w:t>调查</w:t>
      </w:r>
      <w:r>
        <w:rPr>
          <w:rFonts w:ascii="Times New Roman" w:hAnsi="Times New Roman"/>
          <w:color w:val="auto"/>
        </w:rPr>
        <w:t>范围</w:t>
      </w:r>
      <w:r>
        <w:rPr>
          <w:rFonts w:hint="eastAsia" w:ascii="Times New Roman" w:hAnsi="Times New Roman"/>
          <w:color w:val="auto"/>
        </w:rPr>
        <w:t>、</w:t>
      </w:r>
      <w:r>
        <w:rPr>
          <w:rFonts w:ascii="Times New Roman" w:hAnsi="Times New Roman"/>
          <w:color w:val="auto"/>
        </w:rPr>
        <w:t>因子</w:t>
      </w:r>
      <w:r>
        <w:rPr>
          <w:rFonts w:hint="eastAsia" w:ascii="Times New Roman" w:hAnsi="Times New Roman"/>
          <w:color w:val="auto"/>
        </w:rPr>
        <w:t>、</w:t>
      </w:r>
      <w:r>
        <w:rPr>
          <w:rFonts w:ascii="Times New Roman" w:hAnsi="Times New Roman"/>
          <w:color w:val="auto"/>
        </w:rPr>
        <w:t>目标</w:t>
      </w:r>
      <w:r>
        <w:rPr>
          <w:rFonts w:hint="eastAsia" w:ascii="Times New Roman" w:hAnsi="Times New Roman"/>
          <w:color w:val="auto"/>
        </w:rPr>
        <w:t>、重点</w:t>
      </w:r>
      <w:bookmarkEnd w:id="3"/>
    </w:p>
    <w:tbl>
      <w:tblPr>
        <w:tblStyle w:val="23"/>
        <w:tblW w:w="924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7"/>
        <w:gridCol w:w="8425"/>
      </w:tblGrid>
      <w:tr w14:paraId="7A883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817" w:type="dxa"/>
            <w:vAlign w:val="center"/>
          </w:tcPr>
          <w:p w14:paraId="094B132F">
            <w:pPr>
              <w:spacing w:line="360" w:lineRule="auto"/>
              <w:jc w:val="center"/>
              <w:rPr>
                <w:sz w:val="24"/>
              </w:rPr>
            </w:pPr>
            <w:r>
              <w:rPr>
                <w:rFonts w:hint="eastAsia"/>
                <w:sz w:val="24"/>
              </w:rPr>
              <w:t>调查范围</w:t>
            </w:r>
          </w:p>
        </w:tc>
        <w:tc>
          <w:tcPr>
            <w:tcW w:w="8425" w:type="dxa"/>
            <w:vAlign w:val="center"/>
          </w:tcPr>
          <w:p w14:paraId="2B15AF49">
            <w:pPr>
              <w:spacing w:line="360" w:lineRule="auto"/>
              <w:ind w:firstLine="480" w:firstLineChars="200"/>
              <w:rPr>
                <w:sz w:val="24"/>
              </w:rPr>
            </w:pPr>
            <w:r>
              <w:rPr>
                <w:rFonts w:hint="eastAsia"/>
                <w:sz w:val="24"/>
              </w:rPr>
              <w:t>根据《建设项目竣工环境保护验收技术规范 生态影响类》（HJ/T 394-2007）以及《</w:t>
            </w:r>
            <w:r>
              <w:rPr>
                <w:rFonts w:hint="eastAsia"/>
                <w:sz w:val="24"/>
                <w:lang w:eastAsia="zh-CN"/>
              </w:rPr>
              <w:t>武汉港核心区趸船码头改造提升项目（中华路客运码头）</w:t>
            </w:r>
            <w:r>
              <w:rPr>
                <w:rFonts w:hint="eastAsia"/>
                <w:sz w:val="24"/>
              </w:rPr>
              <w:t>环境影响报告表》中确定的评价范围</w:t>
            </w:r>
            <w:r>
              <w:rPr>
                <w:rFonts w:hint="eastAsia"/>
                <w:sz w:val="24"/>
                <w:lang w:eastAsia="zh-CN"/>
              </w:rPr>
              <w:t>（</w:t>
            </w:r>
            <w:r>
              <w:rPr>
                <w:rFonts w:hint="eastAsia"/>
                <w:b/>
                <w:bCs/>
                <w:sz w:val="24"/>
                <w:lang w:eastAsia="zh-CN"/>
              </w:rPr>
              <w:t>评价范围内不含餐饮等业态，该部分业态需按照相关部门要求办理手续</w:t>
            </w:r>
            <w:r>
              <w:rPr>
                <w:rFonts w:hint="eastAsia"/>
                <w:sz w:val="24"/>
                <w:lang w:eastAsia="zh-CN"/>
              </w:rPr>
              <w:t>）</w:t>
            </w:r>
            <w:r>
              <w:rPr>
                <w:rFonts w:hint="eastAsia"/>
                <w:sz w:val="24"/>
              </w:rPr>
              <w:t>，具体调查范围为工程区域的生态影响，声环境、水环境、大气环境影响区域。</w:t>
            </w:r>
          </w:p>
        </w:tc>
      </w:tr>
      <w:tr w14:paraId="6CF63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 w:hRule="atLeast"/>
        </w:trPr>
        <w:tc>
          <w:tcPr>
            <w:tcW w:w="817" w:type="dxa"/>
            <w:vAlign w:val="center"/>
          </w:tcPr>
          <w:p w14:paraId="42A1E472">
            <w:pPr>
              <w:spacing w:line="360" w:lineRule="auto"/>
              <w:jc w:val="center"/>
              <w:rPr>
                <w:sz w:val="24"/>
              </w:rPr>
            </w:pPr>
            <w:r>
              <w:rPr>
                <w:rFonts w:hint="eastAsia"/>
                <w:sz w:val="24"/>
              </w:rPr>
              <w:t>调查因子</w:t>
            </w:r>
          </w:p>
        </w:tc>
        <w:tc>
          <w:tcPr>
            <w:tcW w:w="8425" w:type="dxa"/>
            <w:vAlign w:val="center"/>
          </w:tcPr>
          <w:p w14:paraId="10579027">
            <w:pPr>
              <w:spacing w:line="360" w:lineRule="auto"/>
              <w:ind w:firstLine="480" w:firstLineChars="200"/>
              <w:rPr>
                <w:sz w:val="24"/>
              </w:rPr>
            </w:pPr>
            <w:r>
              <w:rPr>
                <w:rFonts w:hint="eastAsia"/>
                <w:sz w:val="24"/>
              </w:rPr>
              <w:t>生态环境：调查本项目永久占地和临时占地的面积及临时占地的植被及恢复情况，防治水土流失的相关措施及其效果。</w:t>
            </w:r>
          </w:p>
          <w:p w14:paraId="32C5114A">
            <w:pPr>
              <w:spacing w:line="360" w:lineRule="auto"/>
              <w:ind w:firstLine="480" w:firstLineChars="200"/>
              <w:rPr>
                <w:sz w:val="24"/>
              </w:rPr>
            </w:pPr>
            <w:r>
              <w:rPr>
                <w:rFonts w:hint="eastAsia"/>
                <w:sz w:val="24"/>
              </w:rPr>
              <w:t>大气环境：回顾施工期污染物治理措施；运营期废气排放去向。</w:t>
            </w:r>
          </w:p>
          <w:p w14:paraId="511C3DB8">
            <w:pPr>
              <w:spacing w:line="360" w:lineRule="auto"/>
              <w:ind w:firstLine="480" w:firstLineChars="200"/>
              <w:rPr>
                <w:sz w:val="24"/>
              </w:rPr>
            </w:pPr>
            <w:r>
              <w:rPr>
                <w:rFonts w:hint="eastAsia"/>
                <w:sz w:val="24"/>
              </w:rPr>
              <w:t>水环境：回顾调查施工期水污染物排放去向；运营期水污染物排放去向。</w:t>
            </w:r>
          </w:p>
          <w:p w14:paraId="59C6EF18">
            <w:pPr>
              <w:spacing w:line="360" w:lineRule="auto"/>
              <w:ind w:firstLine="480" w:firstLineChars="200"/>
              <w:rPr>
                <w:sz w:val="24"/>
              </w:rPr>
            </w:pPr>
            <w:r>
              <w:rPr>
                <w:rFonts w:hint="eastAsia"/>
                <w:sz w:val="24"/>
              </w:rPr>
              <w:t>噪声：回顾调查施工期噪声防治措施；运营期噪声防治措施。</w:t>
            </w:r>
          </w:p>
          <w:p w14:paraId="5B7BD3C1">
            <w:pPr>
              <w:spacing w:line="360" w:lineRule="auto"/>
              <w:ind w:firstLine="480" w:firstLineChars="200"/>
              <w:rPr>
                <w:sz w:val="24"/>
              </w:rPr>
            </w:pPr>
            <w:r>
              <w:rPr>
                <w:rFonts w:hint="eastAsia"/>
                <w:sz w:val="24"/>
              </w:rPr>
              <w:t>固体废弃物：回顾调查施工期固体废弃污染防治措施落实情况。</w:t>
            </w:r>
          </w:p>
        </w:tc>
      </w:tr>
      <w:tr w14:paraId="685B1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 w:hRule="atLeast"/>
        </w:trPr>
        <w:tc>
          <w:tcPr>
            <w:tcW w:w="817" w:type="dxa"/>
            <w:vAlign w:val="center"/>
          </w:tcPr>
          <w:p w14:paraId="43C909E0">
            <w:pPr>
              <w:spacing w:line="360" w:lineRule="auto"/>
              <w:jc w:val="center"/>
              <w:rPr>
                <w:sz w:val="24"/>
              </w:rPr>
            </w:pPr>
            <w:r>
              <w:rPr>
                <w:rFonts w:hint="eastAsia"/>
                <w:sz w:val="24"/>
              </w:rPr>
              <w:t>环境敏感目标</w:t>
            </w:r>
          </w:p>
        </w:tc>
        <w:tc>
          <w:tcPr>
            <w:tcW w:w="8425" w:type="dxa"/>
            <w:vAlign w:val="center"/>
          </w:tcPr>
          <w:p w14:paraId="3A7E4990">
            <w:pPr>
              <w:spacing w:line="360" w:lineRule="auto"/>
              <w:ind w:firstLine="480" w:firstLineChars="200"/>
              <w:rPr>
                <w:sz w:val="24"/>
              </w:rPr>
            </w:pPr>
            <w:r>
              <w:rPr>
                <w:rFonts w:hint="eastAsia"/>
                <w:sz w:val="24"/>
              </w:rPr>
              <w:t>根据现场调查了解，确定本项目的主要环境保护目标如下表。</w:t>
            </w:r>
          </w:p>
          <w:p w14:paraId="5E9532F4">
            <w:pPr>
              <w:ind w:firstLine="420" w:firstLineChars="200"/>
              <w:jc w:val="center"/>
              <w:rPr>
                <w:rFonts w:eastAsia="黑体"/>
                <w:szCs w:val="21"/>
              </w:rPr>
            </w:pPr>
            <w:r>
              <w:rPr>
                <w:rFonts w:eastAsia="黑体"/>
                <w:szCs w:val="21"/>
              </w:rPr>
              <w:t>表2-1  项目环境敏感保护目标一览表</w:t>
            </w:r>
          </w:p>
          <w:tbl>
            <w:tblPr>
              <w:tblStyle w:val="23"/>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46"/>
              <w:gridCol w:w="2318"/>
              <w:gridCol w:w="1282"/>
              <w:gridCol w:w="804"/>
              <w:gridCol w:w="1418"/>
              <w:gridCol w:w="1341"/>
            </w:tblGrid>
            <w:tr w14:paraId="264D45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637" w:type="pct"/>
                  <w:tcBorders>
                    <w:top w:val="single" w:color="auto" w:sz="12" w:space="0"/>
                    <w:bottom w:val="single" w:color="auto" w:sz="12" w:space="0"/>
                  </w:tcBorders>
                  <w:vAlign w:val="center"/>
                </w:tcPr>
                <w:p w14:paraId="590148AF">
                  <w:pPr>
                    <w:adjustRightInd w:val="0"/>
                    <w:snapToGrid w:val="0"/>
                    <w:spacing w:line="240" w:lineRule="exact"/>
                    <w:jc w:val="center"/>
                    <w:rPr>
                      <w:color w:val="000000"/>
                      <w:sz w:val="18"/>
                      <w:szCs w:val="18"/>
                    </w:rPr>
                  </w:pPr>
                  <w:r>
                    <w:rPr>
                      <w:rFonts w:hint="eastAsia"/>
                      <w:color w:val="000000"/>
                      <w:sz w:val="18"/>
                      <w:szCs w:val="18"/>
                    </w:rPr>
                    <w:t>环境要素</w:t>
                  </w:r>
                </w:p>
              </w:tc>
              <w:tc>
                <w:tcPr>
                  <w:tcW w:w="1411" w:type="pct"/>
                  <w:tcBorders>
                    <w:top w:val="single" w:color="auto" w:sz="12" w:space="0"/>
                    <w:bottom w:val="single" w:color="auto" w:sz="12" w:space="0"/>
                  </w:tcBorders>
                  <w:vAlign w:val="center"/>
                </w:tcPr>
                <w:p w14:paraId="2D4CA928">
                  <w:pPr>
                    <w:adjustRightInd w:val="0"/>
                    <w:snapToGrid w:val="0"/>
                    <w:spacing w:line="240" w:lineRule="exact"/>
                    <w:jc w:val="center"/>
                    <w:rPr>
                      <w:color w:val="000000"/>
                      <w:sz w:val="18"/>
                      <w:szCs w:val="18"/>
                    </w:rPr>
                  </w:pPr>
                  <w:r>
                    <w:rPr>
                      <w:rFonts w:hint="eastAsia"/>
                      <w:color w:val="000000"/>
                      <w:sz w:val="18"/>
                      <w:szCs w:val="18"/>
                    </w:rPr>
                    <w:t>保护目标</w:t>
                  </w:r>
                </w:p>
              </w:tc>
              <w:tc>
                <w:tcPr>
                  <w:tcW w:w="780" w:type="pct"/>
                  <w:tcBorders>
                    <w:top w:val="single" w:color="auto" w:sz="12" w:space="0"/>
                    <w:bottom w:val="single" w:color="auto" w:sz="12" w:space="0"/>
                  </w:tcBorders>
                  <w:vAlign w:val="center"/>
                </w:tcPr>
                <w:p w14:paraId="2FB20D0F">
                  <w:pPr>
                    <w:adjustRightInd w:val="0"/>
                    <w:snapToGrid w:val="0"/>
                    <w:spacing w:line="240" w:lineRule="exact"/>
                    <w:jc w:val="center"/>
                    <w:rPr>
                      <w:color w:val="000000"/>
                      <w:sz w:val="18"/>
                      <w:szCs w:val="18"/>
                    </w:rPr>
                  </w:pPr>
                  <w:r>
                    <w:rPr>
                      <w:rFonts w:hint="eastAsia"/>
                      <w:color w:val="000000"/>
                      <w:sz w:val="18"/>
                      <w:szCs w:val="18"/>
                    </w:rPr>
                    <w:t>规模</w:t>
                  </w:r>
                </w:p>
              </w:tc>
              <w:tc>
                <w:tcPr>
                  <w:tcW w:w="489" w:type="pct"/>
                  <w:tcBorders>
                    <w:top w:val="single" w:color="auto" w:sz="12" w:space="0"/>
                    <w:bottom w:val="single" w:color="auto" w:sz="12" w:space="0"/>
                  </w:tcBorders>
                  <w:vAlign w:val="center"/>
                </w:tcPr>
                <w:p w14:paraId="3FFFE23F">
                  <w:pPr>
                    <w:adjustRightInd w:val="0"/>
                    <w:snapToGrid w:val="0"/>
                    <w:spacing w:line="240" w:lineRule="exact"/>
                    <w:jc w:val="center"/>
                    <w:rPr>
                      <w:color w:val="000000"/>
                      <w:sz w:val="18"/>
                      <w:szCs w:val="18"/>
                    </w:rPr>
                  </w:pPr>
                  <w:r>
                    <w:rPr>
                      <w:rFonts w:hint="eastAsia"/>
                      <w:color w:val="000000"/>
                      <w:sz w:val="18"/>
                      <w:szCs w:val="18"/>
                    </w:rPr>
                    <w:t>方位</w:t>
                  </w:r>
                </w:p>
              </w:tc>
              <w:tc>
                <w:tcPr>
                  <w:tcW w:w="863" w:type="pct"/>
                  <w:tcBorders>
                    <w:top w:val="single" w:color="auto" w:sz="12" w:space="0"/>
                    <w:bottom w:val="single" w:color="auto" w:sz="12" w:space="0"/>
                  </w:tcBorders>
                  <w:vAlign w:val="center"/>
                </w:tcPr>
                <w:p w14:paraId="4C78EC09">
                  <w:pPr>
                    <w:adjustRightInd w:val="0"/>
                    <w:snapToGrid w:val="0"/>
                    <w:spacing w:line="240" w:lineRule="exact"/>
                    <w:jc w:val="center"/>
                    <w:rPr>
                      <w:color w:val="000000"/>
                      <w:sz w:val="18"/>
                      <w:szCs w:val="18"/>
                    </w:rPr>
                  </w:pPr>
                  <w:r>
                    <w:rPr>
                      <w:rFonts w:hint="eastAsia"/>
                      <w:color w:val="000000"/>
                      <w:sz w:val="18"/>
                      <w:szCs w:val="18"/>
                    </w:rPr>
                    <w:t>相对最近距离/m</w:t>
                  </w:r>
                </w:p>
              </w:tc>
              <w:tc>
                <w:tcPr>
                  <w:tcW w:w="816" w:type="pct"/>
                  <w:tcBorders>
                    <w:top w:val="single" w:color="auto" w:sz="12" w:space="0"/>
                    <w:bottom w:val="single" w:color="auto" w:sz="12" w:space="0"/>
                  </w:tcBorders>
                  <w:vAlign w:val="center"/>
                </w:tcPr>
                <w:p w14:paraId="4766AD81">
                  <w:pPr>
                    <w:adjustRightInd w:val="0"/>
                    <w:snapToGrid w:val="0"/>
                    <w:spacing w:line="240" w:lineRule="exact"/>
                    <w:jc w:val="center"/>
                    <w:rPr>
                      <w:color w:val="000000"/>
                      <w:sz w:val="18"/>
                      <w:szCs w:val="18"/>
                    </w:rPr>
                  </w:pPr>
                  <w:r>
                    <w:rPr>
                      <w:rFonts w:hint="eastAsia"/>
                      <w:color w:val="000000"/>
                      <w:sz w:val="18"/>
                      <w:szCs w:val="18"/>
                    </w:rPr>
                    <w:t>保护等级</w:t>
                  </w:r>
                </w:p>
              </w:tc>
            </w:tr>
            <w:tr w14:paraId="7CF844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637" w:type="pct"/>
                  <w:vMerge w:val="restart"/>
                  <w:tcBorders>
                    <w:top w:val="single" w:color="auto" w:sz="12" w:space="0"/>
                  </w:tcBorders>
                  <w:vAlign w:val="center"/>
                </w:tcPr>
                <w:p w14:paraId="3B9306F8">
                  <w:pPr>
                    <w:adjustRightInd w:val="0"/>
                    <w:snapToGrid w:val="0"/>
                    <w:spacing w:line="240" w:lineRule="exact"/>
                    <w:jc w:val="center"/>
                    <w:rPr>
                      <w:color w:val="000000"/>
                      <w:sz w:val="18"/>
                      <w:szCs w:val="18"/>
                    </w:rPr>
                  </w:pPr>
                  <w:r>
                    <w:rPr>
                      <w:rFonts w:hint="eastAsia"/>
                      <w:color w:val="000000"/>
                      <w:sz w:val="18"/>
                      <w:szCs w:val="18"/>
                    </w:rPr>
                    <w:t>环境空气</w:t>
                  </w:r>
                </w:p>
              </w:tc>
              <w:tc>
                <w:tcPr>
                  <w:tcW w:w="1411" w:type="pct"/>
                  <w:tcBorders>
                    <w:top w:val="single" w:color="auto" w:sz="12" w:space="0"/>
                    <w:bottom w:val="single" w:color="auto" w:sz="4" w:space="0"/>
                  </w:tcBorders>
                  <w:vAlign w:val="center"/>
                </w:tcPr>
                <w:p w14:paraId="776FE2A8">
                  <w:pPr>
                    <w:jc w:val="center"/>
                    <w:rPr>
                      <w:color w:val="000000"/>
                      <w:sz w:val="18"/>
                      <w:szCs w:val="18"/>
                    </w:rPr>
                  </w:pPr>
                  <w:r>
                    <w:rPr>
                      <w:rFonts w:hint="eastAsia"/>
                      <w:kern w:val="0"/>
                      <w:sz w:val="18"/>
                      <w:szCs w:val="18"/>
                      <w:lang w:eastAsia="zh-CN"/>
                    </w:rPr>
                    <w:t>鸿翔公寓</w:t>
                  </w:r>
                </w:p>
              </w:tc>
              <w:tc>
                <w:tcPr>
                  <w:tcW w:w="780" w:type="pct"/>
                  <w:tcBorders>
                    <w:top w:val="single" w:color="auto" w:sz="12" w:space="0"/>
                    <w:bottom w:val="single" w:color="auto" w:sz="4" w:space="0"/>
                  </w:tcBorders>
                  <w:vAlign w:val="center"/>
                </w:tcPr>
                <w:p w14:paraId="5548B32D">
                  <w:pPr>
                    <w:jc w:val="center"/>
                    <w:rPr>
                      <w:color w:val="000000"/>
                      <w:sz w:val="18"/>
                      <w:szCs w:val="18"/>
                    </w:rPr>
                  </w:pPr>
                  <w:r>
                    <w:rPr>
                      <w:rFonts w:hint="eastAsia"/>
                      <w:kern w:val="0"/>
                      <w:sz w:val="18"/>
                      <w:szCs w:val="18"/>
                      <w:lang w:eastAsia="zh-CN"/>
                    </w:rPr>
                    <w:t>约</w:t>
                  </w:r>
                  <w:r>
                    <w:rPr>
                      <w:rFonts w:hint="eastAsia"/>
                      <w:kern w:val="0"/>
                      <w:sz w:val="18"/>
                      <w:szCs w:val="18"/>
                      <w:lang w:val="en-US" w:eastAsia="zh-CN"/>
                    </w:rPr>
                    <w:t>800人</w:t>
                  </w:r>
                </w:p>
              </w:tc>
              <w:tc>
                <w:tcPr>
                  <w:tcW w:w="489" w:type="pct"/>
                  <w:tcBorders>
                    <w:top w:val="single" w:color="auto" w:sz="12" w:space="0"/>
                    <w:bottom w:val="single" w:color="auto" w:sz="4" w:space="0"/>
                  </w:tcBorders>
                  <w:vAlign w:val="center"/>
                </w:tcPr>
                <w:p w14:paraId="04A3B270">
                  <w:pPr>
                    <w:jc w:val="center"/>
                    <w:rPr>
                      <w:color w:val="000000"/>
                      <w:sz w:val="18"/>
                      <w:szCs w:val="18"/>
                    </w:rPr>
                  </w:pPr>
                  <w:r>
                    <w:rPr>
                      <w:rFonts w:hint="eastAsia"/>
                      <w:kern w:val="0"/>
                      <w:sz w:val="18"/>
                      <w:szCs w:val="18"/>
                      <w:lang w:eastAsia="zh-CN"/>
                    </w:rPr>
                    <w:t>南</w:t>
                  </w:r>
                </w:p>
              </w:tc>
              <w:tc>
                <w:tcPr>
                  <w:tcW w:w="863" w:type="pct"/>
                  <w:tcBorders>
                    <w:top w:val="single" w:color="auto" w:sz="12" w:space="0"/>
                    <w:bottom w:val="single" w:color="auto" w:sz="4" w:space="0"/>
                  </w:tcBorders>
                  <w:vAlign w:val="center"/>
                </w:tcPr>
                <w:p w14:paraId="615AF6DA">
                  <w:pPr>
                    <w:jc w:val="center"/>
                    <w:rPr>
                      <w:color w:val="000000"/>
                      <w:sz w:val="18"/>
                      <w:szCs w:val="18"/>
                    </w:rPr>
                  </w:pPr>
                  <w:r>
                    <w:rPr>
                      <w:rFonts w:hint="eastAsia"/>
                      <w:kern w:val="0"/>
                      <w:sz w:val="18"/>
                      <w:szCs w:val="18"/>
                      <w:lang w:val="en-US" w:eastAsia="zh-CN"/>
                    </w:rPr>
                    <w:t>248</w:t>
                  </w:r>
                </w:p>
              </w:tc>
              <w:tc>
                <w:tcPr>
                  <w:tcW w:w="816" w:type="pct"/>
                  <w:vMerge w:val="restart"/>
                  <w:tcBorders>
                    <w:top w:val="single" w:color="auto" w:sz="12" w:space="0"/>
                  </w:tcBorders>
                  <w:vAlign w:val="center"/>
                </w:tcPr>
                <w:p w14:paraId="719AD5C4">
                  <w:pPr>
                    <w:adjustRightInd w:val="0"/>
                    <w:snapToGrid w:val="0"/>
                    <w:spacing w:line="240" w:lineRule="exact"/>
                    <w:jc w:val="center"/>
                    <w:rPr>
                      <w:color w:val="000000"/>
                      <w:sz w:val="18"/>
                      <w:szCs w:val="18"/>
                    </w:rPr>
                  </w:pPr>
                  <w:r>
                    <w:rPr>
                      <w:rFonts w:hint="eastAsia"/>
                      <w:color w:val="000000"/>
                      <w:sz w:val="18"/>
                      <w:szCs w:val="18"/>
                    </w:rPr>
                    <w:t>GB3095-2012</w:t>
                  </w:r>
                </w:p>
                <w:p w14:paraId="48CD0E6B">
                  <w:pPr>
                    <w:adjustRightInd w:val="0"/>
                    <w:snapToGrid w:val="0"/>
                    <w:spacing w:line="240" w:lineRule="exact"/>
                    <w:jc w:val="center"/>
                    <w:rPr>
                      <w:color w:val="000000"/>
                      <w:sz w:val="18"/>
                      <w:szCs w:val="18"/>
                    </w:rPr>
                  </w:pPr>
                  <w:r>
                    <w:rPr>
                      <w:rFonts w:hint="eastAsia"/>
                      <w:color w:val="000000"/>
                      <w:sz w:val="18"/>
                      <w:szCs w:val="18"/>
                    </w:rPr>
                    <w:t>二级标准</w:t>
                  </w:r>
                </w:p>
              </w:tc>
            </w:tr>
            <w:tr w14:paraId="19351A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637" w:type="pct"/>
                  <w:vMerge w:val="continue"/>
                  <w:vAlign w:val="center"/>
                </w:tcPr>
                <w:p w14:paraId="55049C12">
                  <w:pPr>
                    <w:adjustRightInd w:val="0"/>
                    <w:snapToGrid w:val="0"/>
                    <w:spacing w:line="240" w:lineRule="exact"/>
                    <w:jc w:val="center"/>
                    <w:rPr>
                      <w:color w:val="000000"/>
                      <w:sz w:val="18"/>
                      <w:szCs w:val="18"/>
                    </w:rPr>
                  </w:pPr>
                </w:p>
              </w:tc>
              <w:tc>
                <w:tcPr>
                  <w:tcW w:w="1411" w:type="pct"/>
                  <w:tcBorders>
                    <w:top w:val="single" w:color="auto" w:sz="4" w:space="0"/>
                    <w:bottom w:val="single" w:color="auto" w:sz="4" w:space="0"/>
                  </w:tcBorders>
                  <w:vAlign w:val="center"/>
                </w:tcPr>
                <w:p w14:paraId="16FA8E0B">
                  <w:pPr>
                    <w:jc w:val="center"/>
                    <w:rPr>
                      <w:color w:val="000000"/>
                      <w:sz w:val="18"/>
                      <w:szCs w:val="18"/>
                    </w:rPr>
                  </w:pPr>
                  <w:r>
                    <w:rPr>
                      <w:rFonts w:hint="eastAsia"/>
                      <w:kern w:val="0"/>
                      <w:sz w:val="18"/>
                      <w:szCs w:val="18"/>
                      <w:lang w:eastAsia="zh-CN"/>
                    </w:rPr>
                    <w:t>中华路公寓</w:t>
                  </w:r>
                </w:p>
              </w:tc>
              <w:tc>
                <w:tcPr>
                  <w:tcW w:w="780" w:type="pct"/>
                  <w:tcBorders>
                    <w:top w:val="single" w:color="auto" w:sz="4" w:space="0"/>
                    <w:bottom w:val="single" w:color="auto" w:sz="4" w:space="0"/>
                  </w:tcBorders>
                  <w:vAlign w:val="center"/>
                </w:tcPr>
                <w:p w14:paraId="270BC62B">
                  <w:pPr>
                    <w:jc w:val="center"/>
                    <w:rPr>
                      <w:color w:val="000000"/>
                      <w:sz w:val="18"/>
                      <w:szCs w:val="18"/>
                    </w:rPr>
                  </w:pPr>
                  <w:r>
                    <w:rPr>
                      <w:rFonts w:hint="eastAsia"/>
                      <w:kern w:val="0"/>
                      <w:sz w:val="18"/>
                      <w:szCs w:val="18"/>
                      <w:lang w:eastAsia="zh-CN"/>
                    </w:rPr>
                    <w:t>约</w:t>
                  </w:r>
                  <w:r>
                    <w:rPr>
                      <w:rFonts w:hint="eastAsia"/>
                      <w:kern w:val="0"/>
                      <w:sz w:val="18"/>
                      <w:szCs w:val="18"/>
                      <w:lang w:val="en-US" w:eastAsia="zh-CN"/>
                    </w:rPr>
                    <w:t>1500人</w:t>
                  </w:r>
                </w:p>
              </w:tc>
              <w:tc>
                <w:tcPr>
                  <w:tcW w:w="489" w:type="pct"/>
                  <w:tcBorders>
                    <w:top w:val="single" w:color="auto" w:sz="4" w:space="0"/>
                    <w:bottom w:val="single" w:color="auto" w:sz="4" w:space="0"/>
                  </w:tcBorders>
                  <w:vAlign w:val="center"/>
                </w:tcPr>
                <w:p w14:paraId="3C579B7B">
                  <w:pPr>
                    <w:jc w:val="center"/>
                    <w:rPr>
                      <w:color w:val="000000"/>
                      <w:sz w:val="18"/>
                      <w:szCs w:val="18"/>
                    </w:rPr>
                  </w:pPr>
                  <w:r>
                    <w:rPr>
                      <w:rFonts w:hint="eastAsia"/>
                      <w:kern w:val="0"/>
                      <w:sz w:val="18"/>
                      <w:szCs w:val="18"/>
                      <w:lang w:eastAsia="zh-CN"/>
                    </w:rPr>
                    <w:t>东</w:t>
                  </w:r>
                </w:p>
              </w:tc>
              <w:tc>
                <w:tcPr>
                  <w:tcW w:w="863" w:type="pct"/>
                  <w:tcBorders>
                    <w:top w:val="single" w:color="auto" w:sz="4" w:space="0"/>
                    <w:bottom w:val="single" w:color="auto" w:sz="4" w:space="0"/>
                  </w:tcBorders>
                  <w:vAlign w:val="center"/>
                </w:tcPr>
                <w:p w14:paraId="5588204B">
                  <w:pPr>
                    <w:jc w:val="center"/>
                    <w:rPr>
                      <w:color w:val="000000"/>
                      <w:sz w:val="18"/>
                      <w:szCs w:val="18"/>
                    </w:rPr>
                  </w:pPr>
                  <w:r>
                    <w:rPr>
                      <w:rFonts w:hint="eastAsia"/>
                      <w:kern w:val="0"/>
                      <w:sz w:val="18"/>
                      <w:szCs w:val="18"/>
                      <w:lang w:val="en-US" w:eastAsia="zh-CN"/>
                    </w:rPr>
                    <w:t>240</w:t>
                  </w:r>
                </w:p>
              </w:tc>
              <w:tc>
                <w:tcPr>
                  <w:tcW w:w="816" w:type="pct"/>
                  <w:vMerge w:val="continue"/>
                  <w:vAlign w:val="center"/>
                </w:tcPr>
                <w:p w14:paraId="255D8D0E">
                  <w:pPr>
                    <w:adjustRightInd w:val="0"/>
                    <w:snapToGrid w:val="0"/>
                    <w:spacing w:line="240" w:lineRule="exact"/>
                    <w:jc w:val="center"/>
                    <w:rPr>
                      <w:color w:val="000000"/>
                      <w:sz w:val="18"/>
                      <w:szCs w:val="18"/>
                    </w:rPr>
                  </w:pPr>
                </w:p>
              </w:tc>
            </w:tr>
            <w:tr w14:paraId="0B27E8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637" w:type="pct"/>
                  <w:vMerge w:val="continue"/>
                  <w:vAlign w:val="center"/>
                </w:tcPr>
                <w:p w14:paraId="3BA1AC1F">
                  <w:pPr>
                    <w:adjustRightInd w:val="0"/>
                    <w:snapToGrid w:val="0"/>
                    <w:spacing w:line="240" w:lineRule="exact"/>
                    <w:jc w:val="center"/>
                    <w:rPr>
                      <w:color w:val="000000"/>
                      <w:sz w:val="18"/>
                      <w:szCs w:val="18"/>
                    </w:rPr>
                  </w:pPr>
                </w:p>
              </w:tc>
              <w:tc>
                <w:tcPr>
                  <w:tcW w:w="1411" w:type="pct"/>
                  <w:tcBorders>
                    <w:top w:val="single" w:color="auto" w:sz="4" w:space="0"/>
                    <w:bottom w:val="single" w:color="auto" w:sz="4" w:space="0"/>
                  </w:tcBorders>
                  <w:vAlign w:val="center"/>
                </w:tcPr>
                <w:p w14:paraId="3DD9068E">
                  <w:pPr>
                    <w:jc w:val="center"/>
                    <w:rPr>
                      <w:color w:val="000000"/>
                      <w:sz w:val="18"/>
                      <w:szCs w:val="18"/>
                    </w:rPr>
                  </w:pPr>
                  <w:r>
                    <w:rPr>
                      <w:rFonts w:hint="eastAsia"/>
                      <w:kern w:val="0"/>
                      <w:sz w:val="18"/>
                      <w:szCs w:val="18"/>
                      <w:lang w:eastAsia="zh-CN"/>
                    </w:rPr>
                    <w:t>广福坊</w:t>
                  </w:r>
                </w:p>
              </w:tc>
              <w:tc>
                <w:tcPr>
                  <w:tcW w:w="780" w:type="pct"/>
                  <w:tcBorders>
                    <w:top w:val="single" w:color="auto" w:sz="4" w:space="0"/>
                    <w:bottom w:val="single" w:color="auto" w:sz="4" w:space="0"/>
                  </w:tcBorders>
                  <w:vAlign w:val="center"/>
                </w:tcPr>
                <w:p w14:paraId="67728F36">
                  <w:pPr>
                    <w:jc w:val="center"/>
                    <w:rPr>
                      <w:color w:val="000000"/>
                      <w:sz w:val="18"/>
                      <w:szCs w:val="18"/>
                    </w:rPr>
                  </w:pPr>
                  <w:r>
                    <w:rPr>
                      <w:rFonts w:hint="eastAsia"/>
                      <w:kern w:val="0"/>
                      <w:sz w:val="18"/>
                      <w:szCs w:val="18"/>
                      <w:lang w:eastAsia="zh-CN"/>
                    </w:rPr>
                    <w:t>约</w:t>
                  </w:r>
                  <w:r>
                    <w:rPr>
                      <w:rFonts w:hint="eastAsia"/>
                      <w:kern w:val="0"/>
                      <w:sz w:val="18"/>
                      <w:szCs w:val="18"/>
                      <w:lang w:val="en-US" w:eastAsia="zh-CN"/>
                    </w:rPr>
                    <w:t>500人</w:t>
                  </w:r>
                </w:p>
              </w:tc>
              <w:tc>
                <w:tcPr>
                  <w:tcW w:w="489" w:type="pct"/>
                  <w:tcBorders>
                    <w:top w:val="single" w:color="auto" w:sz="4" w:space="0"/>
                    <w:bottom w:val="single" w:color="auto" w:sz="4" w:space="0"/>
                  </w:tcBorders>
                  <w:vAlign w:val="center"/>
                </w:tcPr>
                <w:p w14:paraId="19C81699">
                  <w:pPr>
                    <w:jc w:val="center"/>
                    <w:rPr>
                      <w:color w:val="000000"/>
                      <w:sz w:val="18"/>
                      <w:szCs w:val="18"/>
                    </w:rPr>
                  </w:pPr>
                  <w:r>
                    <w:rPr>
                      <w:rFonts w:hint="eastAsia"/>
                      <w:kern w:val="0"/>
                      <w:sz w:val="18"/>
                      <w:szCs w:val="18"/>
                      <w:lang w:eastAsia="zh-CN"/>
                    </w:rPr>
                    <w:t>东南</w:t>
                  </w:r>
                </w:p>
              </w:tc>
              <w:tc>
                <w:tcPr>
                  <w:tcW w:w="863" w:type="pct"/>
                  <w:tcBorders>
                    <w:top w:val="single" w:color="auto" w:sz="4" w:space="0"/>
                    <w:bottom w:val="single" w:color="auto" w:sz="4" w:space="0"/>
                  </w:tcBorders>
                  <w:vAlign w:val="center"/>
                </w:tcPr>
                <w:p w14:paraId="6985D4B7">
                  <w:pPr>
                    <w:jc w:val="center"/>
                    <w:rPr>
                      <w:color w:val="000000"/>
                      <w:sz w:val="18"/>
                      <w:szCs w:val="18"/>
                    </w:rPr>
                  </w:pPr>
                  <w:r>
                    <w:rPr>
                      <w:rFonts w:hint="eastAsia"/>
                      <w:kern w:val="0"/>
                      <w:sz w:val="18"/>
                      <w:szCs w:val="18"/>
                      <w:lang w:val="en-US" w:eastAsia="zh-CN"/>
                    </w:rPr>
                    <w:t>380</w:t>
                  </w:r>
                </w:p>
              </w:tc>
              <w:tc>
                <w:tcPr>
                  <w:tcW w:w="816" w:type="pct"/>
                  <w:vMerge w:val="continue"/>
                  <w:vAlign w:val="center"/>
                </w:tcPr>
                <w:p w14:paraId="09632FAB">
                  <w:pPr>
                    <w:adjustRightInd w:val="0"/>
                    <w:snapToGrid w:val="0"/>
                    <w:spacing w:line="240" w:lineRule="exact"/>
                    <w:jc w:val="center"/>
                    <w:rPr>
                      <w:color w:val="000000"/>
                      <w:sz w:val="18"/>
                      <w:szCs w:val="18"/>
                    </w:rPr>
                  </w:pPr>
                </w:p>
              </w:tc>
            </w:tr>
            <w:tr w14:paraId="391992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637" w:type="pct"/>
                  <w:vMerge w:val="continue"/>
                  <w:vAlign w:val="center"/>
                </w:tcPr>
                <w:p w14:paraId="0049ACD0">
                  <w:pPr>
                    <w:adjustRightInd w:val="0"/>
                    <w:snapToGrid w:val="0"/>
                    <w:spacing w:line="240" w:lineRule="exact"/>
                    <w:jc w:val="center"/>
                    <w:rPr>
                      <w:color w:val="000000"/>
                      <w:sz w:val="18"/>
                      <w:szCs w:val="18"/>
                    </w:rPr>
                  </w:pPr>
                </w:p>
              </w:tc>
              <w:tc>
                <w:tcPr>
                  <w:tcW w:w="1411" w:type="pct"/>
                  <w:tcBorders>
                    <w:top w:val="single" w:color="auto" w:sz="4" w:space="0"/>
                    <w:bottom w:val="single" w:color="auto" w:sz="4" w:space="0"/>
                  </w:tcBorders>
                  <w:vAlign w:val="center"/>
                </w:tcPr>
                <w:p w14:paraId="633A045C">
                  <w:pPr>
                    <w:jc w:val="center"/>
                    <w:rPr>
                      <w:color w:val="000000"/>
                      <w:sz w:val="18"/>
                      <w:szCs w:val="18"/>
                    </w:rPr>
                  </w:pPr>
                  <w:r>
                    <w:rPr>
                      <w:rFonts w:hint="eastAsia"/>
                      <w:kern w:val="0"/>
                      <w:sz w:val="18"/>
                      <w:szCs w:val="18"/>
                      <w:lang w:eastAsia="zh-CN"/>
                    </w:rPr>
                    <w:t>自由路小区</w:t>
                  </w:r>
                </w:p>
              </w:tc>
              <w:tc>
                <w:tcPr>
                  <w:tcW w:w="780" w:type="pct"/>
                  <w:tcBorders>
                    <w:top w:val="single" w:color="auto" w:sz="4" w:space="0"/>
                    <w:bottom w:val="single" w:color="auto" w:sz="4" w:space="0"/>
                  </w:tcBorders>
                  <w:vAlign w:val="center"/>
                </w:tcPr>
                <w:p w14:paraId="10F112B8">
                  <w:pPr>
                    <w:jc w:val="center"/>
                    <w:rPr>
                      <w:color w:val="000000"/>
                      <w:sz w:val="18"/>
                      <w:szCs w:val="18"/>
                    </w:rPr>
                  </w:pPr>
                  <w:r>
                    <w:rPr>
                      <w:rFonts w:hint="eastAsia"/>
                      <w:kern w:val="0"/>
                      <w:sz w:val="18"/>
                      <w:szCs w:val="18"/>
                      <w:lang w:eastAsia="zh-CN"/>
                    </w:rPr>
                    <w:t>约</w:t>
                  </w:r>
                  <w:r>
                    <w:rPr>
                      <w:rFonts w:hint="eastAsia"/>
                      <w:kern w:val="0"/>
                      <w:sz w:val="18"/>
                      <w:szCs w:val="18"/>
                      <w:lang w:val="en-US" w:eastAsia="zh-CN"/>
                    </w:rPr>
                    <w:t>700人</w:t>
                  </w:r>
                </w:p>
              </w:tc>
              <w:tc>
                <w:tcPr>
                  <w:tcW w:w="489" w:type="pct"/>
                  <w:tcBorders>
                    <w:top w:val="single" w:color="auto" w:sz="4" w:space="0"/>
                    <w:bottom w:val="single" w:color="auto" w:sz="4" w:space="0"/>
                  </w:tcBorders>
                  <w:vAlign w:val="center"/>
                </w:tcPr>
                <w:p w14:paraId="3412F774">
                  <w:pPr>
                    <w:jc w:val="center"/>
                    <w:rPr>
                      <w:color w:val="000000"/>
                      <w:sz w:val="18"/>
                      <w:szCs w:val="18"/>
                    </w:rPr>
                  </w:pPr>
                  <w:r>
                    <w:rPr>
                      <w:rFonts w:hint="eastAsia"/>
                      <w:kern w:val="0"/>
                      <w:sz w:val="18"/>
                      <w:szCs w:val="18"/>
                      <w:lang w:eastAsia="zh-CN"/>
                    </w:rPr>
                    <w:t>东</w:t>
                  </w:r>
                </w:p>
              </w:tc>
              <w:tc>
                <w:tcPr>
                  <w:tcW w:w="863" w:type="pct"/>
                  <w:tcBorders>
                    <w:top w:val="single" w:color="auto" w:sz="4" w:space="0"/>
                    <w:bottom w:val="single" w:color="auto" w:sz="4" w:space="0"/>
                  </w:tcBorders>
                  <w:vAlign w:val="center"/>
                </w:tcPr>
                <w:p w14:paraId="6FF57FB0">
                  <w:pPr>
                    <w:jc w:val="center"/>
                    <w:rPr>
                      <w:color w:val="000000"/>
                      <w:sz w:val="18"/>
                      <w:szCs w:val="18"/>
                    </w:rPr>
                  </w:pPr>
                  <w:r>
                    <w:rPr>
                      <w:rFonts w:hint="eastAsia"/>
                      <w:kern w:val="0"/>
                      <w:sz w:val="18"/>
                      <w:szCs w:val="18"/>
                      <w:lang w:val="en-US" w:eastAsia="zh-CN"/>
                    </w:rPr>
                    <w:t>390</w:t>
                  </w:r>
                </w:p>
              </w:tc>
              <w:tc>
                <w:tcPr>
                  <w:tcW w:w="816" w:type="pct"/>
                  <w:vMerge w:val="continue"/>
                  <w:vAlign w:val="center"/>
                </w:tcPr>
                <w:p w14:paraId="38B341AA">
                  <w:pPr>
                    <w:adjustRightInd w:val="0"/>
                    <w:snapToGrid w:val="0"/>
                    <w:spacing w:line="240" w:lineRule="exact"/>
                    <w:jc w:val="center"/>
                    <w:rPr>
                      <w:color w:val="000000"/>
                      <w:sz w:val="18"/>
                      <w:szCs w:val="18"/>
                    </w:rPr>
                  </w:pPr>
                </w:p>
              </w:tc>
            </w:tr>
            <w:tr w14:paraId="6985BC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637" w:type="pct"/>
                  <w:vMerge w:val="continue"/>
                  <w:vAlign w:val="center"/>
                </w:tcPr>
                <w:p w14:paraId="22753F63">
                  <w:pPr>
                    <w:adjustRightInd w:val="0"/>
                    <w:snapToGrid w:val="0"/>
                    <w:spacing w:line="240" w:lineRule="exact"/>
                    <w:jc w:val="center"/>
                    <w:rPr>
                      <w:color w:val="000000"/>
                      <w:sz w:val="18"/>
                      <w:szCs w:val="18"/>
                    </w:rPr>
                  </w:pPr>
                </w:p>
              </w:tc>
              <w:tc>
                <w:tcPr>
                  <w:tcW w:w="1411" w:type="pct"/>
                  <w:tcBorders>
                    <w:top w:val="single" w:color="auto" w:sz="4" w:space="0"/>
                    <w:bottom w:val="single" w:color="auto" w:sz="4" w:space="0"/>
                  </w:tcBorders>
                  <w:vAlign w:val="center"/>
                </w:tcPr>
                <w:p w14:paraId="395E547C">
                  <w:pPr>
                    <w:jc w:val="center"/>
                    <w:rPr>
                      <w:color w:val="000000"/>
                      <w:sz w:val="18"/>
                      <w:szCs w:val="18"/>
                    </w:rPr>
                  </w:pPr>
                  <w:r>
                    <w:rPr>
                      <w:rFonts w:hint="eastAsia"/>
                      <w:kern w:val="0"/>
                      <w:sz w:val="18"/>
                      <w:szCs w:val="18"/>
                      <w:lang w:eastAsia="zh-CN"/>
                    </w:rPr>
                    <w:t>湖北省粮食和物资储备局</w:t>
                  </w:r>
                </w:p>
              </w:tc>
              <w:tc>
                <w:tcPr>
                  <w:tcW w:w="780" w:type="pct"/>
                  <w:tcBorders>
                    <w:top w:val="single" w:color="auto" w:sz="4" w:space="0"/>
                    <w:bottom w:val="single" w:color="auto" w:sz="4" w:space="0"/>
                  </w:tcBorders>
                  <w:vAlign w:val="center"/>
                </w:tcPr>
                <w:p w14:paraId="431DEE17">
                  <w:pPr>
                    <w:jc w:val="center"/>
                    <w:rPr>
                      <w:color w:val="000000"/>
                      <w:sz w:val="18"/>
                      <w:szCs w:val="18"/>
                    </w:rPr>
                  </w:pPr>
                  <w:r>
                    <w:rPr>
                      <w:rFonts w:hint="eastAsia"/>
                      <w:kern w:val="0"/>
                      <w:sz w:val="18"/>
                      <w:szCs w:val="18"/>
                      <w:lang w:val="en-US" w:eastAsia="zh-CN"/>
                    </w:rPr>
                    <w:t>/</w:t>
                  </w:r>
                </w:p>
              </w:tc>
              <w:tc>
                <w:tcPr>
                  <w:tcW w:w="489" w:type="pct"/>
                  <w:tcBorders>
                    <w:top w:val="single" w:color="auto" w:sz="4" w:space="0"/>
                    <w:bottom w:val="single" w:color="auto" w:sz="4" w:space="0"/>
                  </w:tcBorders>
                  <w:vAlign w:val="center"/>
                </w:tcPr>
                <w:p w14:paraId="2E8F4018">
                  <w:pPr>
                    <w:jc w:val="center"/>
                    <w:rPr>
                      <w:color w:val="000000"/>
                      <w:sz w:val="18"/>
                      <w:szCs w:val="18"/>
                    </w:rPr>
                  </w:pPr>
                  <w:r>
                    <w:rPr>
                      <w:rFonts w:hint="eastAsia"/>
                      <w:kern w:val="0"/>
                      <w:sz w:val="18"/>
                      <w:szCs w:val="18"/>
                      <w:lang w:eastAsia="zh-CN"/>
                    </w:rPr>
                    <w:t>东</w:t>
                  </w:r>
                </w:p>
              </w:tc>
              <w:tc>
                <w:tcPr>
                  <w:tcW w:w="863" w:type="pct"/>
                  <w:tcBorders>
                    <w:top w:val="single" w:color="auto" w:sz="4" w:space="0"/>
                    <w:bottom w:val="single" w:color="auto" w:sz="4" w:space="0"/>
                  </w:tcBorders>
                  <w:vAlign w:val="center"/>
                </w:tcPr>
                <w:p w14:paraId="1D64EB64">
                  <w:pPr>
                    <w:jc w:val="center"/>
                    <w:rPr>
                      <w:color w:val="000000"/>
                      <w:sz w:val="18"/>
                      <w:szCs w:val="18"/>
                    </w:rPr>
                  </w:pPr>
                  <w:r>
                    <w:rPr>
                      <w:rFonts w:hint="eastAsia"/>
                      <w:kern w:val="0"/>
                      <w:sz w:val="18"/>
                      <w:szCs w:val="18"/>
                      <w:lang w:val="en-US" w:eastAsia="zh-CN"/>
                    </w:rPr>
                    <w:t>290</w:t>
                  </w:r>
                </w:p>
              </w:tc>
              <w:tc>
                <w:tcPr>
                  <w:tcW w:w="816" w:type="pct"/>
                  <w:vMerge w:val="continue"/>
                  <w:vAlign w:val="center"/>
                </w:tcPr>
                <w:p w14:paraId="704A3801">
                  <w:pPr>
                    <w:adjustRightInd w:val="0"/>
                    <w:snapToGrid w:val="0"/>
                    <w:spacing w:line="240" w:lineRule="exact"/>
                    <w:jc w:val="center"/>
                    <w:rPr>
                      <w:color w:val="000000"/>
                      <w:sz w:val="18"/>
                      <w:szCs w:val="18"/>
                    </w:rPr>
                  </w:pPr>
                </w:p>
              </w:tc>
            </w:tr>
            <w:tr w14:paraId="1CF13F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637" w:type="pct"/>
                  <w:vMerge w:val="continue"/>
                  <w:vAlign w:val="center"/>
                </w:tcPr>
                <w:p w14:paraId="16348F0B">
                  <w:pPr>
                    <w:adjustRightInd w:val="0"/>
                    <w:snapToGrid w:val="0"/>
                    <w:spacing w:line="240" w:lineRule="exact"/>
                    <w:jc w:val="center"/>
                    <w:rPr>
                      <w:color w:val="000000"/>
                      <w:sz w:val="18"/>
                      <w:szCs w:val="18"/>
                    </w:rPr>
                  </w:pPr>
                </w:p>
              </w:tc>
              <w:tc>
                <w:tcPr>
                  <w:tcW w:w="1411" w:type="pct"/>
                  <w:tcBorders>
                    <w:top w:val="single" w:color="auto" w:sz="4" w:space="0"/>
                    <w:bottom w:val="single" w:color="auto" w:sz="4" w:space="0"/>
                  </w:tcBorders>
                  <w:vAlign w:val="center"/>
                </w:tcPr>
                <w:p w14:paraId="3DA36ECD">
                  <w:pPr>
                    <w:jc w:val="center"/>
                    <w:rPr>
                      <w:rFonts w:hint="eastAsia"/>
                      <w:color w:val="000000"/>
                      <w:sz w:val="18"/>
                      <w:szCs w:val="18"/>
                    </w:rPr>
                  </w:pPr>
                  <w:r>
                    <w:rPr>
                      <w:rFonts w:hint="eastAsia"/>
                      <w:kern w:val="0"/>
                      <w:sz w:val="18"/>
                      <w:szCs w:val="18"/>
                      <w:lang w:eastAsia="zh-CN"/>
                    </w:rPr>
                    <w:t>都府堤社区</w:t>
                  </w:r>
                </w:p>
              </w:tc>
              <w:tc>
                <w:tcPr>
                  <w:tcW w:w="780" w:type="pct"/>
                  <w:tcBorders>
                    <w:top w:val="single" w:color="auto" w:sz="4" w:space="0"/>
                    <w:bottom w:val="single" w:color="auto" w:sz="4" w:space="0"/>
                  </w:tcBorders>
                  <w:vAlign w:val="center"/>
                </w:tcPr>
                <w:p w14:paraId="0A252453">
                  <w:pPr>
                    <w:jc w:val="center"/>
                    <w:rPr>
                      <w:rFonts w:hint="eastAsia"/>
                      <w:color w:val="000000"/>
                      <w:sz w:val="18"/>
                      <w:szCs w:val="18"/>
                    </w:rPr>
                  </w:pPr>
                  <w:r>
                    <w:rPr>
                      <w:rFonts w:hint="eastAsia"/>
                      <w:kern w:val="0"/>
                      <w:sz w:val="18"/>
                      <w:szCs w:val="18"/>
                      <w:lang w:eastAsia="zh-CN"/>
                    </w:rPr>
                    <w:t>约</w:t>
                  </w:r>
                  <w:r>
                    <w:rPr>
                      <w:rFonts w:hint="eastAsia"/>
                      <w:kern w:val="0"/>
                      <w:sz w:val="18"/>
                      <w:szCs w:val="18"/>
                      <w:lang w:val="en-US" w:eastAsia="zh-CN"/>
                    </w:rPr>
                    <w:t>500人</w:t>
                  </w:r>
                </w:p>
              </w:tc>
              <w:tc>
                <w:tcPr>
                  <w:tcW w:w="489" w:type="pct"/>
                  <w:tcBorders>
                    <w:top w:val="single" w:color="auto" w:sz="4" w:space="0"/>
                    <w:bottom w:val="single" w:color="auto" w:sz="4" w:space="0"/>
                  </w:tcBorders>
                  <w:vAlign w:val="center"/>
                </w:tcPr>
                <w:p w14:paraId="6EDC6F31">
                  <w:pPr>
                    <w:jc w:val="center"/>
                    <w:rPr>
                      <w:rFonts w:hint="eastAsia"/>
                      <w:color w:val="000000"/>
                      <w:sz w:val="18"/>
                      <w:szCs w:val="18"/>
                    </w:rPr>
                  </w:pPr>
                  <w:r>
                    <w:rPr>
                      <w:rFonts w:hint="eastAsia"/>
                      <w:kern w:val="0"/>
                      <w:sz w:val="18"/>
                      <w:szCs w:val="18"/>
                      <w:lang w:eastAsia="zh-CN"/>
                    </w:rPr>
                    <w:t>东北</w:t>
                  </w:r>
                </w:p>
              </w:tc>
              <w:tc>
                <w:tcPr>
                  <w:tcW w:w="863" w:type="pct"/>
                  <w:tcBorders>
                    <w:top w:val="single" w:color="auto" w:sz="4" w:space="0"/>
                    <w:bottom w:val="single" w:color="auto" w:sz="4" w:space="0"/>
                  </w:tcBorders>
                  <w:vAlign w:val="center"/>
                </w:tcPr>
                <w:p w14:paraId="51B65627">
                  <w:pPr>
                    <w:jc w:val="center"/>
                    <w:rPr>
                      <w:rFonts w:hint="eastAsia"/>
                      <w:color w:val="000000"/>
                      <w:sz w:val="18"/>
                      <w:szCs w:val="18"/>
                    </w:rPr>
                  </w:pPr>
                  <w:r>
                    <w:rPr>
                      <w:rFonts w:hint="eastAsia"/>
                      <w:kern w:val="0"/>
                      <w:sz w:val="18"/>
                      <w:szCs w:val="18"/>
                      <w:lang w:val="en-US" w:eastAsia="zh-CN"/>
                    </w:rPr>
                    <w:t>288</w:t>
                  </w:r>
                </w:p>
              </w:tc>
              <w:tc>
                <w:tcPr>
                  <w:tcW w:w="816" w:type="pct"/>
                  <w:vMerge w:val="continue"/>
                  <w:vAlign w:val="center"/>
                </w:tcPr>
                <w:p w14:paraId="733EF338">
                  <w:pPr>
                    <w:adjustRightInd w:val="0"/>
                    <w:snapToGrid w:val="0"/>
                    <w:spacing w:line="240" w:lineRule="exact"/>
                    <w:jc w:val="center"/>
                    <w:rPr>
                      <w:color w:val="000000"/>
                      <w:sz w:val="18"/>
                      <w:szCs w:val="18"/>
                    </w:rPr>
                  </w:pPr>
                </w:p>
              </w:tc>
            </w:tr>
            <w:tr w14:paraId="0978E8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637" w:type="pct"/>
                  <w:vMerge w:val="continue"/>
                  <w:vAlign w:val="center"/>
                </w:tcPr>
                <w:p w14:paraId="175828A8">
                  <w:pPr>
                    <w:adjustRightInd w:val="0"/>
                    <w:snapToGrid w:val="0"/>
                    <w:spacing w:line="240" w:lineRule="exact"/>
                    <w:jc w:val="center"/>
                    <w:rPr>
                      <w:color w:val="000000"/>
                      <w:sz w:val="18"/>
                      <w:szCs w:val="18"/>
                    </w:rPr>
                  </w:pPr>
                </w:p>
              </w:tc>
              <w:tc>
                <w:tcPr>
                  <w:tcW w:w="1411" w:type="pct"/>
                  <w:tcBorders>
                    <w:top w:val="single" w:color="auto" w:sz="4" w:space="0"/>
                    <w:bottom w:val="single" w:color="auto" w:sz="4" w:space="0"/>
                  </w:tcBorders>
                  <w:vAlign w:val="center"/>
                </w:tcPr>
                <w:p w14:paraId="4C19C6A2">
                  <w:pPr>
                    <w:jc w:val="center"/>
                    <w:rPr>
                      <w:rFonts w:hint="eastAsia"/>
                      <w:color w:val="000000"/>
                      <w:sz w:val="18"/>
                      <w:szCs w:val="18"/>
                    </w:rPr>
                  </w:pPr>
                  <w:r>
                    <w:rPr>
                      <w:rFonts w:hint="eastAsia"/>
                      <w:kern w:val="0"/>
                      <w:sz w:val="18"/>
                      <w:szCs w:val="18"/>
                      <w:lang w:eastAsia="zh-CN"/>
                    </w:rPr>
                    <w:t>常阳丽江城</w:t>
                  </w:r>
                </w:p>
              </w:tc>
              <w:tc>
                <w:tcPr>
                  <w:tcW w:w="780" w:type="pct"/>
                  <w:tcBorders>
                    <w:top w:val="single" w:color="auto" w:sz="4" w:space="0"/>
                    <w:bottom w:val="single" w:color="auto" w:sz="4" w:space="0"/>
                  </w:tcBorders>
                  <w:vAlign w:val="center"/>
                </w:tcPr>
                <w:p w14:paraId="44DE1A8B">
                  <w:pPr>
                    <w:jc w:val="center"/>
                    <w:rPr>
                      <w:rFonts w:hint="eastAsia"/>
                      <w:color w:val="000000"/>
                      <w:sz w:val="18"/>
                      <w:szCs w:val="18"/>
                    </w:rPr>
                  </w:pPr>
                  <w:r>
                    <w:rPr>
                      <w:rFonts w:hint="eastAsia"/>
                      <w:kern w:val="0"/>
                      <w:sz w:val="18"/>
                      <w:szCs w:val="18"/>
                      <w:lang w:eastAsia="zh-CN"/>
                    </w:rPr>
                    <w:t>约</w:t>
                  </w:r>
                  <w:r>
                    <w:rPr>
                      <w:rFonts w:hint="eastAsia"/>
                      <w:kern w:val="0"/>
                      <w:sz w:val="18"/>
                      <w:szCs w:val="18"/>
                      <w:lang w:val="en-US" w:eastAsia="zh-CN"/>
                    </w:rPr>
                    <w:t>1200人</w:t>
                  </w:r>
                </w:p>
              </w:tc>
              <w:tc>
                <w:tcPr>
                  <w:tcW w:w="489" w:type="pct"/>
                  <w:tcBorders>
                    <w:top w:val="single" w:color="auto" w:sz="4" w:space="0"/>
                    <w:bottom w:val="single" w:color="auto" w:sz="4" w:space="0"/>
                  </w:tcBorders>
                  <w:vAlign w:val="center"/>
                </w:tcPr>
                <w:p w14:paraId="1FA5CB9E">
                  <w:pPr>
                    <w:jc w:val="center"/>
                    <w:rPr>
                      <w:rFonts w:hint="eastAsia"/>
                      <w:color w:val="000000"/>
                      <w:sz w:val="18"/>
                      <w:szCs w:val="18"/>
                    </w:rPr>
                  </w:pPr>
                  <w:r>
                    <w:rPr>
                      <w:rFonts w:hint="eastAsia"/>
                      <w:kern w:val="0"/>
                      <w:sz w:val="18"/>
                      <w:szCs w:val="18"/>
                      <w:lang w:eastAsia="zh-CN"/>
                    </w:rPr>
                    <w:t>东北</w:t>
                  </w:r>
                </w:p>
              </w:tc>
              <w:tc>
                <w:tcPr>
                  <w:tcW w:w="863" w:type="pct"/>
                  <w:tcBorders>
                    <w:top w:val="single" w:color="auto" w:sz="4" w:space="0"/>
                    <w:bottom w:val="single" w:color="auto" w:sz="4" w:space="0"/>
                  </w:tcBorders>
                  <w:vAlign w:val="center"/>
                </w:tcPr>
                <w:p w14:paraId="4433B93D">
                  <w:pPr>
                    <w:jc w:val="center"/>
                    <w:rPr>
                      <w:rFonts w:hint="eastAsia"/>
                      <w:color w:val="000000"/>
                      <w:sz w:val="18"/>
                      <w:szCs w:val="18"/>
                    </w:rPr>
                  </w:pPr>
                  <w:r>
                    <w:rPr>
                      <w:rFonts w:hint="eastAsia"/>
                      <w:kern w:val="0"/>
                      <w:sz w:val="18"/>
                      <w:szCs w:val="18"/>
                      <w:lang w:val="en-US" w:eastAsia="zh-CN"/>
                    </w:rPr>
                    <w:t>65</w:t>
                  </w:r>
                </w:p>
              </w:tc>
              <w:tc>
                <w:tcPr>
                  <w:tcW w:w="816" w:type="pct"/>
                  <w:vMerge w:val="continue"/>
                  <w:vAlign w:val="center"/>
                </w:tcPr>
                <w:p w14:paraId="0ECBCB7F">
                  <w:pPr>
                    <w:adjustRightInd w:val="0"/>
                    <w:snapToGrid w:val="0"/>
                    <w:spacing w:line="240" w:lineRule="exact"/>
                    <w:jc w:val="center"/>
                    <w:rPr>
                      <w:color w:val="000000"/>
                      <w:sz w:val="18"/>
                      <w:szCs w:val="18"/>
                    </w:rPr>
                  </w:pPr>
                </w:p>
              </w:tc>
            </w:tr>
            <w:tr w14:paraId="05AE12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637" w:type="pct"/>
                  <w:vMerge w:val="continue"/>
                  <w:vAlign w:val="center"/>
                </w:tcPr>
                <w:p w14:paraId="08640597">
                  <w:pPr>
                    <w:adjustRightInd w:val="0"/>
                    <w:snapToGrid w:val="0"/>
                    <w:spacing w:line="240" w:lineRule="exact"/>
                    <w:jc w:val="center"/>
                    <w:rPr>
                      <w:color w:val="000000"/>
                      <w:sz w:val="18"/>
                      <w:szCs w:val="18"/>
                    </w:rPr>
                  </w:pPr>
                </w:p>
              </w:tc>
              <w:tc>
                <w:tcPr>
                  <w:tcW w:w="1411" w:type="pct"/>
                  <w:tcBorders>
                    <w:top w:val="single" w:color="auto" w:sz="4" w:space="0"/>
                    <w:bottom w:val="single" w:color="auto" w:sz="4" w:space="0"/>
                  </w:tcBorders>
                  <w:vAlign w:val="center"/>
                </w:tcPr>
                <w:p w14:paraId="36F6B50F">
                  <w:pPr>
                    <w:jc w:val="center"/>
                    <w:rPr>
                      <w:rFonts w:hint="eastAsia"/>
                      <w:color w:val="000000"/>
                      <w:sz w:val="18"/>
                      <w:szCs w:val="18"/>
                    </w:rPr>
                  </w:pPr>
                  <w:r>
                    <w:rPr>
                      <w:rFonts w:hint="eastAsia"/>
                      <w:kern w:val="0"/>
                      <w:sz w:val="18"/>
                      <w:szCs w:val="18"/>
                      <w:lang w:eastAsia="zh-CN"/>
                    </w:rPr>
                    <w:t>中共五大会址纪念馆</w:t>
                  </w:r>
                </w:p>
              </w:tc>
              <w:tc>
                <w:tcPr>
                  <w:tcW w:w="780" w:type="pct"/>
                  <w:tcBorders>
                    <w:top w:val="single" w:color="auto" w:sz="4" w:space="0"/>
                    <w:bottom w:val="single" w:color="auto" w:sz="4" w:space="0"/>
                  </w:tcBorders>
                  <w:vAlign w:val="center"/>
                </w:tcPr>
                <w:p w14:paraId="3587E03D">
                  <w:pPr>
                    <w:jc w:val="center"/>
                    <w:rPr>
                      <w:rFonts w:hint="eastAsia"/>
                      <w:color w:val="000000"/>
                      <w:sz w:val="18"/>
                      <w:szCs w:val="18"/>
                    </w:rPr>
                  </w:pPr>
                  <w:r>
                    <w:rPr>
                      <w:rFonts w:hint="eastAsia"/>
                      <w:kern w:val="0"/>
                      <w:sz w:val="18"/>
                      <w:szCs w:val="18"/>
                      <w:lang w:val="en-US" w:eastAsia="zh-CN"/>
                    </w:rPr>
                    <w:t>/</w:t>
                  </w:r>
                </w:p>
              </w:tc>
              <w:tc>
                <w:tcPr>
                  <w:tcW w:w="489" w:type="pct"/>
                  <w:tcBorders>
                    <w:top w:val="single" w:color="auto" w:sz="4" w:space="0"/>
                    <w:bottom w:val="single" w:color="auto" w:sz="4" w:space="0"/>
                  </w:tcBorders>
                  <w:vAlign w:val="center"/>
                </w:tcPr>
                <w:p w14:paraId="34B42187">
                  <w:pPr>
                    <w:jc w:val="center"/>
                    <w:rPr>
                      <w:rFonts w:hint="eastAsia"/>
                      <w:color w:val="000000"/>
                      <w:sz w:val="18"/>
                      <w:szCs w:val="18"/>
                    </w:rPr>
                  </w:pPr>
                  <w:r>
                    <w:rPr>
                      <w:rFonts w:hint="eastAsia"/>
                      <w:kern w:val="0"/>
                      <w:sz w:val="18"/>
                      <w:szCs w:val="18"/>
                      <w:lang w:eastAsia="zh-CN"/>
                    </w:rPr>
                    <w:t>东</w:t>
                  </w:r>
                </w:p>
              </w:tc>
              <w:tc>
                <w:tcPr>
                  <w:tcW w:w="863" w:type="pct"/>
                  <w:tcBorders>
                    <w:top w:val="single" w:color="auto" w:sz="4" w:space="0"/>
                    <w:bottom w:val="single" w:color="auto" w:sz="4" w:space="0"/>
                  </w:tcBorders>
                  <w:vAlign w:val="center"/>
                </w:tcPr>
                <w:p w14:paraId="2FEF2821">
                  <w:pPr>
                    <w:jc w:val="center"/>
                    <w:rPr>
                      <w:rFonts w:hint="eastAsia"/>
                      <w:color w:val="000000"/>
                      <w:sz w:val="18"/>
                      <w:szCs w:val="18"/>
                    </w:rPr>
                  </w:pPr>
                  <w:r>
                    <w:rPr>
                      <w:rFonts w:hint="eastAsia"/>
                      <w:kern w:val="0"/>
                      <w:sz w:val="18"/>
                      <w:szCs w:val="18"/>
                      <w:lang w:val="en-US" w:eastAsia="zh-CN"/>
                    </w:rPr>
                    <w:t>284</w:t>
                  </w:r>
                </w:p>
              </w:tc>
              <w:tc>
                <w:tcPr>
                  <w:tcW w:w="816" w:type="pct"/>
                  <w:vMerge w:val="continue"/>
                  <w:vAlign w:val="center"/>
                </w:tcPr>
                <w:p w14:paraId="15AD05CD">
                  <w:pPr>
                    <w:adjustRightInd w:val="0"/>
                    <w:snapToGrid w:val="0"/>
                    <w:spacing w:line="240" w:lineRule="exact"/>
                    <w:jc w:val="center"/>
                    <w:rPr>
                      <w:color w:val="000000"/>
                      <w:sz w:val="18"/>
                      <w:szCs w:val="18"/>
                    </w:rPr>
                  </w:pPr>
                </w:p>
              </w:tc>
            </w:tr>
            <w:tr w14:paraId="28377E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637" w:type="pct"/>
                  <w:vMerge w:val="continue"/>
                  <w:vAlign w:val="center"/>
                </w:tcPr>
                <w:p w14:paraId="41F5CC73">
                  <w:pPr>
                    <w:adjustRightInd w:val="0"/>
                    <w:snapToGrid w:val="0"/>
                    <w:spacing w:line="240" w:lineRule="exact"/>
                    <w:jc w:val="center"/>
                    <w:rPr>
                      <w:color w:val="000000"/>
                      <w:sz w:val="18"/>
                      <w:szCs w:val="18"/>
                    </w:rPr>
                  </w:pPr>
                </w:p>
              </w:tc>
              <w:tc>
                <w:tcPr>
                  <w:tcW w:w="1411" w:type="pct"/>
                  <w:tcBorders>
                    <w:top w:val="single" w:color="auto" w:sz="4" w:space="0"/>
                    <w:bottom w:val="single" w:color="auto" w:sz="4" w:space="0"/>
                  </w:tcBorders>
                  <w:vAlign w:val="center"/>
                </w:tcPr>
                <w:p w14:paraId="4EB44E72">
                  <w:pPr>
                    <w:jc w:val="center"/>
                    <w:rPr>
                      <w:rFonts w:hint="eastAsia"/>
                      <w:color w:val="000000"/>
                      <w:sz w:val="18"/>
                      <w:szCs w:val="18"/>
                    </w:rPr>
                  </w:pPr>
                  <w:r>
                    <w:rPr>
                      <w:rFonts w:hint="eastAsia"/>
                      <w:kern w:val="0"/>
                      <w:sz w:val="18"/>
                      <w:szCs w:val="18"/>
                      <w:lang w:eastAsia="zh-CN"/>
                    </w:rPr>
                    <w:t>农垦局宿舍</w:t>
                  </w:r>
                </w:p>
              </w:tc>
              <w:tc>
                <w:tcPr>
                  <w:tcW w:w="780" w:type="pct"/>
                  <w:tcBorders>
                    <w:top w:val="single" w:color="auto" w:sz="4" w:space="0"/>
                    <w:bottom w:val="single" w:color="auto" w:sz="4" w:space="0"/>
                  </w:tcBorders>
                  <w:vAlign w:val="center"/>
                </w:tcPr>
                <w:p w14:paraId="2E38B9A2">
                  <w:pPr>
                    <w:jc w:val="center"/>
                    <w:rPr>
                      <w:rFonts w:hint="eastAsia"/>
                      <w:color w:val="000000"/>
                      <w:sz w:val="18"/>
                      <w:szCs w:val="18"/>
                    </w:rPr>
                  </w:pPr>
                  <w:r>
                    <w:rPr>
                      <w:rFonts w:hint="eastAsia"/>
                      <w:kern w:val="0"/>
                      <w:sz w:val="18"/>
                      <w:szCs w:val="18"/>
                      <w:lang w:eastAsia="zh-CN"/>
                    </w:rPr>
                    <w:t>约</w:t>
                  </w:r>
                  <w:r>
                    <w:rPr>
                      <w:rFonts w:hint="eastAsia"/>
                      <w:kern w:val="0"/>
                      <w:sz w:val="18"/>
                      <w:szCs w:val="18"/>
                      <w:lang w:val="en-US" w:eastAsia="zh-CN"/>
                    </w:rPr>
                    <w:t>200人</w:t>
                  </w:r>
                </w:p>
              </w:tc>
              <w:tc>
                <w:tcPr>
                  <w:tcW w:w="489" w:type="pct"/>
                  <w:tcBorders>
                    <w:top w:val="single" w:color="auto" w:sz="4" w:space="0"/>
                    <w:bottom w:val="single" w:color="auto" w:sz="4" w:space="0"/>
                  </w:tcBorders>
                  <w:vAlign w:val="center"/>
                </w:tcPr>
                <w:p w14:paraId="37A7EF6D">
                  <w:pPr>
                    <w:jc w:val="center"/>
                    <w:rPr>
                      <w:rFonts w:hint="eastAsia"/>
                      <w:color w:val="000000"/>
                      <w:sz w:val="18"/>
                      <w:szCs w:val="18"/>
                    </w:rPr>
                  </w:pPr>
                  <w:r>
                    <w:rPr>
                      <w:rFonts w:hint="eastAsia"/>
                      <w:kern w:val="0"/>
                      <w:sz w:val="18"/>
                      <w:szCs w:val="18"/>
                      <w:lang w:eastAsia="zh-CN"/>
                    </w:rPr>
                    <w:t>东北</w:t>
                  </w:r>
                </w:p>
              </w:tc>
              <w:tc>
                <w:tcPr>
                  <w:tcW w:w="863" w:type="pct"/>
                  <w:tcBorders>
                    <w:top w:val="single" w:color="auto" w:sz="4" w:space="0"/>
                    <w:bottom w:val="single" w:color="auto" w:sz="4" w:space="0"/>
                  </w:tcBorders>
                  <w:vAlign w:val="center"/>
                </w:tcPr>
                <w:p w14:paraId="1A58FFFC">
                  <w:pPr>
                    <w:jc w:val="center"/>
                    <w:rPr>
                      <w:rFonts w:hint="eastAsia"/>
                      <w:color w:val="000000"/>
                      <w:sz w:val="18"/>
                      <w:szCs w:val="18"/>
                    </w:rPr>
                  </w:pPr>
                  <w:r>
                    <w:rPr>
                      <w:rFonts w:hint="eastAsia"/>
                      <w:kern w:val="0"/>
                      <w:sz w:val="18"/>
                      <w:szCs w:val="18"/>
                      <w:lang w:val="en-US" w:eastAsia="zh-CN"/>
                    </w:rPr>
                    <w:t>437</w:t>
                  </w:r>
                </w:p>
              </w:tc>
              <w:tc>
                <w:tcPr>
                  <w:tcW w:w="816" w:type="pct"/>
                  <w:vMerge w:val="continue"/>
                  <w:vAlign w:val="center"/>
                </w:tcPr>
                <w:p w14:paraId="7EC3AF6F">
                  <w:pPr>
                    <w:adjustRightInd w:val="0"/>
                    <w:snapToGrid w:val="0"/>
                    <w:spacing w:line="240" w:lineRule="exact"/>
                    <w:jc w:val="center"/>
                    <w:rPr>
                      <w:color w:val="000000"/>
                      <w:sz w:val="18"/>
                      <w:szCs w:val="18"/>
                    </w:rPr>
                  </w:pPr>
                </w:p>
              </w:tc>
            </w:tr>
            <w:tr w14:paraId="3F1115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637" w:type="pct"/>
                  <w:vMerge w:val="continue"/>
                  <w:vAlign w:val="center"/>
                </w:tcPr>
                <w:p w14:paraId="0107843B">
                  <w:pPr>
                    <w:adjustRightInd w:val="0"/>
                    <w:snapToGrid w:val="0"/>
                    <w:spacing w:line="240" w:lineRule="exact"/>
                    <w:jc w:val="center"/>
                    <w:rPr>
                      <w:color w:val="000000"/>
                      <w:sz w:val="18"/>
                      <w:szCs w:val="18"/>
                    </w:rPr>
                  </w:pPr>
                </w:p>
              </w:tc>
              <w:tc>
                <w:tcPr>
                  <w:tcW w:w="1411" w:type="pct"/>
                  <w:tcBorders>
                    <w:top w:val="single" w:color="auto" w:sz="4" w:space="0"/>
                    <w:bottom w:val="single" w:color="auto" w:sz="4" w:space="0"/>
                  </w:tcBorders>
                  <w:vAlign w:val="center"/>
                </w:tcPr>
                <w:p w14:paraId="43468B96">
                  <w:pPr>
                    <w:jc w:val="center"/>
                    <w:rPr>
                      <w:rFonts w:hint="eastAsia"/>
                      <w:color w:val="000000"/>
                      <w:sz w:val="18"/>
                      <w:szCs w:val="18"/>
                    </w:rPr>
                  </w:pPr>
                  <w:r>
                    <w:rPr>
                      <w:rFonts w:hint="eastAsia"/>
                      <w:kern w:val="0"/>
                      <w:sz w:val="18"/>
                      <w:szCs w:val="18"/>
                      <w:lang w:eastAsia="zh-CN"/>
                    </w:rPr>
                    <w:t>汉阳门花园</w:t>
                  </w:r>
                </w:p>
              </w:tc>
              <w:tc>
                <w:tcPr>
                  <w:tcW w:w="780" w:type="pct"/>
                  <w:tcBorders>
                    <w:top w:val="single" w:color="auto" w:sz="4" w:space="0"/>
                    <w:bottom w:val="single" w:color="auto" w:sz="4" w:space="0"/>
                  </w:tcBorders>
                  <w:vAlign w:val="center"/>
                </w:tcPr>
                <w:p w14:paraId="65B5CFED">
                  <w:pPr>
                    <w:jc w:val="center"/>
                    <w:rPr>
                      <w:rFonts w:hint="eastAsia"/>
                      <w:color w:val="000000"/>
                      <w:sz w:val="18"/>
                      <w:szCs w:val="18"/>
                    </w:rPr>
                  </w:pPr>
                  <w:r>
                    <w:rPr>
                      <w:rFonts w:hint="eastAsia"/>
                      <w:kern w:val="0"/>
                      <w:sz w:val="18"/>
                      <w:szCs w:val="18"/>
                      <w:lang w:val="en-US" w:eastAsia="zh-CN"/>
                    </w:rPr>
                    <w:t>/</w:t>
                  </w:r>
                </w:p>
              </w:tc>
              <w:tc>
                <w:tcPr>
                  <w:tcW w:w="489" w:type="pct"/>
                  <w:tcBorders>
                    <w:top w:val="single" w:color="auto" w:sz="4" w:space="0"/>
                    <w:bottom w:val="single" w:color="auto" w:sz="4" w:space="0"/>
                  </w:tcBorders>
                  <w:vAlign w:val="center"/>
                </w:tcPr>
                <w:p w14:paraId="6417CC88">
                  <w:pPr>
                    <w:jc w:val="center"/>
                    <w:rPr>
                      <w:rFonts w:hint="eastAsia"/>
                      <w:color w:val="000000"/>
                      <w:sz w:val="18"/>
                      <w:szCs w:val="18"/>
                    </w:rPr>
                  </w:pPr>
                  <w:r>
                    <w:rPr>
                      <w:rFonts w:hint="eastAsia"/>
                      <w:kern w:val="0"/>
                      <w:sz w:val="18"/>
                      <w:szCs w:val="18"/>
                      <w:lang w:eastAsia="zh-CN"/>
                    </w:rPr>
                    <w:t>南</w:t>
                  </w:r>
                </w:p>
              </w:tc>
              <w:tc>
                <w:tcPr>
                  <w:tcW w:w="863" w:type="pct"/>
                  <w:tcBorders>
                    <w:top w:val="single" w:color="auto" w:sz="4" w:space="0"/>
                    <w:bottom w:val="single" w:color="auto" w:sz="4" w:space="0"/>
                  </w:tcBorders>
                  <w:vAlign w:val="center"/>
                </w:tcPr>
                <w:p w14:paraId="702CAF4B">
                  <w:pPr>
                    <w:jc w:val="center"/>
                    <w:rPr>
                      <w:rFonts w:hint="eastAsia"/>
                      <w:color w:val="000000"/>
                      <w:sz w:val="18"/>
                      <w:szCs w:val="18"/>
                    </w:rPr>
                  </w:pPr>
                  <w:r>
                    <w:rPr>
                      <w:rFonts w:hint="eastAsia"/>
                      <w:kern w:val="0"/>
                      <w:sz w:val="18"/>
                      <w:szCs w:val="18"/>
                      <w:lang w:val="en-US" w:eastAsia="zh-CN"/>
                    </w:rPr>
                    <w:t>391</w:t>
                  </w:r>
                </w:p>
              </w:tc>
              <w:tc>
                <w:tcPr>
                  <w:tcW w:w="816" w:type="pct"/>
                  <w:vMerge w:val="continue"/>
                  <w:vAlign w:val="center"/>
                </w:tcPr>
                <w:p w14:paraId="53DCFD90">
                  <w:pPr>
                    <w:adjustRightInd w:val="0"/>
                    <w:snapToGrid w:val="0"/>
                    <w:spacing w:line="240" w:lineRule="exact"/>
                    <w:jc w:val="center"/>
                    <w:rPr>
                      <w:color w:val="000000"/>
                      <w:sz w:val="18"/>
                      <w:szCs w:val="18"/>
                    </w:rPr>
                  </w:pPr>
                </w:p>
              </w:tc>
            </w:tr>
            <w:tr w14:paraId="755313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637" w:type="pct"/>
                  <w:vMerge w:val="continue"/>
                  <w:vAlign w:val="center"/>
                </w:tcPr>
                <w:p w14:paraId="52EF797F">
                  <w:pPr>
                    <w:adjustRightInd w:val="0"/>
                    <w:snapToGrid w:val="0"/>
                    <w:spacing w:line="240" w:lineRule="exact"/>
                    <w:jc w:val="center"/>
                    <w:rPr>
                      <w:color w:val="000000"/>
                      <w:sz w:val="18"/>
                      <w:szCs w:val="18"/>
                    </w:rPr>
                  </w:pPr>
                </w:p>
              </w:tc>
              <w:tc>
                <w:tcPr>
                  <w:tcW w:w="1411" w:type="pct"/>
                  <w:tcBorders>
                    <w:top w:val="single" w:color="auto" w:sz="4" w:space="0"/>
                    <w:bottom w:val="single" w:color="auto" w:sz="4" w:space="0"/>
                  </w:tcBorders>
                  <w:vAlign w:val="center"/>
                </w:tcPr>
                <w:p w14:paraId="5A4EB2B4">
                  <w:pPr>
                    <w:jc w:val="center"/>
                    <w:rPr>
                      <w:rFonts w:hint="eastAsia"/>
                      <w:color w:val="000000"/>
                      <w:sz w:val="18"/>
                      <w:szCs w:val="18"/>
                    </w:rPr>
                  </w:pPr>
                  <w:r>
                    <w:rPr>
                      <w:rFonts w:hint="eastAsia"/>
                      <w:kern w:val="0"/>
                      <w:sz w:val="18"/>
                      <w:szCs w:val="18"/>
                      <w:lang w:eastAsia="zh-CN"/>
                    </w:rPr>
                    <w:t>武昌政务服务中心</w:t>
                  </w:r>
                </w:p>
              </w:tc>
              <w:tc>
                <w:tcPr>
                  <w:tcW w:w="780" w:type="pct"/>
                  <w:tcBorders>
                    <w:top w:val="single" w:color="auto" w:sz="4" w:space="0"/>
                    <w:bottom w:val="single" w:color="auto" w:sz="4" w:space="0"/>
                  </w:tcBorders>
                  <w:vAlign w:val="center"/>
                </w:tcPr>
                <w:p w14:paraId="0C8586A1">
                  <w:pPr>
                    <w:jc w:val="center"/>
                    <w:rPr>
                      <w:rFonts w:hint="eastAsia"/>
                      <w:color w:val="000000"/>
                      <w:sz w:val="18"/>
                      <w:szCs w:val="18"/>
                    </w:rPr>
                  </w:pPr>
                  <w:r>
                    <w:rPr>
                      <w:rFonts w:hint="eastAsia"/>
                      <w:kern w:val="0"/>
                      <w:sz w:val="18"/>
                      <w:szCs w:val="18"/>
                      <w:lang w:val="en-US" w:eastAsia="zh-CN"/>
                    </w:rPr>
                    <w:t>/</w:t>
                  </w:r>
                </w:p>
              </w:tc>
              <w:tc>
                <w:tcPr>
                  <w:tcW w:w="489" w:type="pct"/>
                  <w:tcBorders>
                    <w:top w:val="single" w:color="auto" w:sz="4" w:space="0"/>
                    <w:bottom w:val="single" w:color="auto" w:sz="4" w:space="0"/>
                  </w:tcBorders>
                  <w:vAlign w:val="center"/>
                </w:tcPr>
                <w:p w14:paraId="5C683548">
                  <w:pPr>
                    <w:jc w:val="center"/>
                    <w:rPr>
                      <w:rFonts w:hint="eastAsia"/>
                      <w:color w:val="000000"/>
                      <w:sz w:val="18"/>
                      <w:szCs w:val="18"/>
                    </w:rPr>
                  </w:pPr>
                  <w:r>
                    <w:rPr>
                      <w:rFonts w:hint="eastAsia"/>
                      <w:kern w:val="0"/>
                      <w:sz w:val="18"/>
                      <w:szCs w:val="18"/>
                      <w:lang w:eastAsia="zh-CN"/>
                    </w:rPr>
                    <w:t>东</w:t>
                  </w:r>
                </w:p>
              </w:tc>
              <w:tc>
                <w:tcPr>
                  <w:tcW w:w="863" w:type="pct"/>
                  <w:tcBorders>
                    <w:top w:val="single" w:color="auto" w:sz="4" w:space="0"/>
                    <w:bottom w:val="single" w:color="auto" w:sz="4" w:space="0"/>
                  </w:tcBorders>
                  <w:vAlign w:val="center"/>
                </w:tcPr>
                <w:p w14:paraId="7E202EB1">
                  <w:pPr>
                    <w:jc w:val="center"/>
                    <w:rPr>
                      <w:rFonts w:hint="eastAsia"/>
                      <w:color w:val="000000"/>
                      <w:sz w:val="18"/>
                      <w:szCs w:val="18"/>
                    </w:rPr>
                  </w:pPr>
                  <w:r>
                    <w:rPr>
                      <w:rFonts w:hint="eastAsia"/>
                      <w:kern w:val="0"/>
                      <w:sz w:val="18"/>
                      <w:szCs w:val="18"/>
                      <w:lang w:val="en-US" w:eastAsia="zh-CN"/>
                    </w:rPr>
                    <w:t>72</w:t>
                  </w:r>
                </w:p>
              </w:tc>
              <w:tc>
                <w:tcPr>
                  <w:tcW w:w="816" w:type="pct"/>
                  <w:vMerge w:val="continue"/>
                  <w:vAlign w:val="center"/>
                </w:tcPr>
                <w:p w14:paraId="422B6CD6">
                  <w:pPr>
                    <w:adjustRightInd w:val="0"/>
                    <w:snapToGrid w:val="0"/>
                    <w:spacing w:line="240" w:lineRule="exact"/>
                    <w:jc w:val="center"/>
                    <w:rPr>
                      <w:color w:val="000000"/>
                      <w:sz w:val="18"/>
                      <w:szCs w:val="18"/>
                    </w:rPr>
                  </w:pPr>
                </w:p>
              </w:tc>
            </w:tr>
            <w:tr w14:paraId="436055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637" w:type="pct"/>
                  <w:vMerge w:val="continue"/>
                  <w:vAlign w:val="center"/>
                </w:tcPr>
                <w:p w14:paraId="7881FBF4">
                  <w:pPr>
                    <w:adjustRightInd w:val="0"/>
                    <w:snapToGrid w:val="0"/>
                    <w:spacing w:line="240" w:lineRule="exact"/>
                    <w:jc w:val="center"/>
                    <w:rPr>
                      <w:color w:val="000000"/>
                      <w:sz w:val="18"/>
                      <w:szCs w:val="18"/>
                    </w:rPr>
                  </w:pPr>
                </w:p>
              </w:tc>
              <w:tc>
                <w:tcPr>
                  <w:tcW w:w="1411" w:type="pct"/>
                  <w:tcBorders>
                    <w:top w:val="single" w:color="auto" w:sz="4" w:space="0"/>
                    <w:bottom w:val="single" w:color="auto" w:sz="4" w:space="0"/>
                  </w:tcBorders>
                  <w:vAlign w:val="center"/>
                </w:tcPr>
                <w:p w14:paraId="7DA4FCBE">
                  <w:pPr>
                    <w:jc w:val="center"/>
                    <w:rPr>
                      <w:rFonts w:hint="eastAsia"/>
                      <w:color w:val="000000"/>
                      <w:sz w:val="18"/>
                      <w:szCs w:val="18"/>
                    </w:rPr>
                  </w:pPr>
                  <w:r>
                    <w:rPr>
                      <w:rFonts w:hint="eastAsia"/>
                      <w:kern w:val="0"/>
                      <w:sz w:val="18"/>
                      <w:szCs w:val="18"/>
                      <w:lang w:eastAsia="zh-CN"/>
                    </w:rPr>
                    <w:t>省农垦局</w:t>
                  </w:r>
                </w:p>
              </w:tc>
              <w:tc>
                <w:tcPr>
                  <w:tcW w:w="780" w:type="pct"/>
                  <w:tcBorders>
                    <w:top w:val="single" w:color="auto" w:sz="4" w:space="0"/>
                    <w:bottom w:val="single" w:color="auto" w:sz="4" w:space="0"/>
                  </w:tcBorders>
                  <w:vAlign w:val="center"/>
                </w:tcPr>
                <w:p w14:paraId="42561D7E">
                  <w:pPr>
                    <w:jc w:val="center"/>
                    <w:rPr>
                      <w:rFonts w:hint="eastAsia"/>
                      <w:color w:val="000000"/>
                      <w:sz w:val="18"/>
                      <w:szCs w:val="18"/>
                    </w:rPr>
                  </w:pPr>
                  <w:r>
                    <w:rPr>
                      <w:rFonts w:hint="eastAsia"/>
                      <w:kern w:val="0"/>
                      <w:sz w:val="18"/>
                      <w:szCs w:val="18"/>
                      <w:lang w:val="en-US" w:eastAsia="zh-CN"/>
                    </w:rPr>
                    <w:t>/</w:t>
                  </w:r>
                </w:p>
              </w:tc>
              <w:tc>
                <w:tcPr>
                  <w:tcW w:w="489" w:type="pct"/>
                  <w:tcBorders>
                    <w:top w:val="single" w:color="auto" w:sz="4" w:space="0"/>
                    <w:bottom w:val="single" w:color="auto" w:sz="4" w:space="0"/>
                  </w:tcBorders>
                  <w:vAlign w:val="center"/>
                </w:tcPr>
                <w:p w14:paraId="4D9CC691">
                  <w:pPr>
                    <w:jc w:val="center"/>
                    <w:rPr>
                      <w:rFonts w:hint="eastAsia"/>
                      <w:color w:val="000000"/>
                      <w:sz w:val="18"/>
                      <w:szCs w:val="18"/>
                    </w:rPr>
                  </w:pPr>
                  <w:r>
                    <w:rPr>
                      <w:rFonts w:hint="eastAsia"/>
                      <w:kern w:val="0"/>
                      <w:sz w:val="18"/>
                      <w:szCs w:val="18"/>
                      <w:lang w:eastAsia="zh-CN"/>
                    </w:rPr>
                    <w:t>东北</w:t>
                  </w:r>
                </w:p>
              </w:tc>
              <w:tc>
                <w:tcPr>
                  <w:tcW w:w="863" w:type="pct"/>
                  <w:tcBorders>
                    <w:top w:val="single" w:color="auto" w:sz="4" w:space="0"/>
                    <w:bottom w:val="single" w:color="auto" w:sz="4" w:space="0"/>
                  </w:tcBorders>
                  <w:vAlign w:val="center"/>
                </w:tcPr>
                <w:p w14:paraId="3AEE7D8E">
                  <w:pPr>
                    <w:jc w:val="center"/>
                    <w:rPr>
                      <w:rFonts w:hint="eastAsia"/>
                      <w:color w:val="000000"/>
                      <w:sz w:val="18"/>
                      <w:szCs w:val="18"/>
                    </w:rPr>
                  </w:pPr>
                  <w:r>
                    <w:rPr>
                      <w:rFonts w:hint="eastAsia"/>
                      <w:kern w:val="0"/>
                      <w:sz w:val="18"/>
                      <w:szCs w:val="18"/>
                      <w:lang w:val="en-US" w:eastAsia="zh-CN"/>
                    </w:rPr>
                    <w:t>420</w:t>
                  </w:r>
                </w:p>
              </w:tc>
              <w:tc>
                <w:tcPr>
                  <w:tcW w:w="816" w:type="pct"/>
                  <w:vMerge w:val="continue"/>
                  <w:tcBorders>
                    <w:bottom w:val="single" w:color="auto" w:sz="4" w:space="0"/>
                  </w:tcBorders>
                  <w:vAlign w:val="center"/>
                </w:tcPr>
                <w:p w14:paraId="42B8AB59">
                  <w:pPr>
                    <w:adjustRightInd w:val="0"/>
                    <w:snapToGrid w:val="0"/>
                    <w:spacing w:line="240" w:lineRule="exact"/>
                    <w:jc w:val="center"/>
                    <w:rPr>
                      <w:color w:val="000000"/>
                      <w:sz w:val="18"/>
                      <w:szCs w:val="18"/>
                    </w:rPr>
                  </w:pPr>
                </w:p>
              </w:tc>
            </w:tr>
            <w:tr w14:paraId="1ECD1E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637" w:type="pct"/>
                  <w:vMerge w:val="restart"/>
                  <w:vAlign w:val="center"/>
                </w:tcPr>
                <w:p w14:paraId="5F52CAE6">
                  <w:pPr>
                    <w:adjustRightInd w:val="0"/>
                    <w:snapToGrid w:val="0"/>
                    <w:spacing w:line="240" w:lineRule="exact"/>
                    <w:jc w:val="center"/>
                    <w:rPr>
                      <w:color w:val="000000"/>
                      <w:sz w:val="18"/>
                      <w:szCs w:val="18"/>
                    </w:rPr>
                  </w:pPr>
                  <w:r>
                    <w:rPr>
                      <w:rFonts w:hint="eastAsia"/>
                      <w:color w:val="000000"/>
                      <w:sz w:val="18"/>
                      <w:szCs w:val="18"/>
                    </w:rPr>
                    <w:t>地表水</w:t>
                  </w:r>
                </w:p>
              </w:tc>
              <w:tc>
                <w:tcPr>
                  <w:tcW w:w="1411" w:type="pct"/>
                  <w:vAlign w:val="center"/>
                </w:tcPr>
                <w:p w14:paraId="2F226247">
                  <w:pPr>
                    <w:jc w:val="center"/>
                    <w:rPr>
                      <w:color w:val="000000"/>
                      <w:sz w:val="18"/>
                      <w:szCs w:val="18"/>
                    </w:rPr>
                  </w:pPr>
                  <w:r>
                    <w:rPr>
                      <w:rFonts w:hint="eastAsia"/>
                      <w:kern w:val="0"/>
                      <w:sz w:val="18"/>
                      <w:szCs w:val="18"/>
                    </w:rPr>
                    <w:t>长江</w:t>
                  </w:r>
                </w:p>
              </w:tc>
              <w:tc>
                <w:tcPr>
                  <w:tcW w:w="780" w:type="pct"/>
                  <w:vAlign w:val="center"/>
                </w:tcPr>
                <w:p w14:paraId="67354F41">
                  <w:pPr>
                    <w:jc w:val="center"/>
                    <w:rPr>
                      <w:color w:val="000000"/>
                      <w:sz w:val="18"/>
                      <w:szCs w:val="18"/>
                    </w:rPr>
                  </w:pPr>
                  <w:r>
                    <w:rPr>
                      <w:kern w:val="0"/>
                      <w:sz w:val="18"/>
                      <w:szCs w:val="18"/>
                    </w:rPr>
                    <w:t>年平均流量为23500m</w:t>
                  </w:r>
                  <w:r>
                    <w:rPr>
                      <w:kern w:val="0"/>
                      <w:sz w:val="18"/>
                      <w:szCs w:val="18"/>
                      <w:vertAlign w:val="superscript"/>
                    </w:rPr>
                    <w:t>3</w:t>
                  </w:r>
                  <w:r>
                    <w:rPr>
                      <w:kern w:val="0"/>
                      <w:sz w:val="18"/>
                      <w:szCs w:val="18"/>
                    </w:rPr>
                    <w:t>/s，年变化系数为0.14m</w:t>
                  </w:r>
                  <w:r>
                    <w:rPr>
                      <w:kern w:val="0"/>
                      <w:sz w:val="18"/>
                      <w:szCs w:val="18"/>
                      <w:vertAlign w:val="superscript"/>
                    </w:rPr>
                    <w:t>3</w:t>
                  </w:r>
                  <w:r>
                    <w:rPr>
                      <w:kern w:val="0"/>
                      <w:sz w:val="18"/>
                      <w:szCs w:val="18"/>
                    </w:rPr>
                    <w:t>/s</w:t>
                  </w:r>
                </w:p>
              </w:tc>
              <w:tc>
                <w:tcPr>
                  <w:tcW w:w="489" w:type="pct"/>
                  <w:vAlign w:val="center"/>
                </w:tcPr>
                <w:p w14:paraId="0030A49D">
                  <w:pPr>
                    <w:adjustRightInd w:val="0"/>
                    <w:snapToGrid w:val="0"/>
                    <w:spacing w:line="240" w:lineRule="exact"/>
                    <w:jc w:val="center"/>
                    <w:rPr>
                      <w:color w:val="000000"/>
                      <w:sz w:val="18"/>
                      <w:szCs w:val="18"/>
                    </w:rPr>
                  </w:pPr>
                  <w:r>
                    <w:rPr>
                      <w:rFonts w:hint="eastAsia"/>
                      <w:color w:val="000000"/>
                      <w:sz w:val="18"/>
                      <w:szCs w:val="18"/>
                    </w:rPr>
                    <w:t>--</w:t>
                  </w:r>
                </w:p>
              </w:tc>
              <w:tc>
                <w:tcPr>
                  <w:tcW w:w="863" w:type="pct"/>
                  <w:vAlign w:val="center"/>
                </w:tcPr>
                <w:p w14:paraId="3B993478">
                  <w:pPr>
                    <w:adjustRightInd w:val="0"/>
                    <w:snapToGrid w:val="0"/>
                    <w:spacing w:line="240" w:lineRule="exact"/>
                    <w:jc w:val="center"/>
                    <w:rPr>
                      <w:color w:val="000000"/>
                      <w:sz w:val="18"/>
                      <w:szCs w:val="18"/>
                    </w:rPr>
                  </w:pPr>
                  <w:r>
                    <w:rPr>
                      <w:rFonts w:hint="eastAsia"/>
                      <w:color w:val="000000"/>
                      <w:sz w:val="18"/>
                      <w:szCs w:val="18"/>
                    </w:rPr>
                    <w:t>本项目码头涉及水体</w:t>
                  </w:r>
                </w:p>
              </w:tc>
              <w:tc>
                <w:tcPr>
                  <w:tcW w:w="816" w:type="pct"/>
                  <w:vMerge w:val="restart"/>
                  <w:vAlign w:val="center"/>
                </w:tcPr>
                <w:p w14:paraId="0532A387">
                  <w:pPr>
                    <w:adjustRightInd w:val="0"/>
                    <w:snapToGrid w:val="0"/>
                    <w:spacing w:line="240" w:lineRule="exact"/>
                    <w:jc w:val="center"/>
                    <w:rPr>
                      <w:color w:val="000000"/>
                      <w:sz w:val="18"/>
                      <w:szCs w:val="18"/>
                    </w:rPr>
                  </w:pPr>
                  <w:r>
                    <w:rPr>
                      <w:rFonts w:hint="eastAsia"/>
                      <w:color w:val="000000"/>
                      <w:sz w:val="18"/>
                      <w:szCs w:val="18"/>
                    </w:rPr>
                    <w:t>GB3838-2002</w:t>
                  </w:r>
                </w:p>
                <w:p w14:paraId="1CE1B9F0">
                  <w:pPr>
                    <w:adjustRightInd w:val="0"/>
                    <w:snapToGrid w:val="0"/>
                    <w:spacing w:line="240" w:lineRule="exact"/>
                    <w:jc w:val="center"/>
                    <w:rPr>
                      <w:color w:val="000000"/>
                      <w:sz w:val="18"/>
                      <w:szCs w:val="18"/>
                    </w:rPr>
                  </w:pPr>
                  <w:r>
                    <w:rPr>
                      <w:rFonts w:hint="eastAsia"/>
                      <w:color w:val="000000"/>
                      <w:sz w:val="18"/>
                      <w:szCs w:val="18"/>
                    </w:rPr>
                    <w:t>Ⅲ类</w:t>
                  </w:r>
                </w:p>
              </w:tc>
            </w:tr>
            <w:tr w14:paraId="72D4DE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637" w:type="pct"/>
                  <w:vMerge w:val="continue"/>
                  <w:vAlign w:val="center"/>
                </w:tcPr>
                <w:p w14:paraId="72281838">
                  <w:pPr>
                    <w:adjustRightInd w:val="0"/>
                    <w:snapToGrid w:val="0"/>
                    <w:spacing w:line="240" w:lineRule="exact"/>
                    <w:jc w:val="center"/>
                    <w:rPr>
                      <w:color w:val="000000"/>
                      <w:sz w:val="18"/>
                      <w:szCs w:val="18"/>
                    </w:rPr>
                  </w:pPr>
                </w:p>
              </w:tc>
              <w:tc>
                <w:tcPr>
                  <w:tcW w:w="1411" w:type="pct"/>
                  <w:vAlign w:val="center"/>
                </w:tcPr>
                <w:p w14:paraId="5B728E76">
                  <w:pPr>
                    <w:jc w:val="center"/>
                    <w:rPr>
                      <w:color w:val="000000"/>
                      <w:sz w:val="18"/>
                      <w:szCs w:val="18"/>
                    </w:rPr>
                  </w:pPr>
                  <w:r>
                    <w:rPr>
                      <w:rFonts w:hint="eastAsia"/>
                      <w:kern w:val="0"/>
                      <w:sz w:val="18"/>
                      <w:szCs w:val="18"/>
                    </w:rPr>
                    <w:t>平湖门</w:t>
                  </w:r>
                  <w:r>
                    <w:rPr>
                      <w:kern w:val="0"/>
                      <w:sz w:val="18"/>
                      <w:szCs w:val="18"/>
                    </w:rPr>
                    <w:t>水厂饮用水取水口</w:t>
                  </w:r>
                </w:p>
              </w:tc>
              <w:tc>
                <w:tcPr>
                  <w:tcW w:w="780" w:type="pct"/>
                  <w:vAlign w:val="center"/>
                </w:tcPr>
                <w:p w14:paraId="5113D95E">
                  <w:pPr>
                    <w:jc w:val="center"/>
                    <w:rPr>
                      <w:color w:val="000000"/>
                      <w:sz w:val="18"/>
                      <w:szCs w:val="18"/>
                    </w:rPr>
                  </w:pPr>
                  <w:r>
                    <w:rPr>
                      <w:kern w:val="0"/>
                      <w:sz w:val="18"/>
                      <w:szCs w:val="18"/>
                    </w:rPr>
                    <w:t>取水规模10万吨/天</w:t>
                  </w:r>
                </w:p>
              </w:tc>
              <w:tc>
                <w:tcPr>
                  <w:tcW w:w="489" w:type="pct"/>
                  <w:vMerge w:val="restart"/>
                  <w:vAlign w:val="center"/>
                </w:tcPr>
                <w:p w14:paraId="148D2571">
                  <w:pPr>
                    <w:jc w:val="center"/>
                    <w:rPr>
                      <w:color w:val="000000"/>
                      <w:sz w:val="18"/>
                      <w:szCs w:val="18"/>
                    </w:rPr>
                  </w:pPr>
                  <w:r>
                    <w:rPr>
                      <w:rFonts w:hint="eastAsia"/>
                      <w:kern w:val="0"/>
                      <w:sz w:val="18"/>
                      <w:szCs w:val="18"/>
                    </w:rPr>
                    <w:t>中华路</w:t>
                  </w:r>
                  <w:r>
                    <w:rPr>
                      <w:kern w:val="0"/>
                      <w:sz w:val="18"/>
                      <w:szCs w:val="18"/>
                    </w:rPr>
                    <w:t>码头</w:t>
                  </w:r>
                  <w:r>
                    <w:rPr>
                      <w:rFonts w:hint="eastAsia"/>
                      <w:kern w:val="0"/>
                      <w:sz w:val="18"/>
                      <w:szCs w:val="18"/>
                    </w:rPr>
                    <w:t>同岸上</w:t>
                  </w:r>
                  <w:r>
                    <w:rPr>
                      <w:kern w:val="0"/>
                      <w:sz w:val="18"/>
                      <w:szCs w:val="18"/>
                    </w:rPr>
                    <w:t>游</w:t>
                  </w:r>
                </w:p>
              </w:tc>
              <w:tc>
                <w:tcPr>
                  <w:tcW w:w="863" w:type="pct"/>
                  <w:vAlign w:val="center"/>
                </w:tcPr>
                <w:p w14:paraId="5EC8FEE7">
                  <w:pPr>
                    <w:jc w:val="center"/>
                    <w:rPr>
                      <w:color w:val="000000"/>
                      <w:sz w:val="18"/>
                      <w:szCs w:val="18"/>
                    </w:rPr>
                  </w:pPr>
                  <w:r>
                    <w:rPr>
                      <w:rFonts w:hint="eastAsia"/>
                      <w:kern w:val="0"/>
                      <w:sz w:val="18"/>
                      <w:szCs w:val="18"/>
                    </w:rPr>
                    <w:t>距本项目最近距离1.65</w:t>
                  </w:r>
                  <w:r>
                    <w:rPr>
                      <w:kern w:val="0"/>
                      <w:sz w:val="18"/>
                      <w:szCs w:val="18"/>
                    </w:rPr>
                    <w:t>km</w:t>
                  </w:r>
                </w:p>
              </w:tc>
              <w:tc>
                <w:tcPr>
                  <w:tcW w:w="816" w:type="pct"/>
                  <w:vMerge w:val="continue"/>
                  <w:vAlign w:val="center"/>
                </w:tcPr>
                <w:p w14:paraId="5FF2B8EB">
                  <w:pPr>
                    <w:adjustRightInd w:val="0"/>
                    <w:snapToGrid w:val="0"/>
                    <w:spacing w:line="240" w:lineRule="exact"/>
                    <w:jc w:val="center"/>
                    <w:rPr>
                      <w:color w:val="000000"/>
                      <w:sz w:val="18"/>
                      <w:szCs w:val="18"/>
                    </w:rPr>
                  </w:pPr>
                </w:p>
              </w:tc>
            </w:tr>
            <w:tr w14:paraId="226820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637" w:type="pct"/>
                  <w:vMerge w:val="continue"/>
                  <w:vAlign w:val="center"/>
                </w:tcPr>
                <w:p w14:paraId="763505F2">
                  <w:pPr>
                    <w:adjustRightInd w:val="0"/>
                    <w:snapToGrid w:val="0"/>
                    <w:spacing w:line="240" w:lineRule="exact"/>
                    <w:jc w:val="center"/>
                    <w:rPr>
                      <w:color w:val="000000"/>
                      <w:sz w:val="18"/>
                      <w:szCs w:val="18"/>
                    </w:rPr>
                  </w:pPr>
                </w:p>
              </w:tc>
              <w:tc>
                <w:tcPr>
                  <w:tcW w:w="1411" w:type="pct"/>
                  <w:vAlign w:val="center"/>
                </w:tcPr>
                <w:p w14:paraId="6A370A6D">
                  <w:pPr>
                    <w:jc w:val="center"/>
                    <w:rPr>
                      <w:color w:val="000000"/>
                      <w:sz w:val="18"/>
                      <w:szCs w:val="18"/>
                    </w:rPr>
                  </w:pPr>
                  <w:r>
                    <w:rPr>
                      <w:rFonts w:hint="eastAsia"/>
                      <w:kern w:val="0"/>
                      <w:sz w:val="18"/>
                      <w:szCs w:val="18"/>
                    </w:rPr>
                    <w:t>平湖门</w:t>
                  </w:r>
                  <w:r>
                    <w:rPr>
                      <w:kern w:val="0"/>
                      <w:sz w:val="18"/>
                      <w:szCs w:val="18"/>
                    </w:rPr>
                    <w:t>水厂饮用水水源</w:t>
                  </w:r>
                  <w:r>
                    <w:rPr>
                      <w:rFonts w:hint="eastAsia"/>
                      <w:kern w:val="0"/>
                      <w:sz w:val="18"/>
                      <w:szCs w:val="18"/>
                    </w:rPr>
                    <w:t>一级</w:t>
                  </w:r>
                  <w:r>
                    <w:rPr>
                      <w:kern w:val="0"/>
                      <w:sz w:val="18"/>
                      <w:szCs w:val="18"/>
                    </w:rPr>
                    <w:t>保护区</w:t>
                  </w:r>
                </w:p>
              </w:tc>
              <w:tc>
                <w:tcPr>
                  <w:tcW w:w="780" w:type="pct"/>
                  <w:vAlign w:val="center"/>
                </w:tcPr>
                <w:p w14:paraId="4E51796D">
                  <w:pPr>
                    <w:jc w:val="center"/>
                    <w:rPr>
                      <w:color w:val="000000"/>
                      <w:sz w:val="18"/>
                      <w:szCs w:val="18"/>
                    </w:rPr>
                  </w:pPr>
                  <w:r>
                    <w:rPr>
                      <w:rFonts w:hint="eastAsia"/>
                      <w:kern w:val="0"/>
                      <w:sz w:val="18"/>
                      <w:szCs w:val="18"/>
                    </w:rPr>
                    <w:t>/</w:t>
                  </w:r>
                </w:p>
              </w:tc>
              <w:tc>
                <w:tcPr>
                  <w:tcW w:w="489" w:type="pct"/>
                  <w:vMerge w:val="continue"/>
                  <w:vAlign w:val="center"/>
                </w:tcPr>
                <w:p w14:paraId="5F2F9F13">
                  <w:pPr>
                    <w:jc w:val="center"/>
                    <w:rPr>
                      <w:color w:val="000000"/>
                      <w:sz w:val="18"/>
                      <w:szCs w:val="18"/>
                    </w:rPr>
                  </w:pPr>
                </w:p>
              </w:tc>
              <w:tc>
                <w:tcPr>
                  <w:tcW w:w="863" w:type="pct"/>
                  <w:vAlign w:val="center"/>
                </w:tcPr>
                <w:p w14:paraId="169F7BE5">
                  <w:pPr>
                    <w:jc w:val="center"/>
                    <w:rPr>
                      <w:color w:val="000000"/>
                      <w:sz w:val="18"/>
                      <w:szCs w:val="18"/>
                    </w:rPr>
                  </w:pPr>
                  <w:r>
                    <w:rPr>
                      <w:rFonts w:hint="eastAsia"/>
                      <w:kern w:val="0"/>
                      <w:sz w:val="18"/>
                      <w:szCs w:val="18"/>
                    </w:rPr>
                    <w:t>距本项目最近距离1.55</w:t>
                  </w:r>
                  <w:r>
                    <w:rPr>
                      <w:kern w:val="0"/>
                      <w:sz w:val="18"/>
                      <w:szCs w:val="18"/>
                    </w:rPr>
                    <w:t>km</w:t>
                  </w:r>
                </w:p>
              </w:tc>
              <w:tc>
                <w:tcPr>
                  <w:tcW w:w="816" w:type="pct"/>
                  <w:vMerge w:val="continue"/>
                  <w:vAlign w:val="center"/>
                </w:tcPr>
                <w:p w14:paraId="6D032B23">
                  <w:pPr>
                    <w:adjustRightInd w:val="0"/>
                    <w:snapToGrid w:val="0"/>
                    <w:spacing w:line="240" w:lineRule="exact"/>
                    <w:jc w:val="center"/>
                    <w:rPr>
                      <w:color w:val="000000"/>
                      <w:sz w:val="18"/>
                      <w:szCs w:val="18"/>
                    </w:rPr>
                  </w:pPr>
                </w:p>
              </w:tc>
            </w:tr>
            <w:tr w14:paraId="4BA42F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637" w:type="pct"/>
                  <w:vMerge w:val="continue"/>
                  <w:vAlign w:val="center"/>
                </w:tcPr>
                <w:p w14:paraId="5331FBC3">
                  <w:pPr>
                    <w:adjustRightInd w:val="0"/>
                    <w:snapToGrid w:val="0"/>
                    <w:spacing w:line="240" w:lineRule="exact"/>
                    <w:jc w:val="center"/>
                    <w:rPr>
                      <w:color w:val="000000"/>
                      <w:sz w:val="18"/>
                      <w:szCs w:val="18"/>
                    </w:rPr>
                  </w:pPr>
                </w:p>
              </w:tc>
              <w:tc>
                <w:tcPr>
                  <w:tcW w:w="1411" w:type="pct"/>
                  <w:vAlign w:val="center"/>
                </w:tcPr>
                <w:p w14:paraId="289E254A">
                  <w:pPr>
                    <w:jc w:val="center"/>
                    <w:rPr>
                      <w:color w:val="000000"/>
                      <w:sz w:val="18"/>
                      <w:szCs w:val="18"/>
                    </w:rPr>
                  </w:pPr>
                  <w:r>
                    <w:rPr>
                      <w:rFonts w:hint="eastAsia"/>
                      <w:kern w:val="0"/>
                      <w:sz w:val="18"/>
                      <w:szCs w:val="18"/>
                    </w:rPr>
                    <w:t>平湖门</w:t>
                  </w:r>
                  <w:r>
                    <w:rPr>
                      <w:kern w:val="0"/>
                      <w:sz w:val="18"/>
                      <w:szCs w:val="18"/>
                    </w:rPr>
                    <w:t>水厂饮用水</w:t>
                  </w:r>
                  <w:r>
                    <w:rPr>
                      <w:rFonts w:hint="eastAsia"/>
                      <w:kern w:val="0"/>
                      <w:sz w:val="18"/>
                      <w:szCs w:val="18"/>
                    </w:rPr>
                    <w:t>二级</w:t>
                  </w:r>
                  <w:r>
                    <w:rPr>
                      <w:kern w:val="0"/>
                      <w:sz w:val="18"/>
                      <w:szCs w:val="18"/>
                    </w:rPr>
                    <w:t>水源保护区</w:t>
                  </w:r>
                </w:p>
              </w:tc>
              <w:tc>
                <w:tcPr>
                  <w:tcW w:w="780" w:type="pct"/>
                  <w:vAlign w:val="center"/>
                </w:tcPr>
                <w:p w14:paraId="16F64F1E">
                  <w:pPr>
                    <w:jc w:val="center"/>
                    <w:rPr>
                      <w:color w:val="000000"/>
                      <w:sz w:val="18"/>
                      <w:szCs w:val="18"/>
                    </w:rPr>
                  </w:pPr>
                  <w:r>
                    <w:rPr>
                      <w:rFonts w:hint="eastAsia"/>
                      <w:kern w:val="0"/>
                      <w:sz w:val="18"/>
                      <w:szCs w:val="18"/>
                    </w:rPr>
                    <w:t>/</w:t>
                  </w:r>
                </w:p>
              </w:tc>
              <w:tc>
                <w:tcPr>
                  <w:tcW w:w="489" w:type="pct"/>
                  <w:vMerge w:val="continue"/>
                  <w:vAlign w:val="center"/>
                </w:tcPr>
                <w:p w14:paraId="40957C98">
                  <w:pPr>
                    <w:jc w:val="center"/>
                    <w:rPr>
                      <w:color w:val="000000"/>
                      <w:sz w:val="18"/>
                      <w:szCs w:val="18"/>
                    </w:rPr>
                  </w:pPr>
                </w:p>
              </w:tc>
              <w:tc>
                <w:tcPr>
                  <w:tcW w:w="863" w:type="pct"/>
                  <w:vAlign w:val="center"/>
                </w:tcPr>
                <w:p w14:paraId="21285FB7">
                  <w:pPr>
                    <w:jc w:val="center"/>
                    <w:rPr>
                      <w:color w:val="000000"/>
                      <w:sz w:val="18"/>
                      <w:szCs w:val="18"/>
                    </w:rPr>
                  </w:pPr>
                  <w:r>
                    <w:rPr>
                      <w:rFonts w:hint="eastAsia"/>
                      <w:kern w:val="0"/>
                      <w:sz w:val="18"/>
                      <w:szCs w:val="18"/>
                    </w:rPr>
                    <w:t>距本项目最近距离1.35</w:t>
                  </w:r>
                  <w:r>
                    <w:rPr>
                      <w:kern w:val="0"/>
                      <w:sz w:val="18"/>
                      <w:szCs w:val="18"/>
                    </w:rPr>
                    <w:t>km</w:t>
                  </w:r>
                </w:p>
              </w:tc>
              <w:tc>
                <w:tcPr>
                  <w:tcW w:w="816" w:type="pct"/>
                  <w:vMerge w:val="continue"/>
                  <w:vAlign w:val="center"/>
                </w:tcPr>
                <w:p w14:paraId="72B93564">
                  <w:pPr>
                    <w:adjustRightInd w:val="0"/>
                    <w:snapToGrid w:val="0"/>
                    <w:spacing w:line="240" w:lineRule="exact"/>
                    <w:jc w:val="center"/>
                    <w:rPr>
                      <w:color w:val="000000"/>
                      <w:sz w:val="18"/>
                      <w:szCs w:val="18"/>
                    </w:rPr>
                  </w:pPr>
                </w:p>
              </w:tc>
            </w:tr>
            <w:tr w14:paraId="22B4EB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637" w:type="pct"/>
                  <w:vMerge w:val="continue"/>
                  <w:vAlign w:val="center"/>
                </w:tcPr>
                <w:p w14:paraId="57CE5764">
                  <w:pPr>
                    <w:adjustRightInd w:val="0"/>
                    <w:snapToGrid w:val="0"/>
                    <w:spacing w:line="240" w:lineRule="exact"/>
                    <w:jc w:val="center"/>
                    <w:rPr>
                      <w:color w:val="000000"/>
                      <w:sz w:val="18"/>
                      <w:szCs w:val="18"/>
                    </w:rPr>
                  </w:pPr>
                </w:p>
              </w:tc>
              <w:tc>
                <w:tcPr>
                  <w:tcW w:w="1411" w:type="pct"/>
                  <w:vAlign w:val="center"/>
                </w:tcPr>
                <w:p w14:paraId="03880492">
                  <w:pPr>
                    <w:jc w:val="center"/>
                    <w:rPr>
                      <w:color w:val="000000"/>
                      <w:sz w:val="18"/>
                      <w:szCs w:val="18"/>
                    </w:rPr>
                  </w:pPr>
                  <w:r>
                    <w:rPr>
                      <w:rFonts w:hint="eastAsia"/>
                      <w:kern w:val="0"/>
                      <w:sz w:val="18"/>
                      <w:szCs w:val="18"/>
                    </w:rPr>
                    <w:t>余家头</w:t>
                  </w:r>
                  <w:r>
                    <w:rPr>
                      <w:kern w:val="0"/>
                      <w:sz w:val="18"/>
                      <w:szCs w:val="18"/>
                    </w:rPr>
                    <w:t>水厂饮用水取水口</w:t>
                  </w:r>
                </w:p>
              </w:tc>
              <w:tc>
                <w:tcPr>
                  <w:tcW w:w="780" w:type="pct"/>
                  <w:vAlign w:val="center"/>
                </w:tcPr>
                <w:p w14:paraId="516C4546">
                  <w:pPr>
                    <w:jc w:val="center"/>
                    <w:rPr>
                      <w:color w:val="000000"/>
                      <w:sz w:val="18"/>
                      <w:szCs w:val="18"/>
                    </w:rPr>
                  </w:pPr>
                  <w:r>
                    <w:rPr>
                      <w:kern w:val="0"/>
                      <w:sz w:val="18"/>
                      <w:szCs w:val="18"/>
                    </w:rPr>
                    <w:t>取水规模70万吨/天</w:t>
                  </w:r>
                </w:p>
              </w:tc>
              <w:tc>
                <w:tcPr>
                  <w:tcW w:w="489" w:type="pct"/>
                  <w:vMerge w:val="restart"/>
                  <w:vAlign w:val="center"/>
                </w:tcPr>
                <w:p w14:paraId="33778EC5">
                  <w:pPr>
                    <w:jc w:val="center"/>
                    <w:rPr>
                      <w:color w:val="000000"/>
                      <w:sz w:val="18"/>
                      <w:szCs w:val="18"/>
                    </w:rPr>
                  </w:pPr>
                  <w:r>
                    <w:rPr>
                      <w:rFonts w:hint="eastAsia"/>
                      <w:kern w:val="0"/>
                      <w:sz w:val="18"/>
                      <w:szCs w:val="18"/>
                    </w:rPr>
                    <w:t>中华路</w:t>
                  </w:r>
                  <w:r>
                    <w:rPr>
                      <w:kern w:val="0"/>
                      <w:sz w:val="18"/>
                      <w:szCs w:val="18"/>
                    </w:rPr>
                    <w:t>码头</w:t>
                  </w:r>
                  <w:r>
                    <w:rPr>
                      <w:rFonts w:hint="eastAsia"/>
                      <w:kern w:val="0"/>
                      <w:sz w:val="18"/>
                      <w:szCs w:val="18"/>
                    </w:rPr>
                    <w:t>同岸下</w:t>
                  </w:r>
                  <w:r>
                    <w:rPr>
                      <w:kern w:val="0"/>
                      <w:sz w:val="18"/>
                      <w:szCs w:val="18"/>
                    </w:rPr>
                    <w:t>游</w:t>
                  </w:r>
                </w:p>
              </w:tc>
              <w:tc>
                <w:tcPr>
                  <w:tcW w:w="863" w:type="pct"/>
                  <w:vAlign w:val="center"/>
                </w:tcPr>
                <w:p w14:paraId="4437ABFF">
                  <w:pPr>
                    <w:jc w:val="center"/>
                    <w:rPr>
                      <w:color w:val="000000"/>
                      <w:sz w:val="18"/>
                      <w:szCs w:val="18"/>
                    </w:rPr>
                  </w:pPr>
                  <w:r>
                    <w:rPr>
                      <w:rFonts w:hint="eastAsia"/>
                      <w:kern w:val="0"/>
                      <w:sz w:val="18"/>
                      <w:szCs w:val="18"/>
                    </w:rPr>
                    <w:t>距本项目最近距离9.2</w:t>
                  </w:r>
                  <w:r>
                    <w:rPr>
                      <w:kern w:val="0"/>
                      <w:sz w:val="18"/>
                      <w:szCs w:val="18"/>
                    </w:rPr>
                    <w:t>km</w:t>
                  </w:r>
                </w:p>
              </w:tc>
              <w:tc>
                <w:tcPr>
                  <w:tcW w:w="816" w:type="pct"/>
                  <w:vMerge w:val="continue"/>
                  <w:vAlign w:val="center"/>
                </w:tcPr>
                <w:p w14:paraId="11BCF574">
                  <w:pPr>
                    <w:adjustRightInd w:val="0"/>
                    <w:snapToGrid w:val="0"/>
                    <w:spacing w:line="240" w:lineRule="exact"/>
                    <w:jc w:val="center"/>
                    <w:rPr>
                      <w:color w:val="000000"/>
                      <w:sz w:val="18"/>
                      <w:szCs w:val="18"/>
                    </w:rPr>
                  </w:pPr>
                </w:p>
              </w:tc>
            </w:tr>
            <w:tr w14:paraId="049592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637" w:type="pct"/>
                  <w:vMerge w:val="continue"/>
                  <w:vAlign w:val="center"/>
                </w:tcPr>
                <w:p w14:paraId="3F01F18C">
                  <w:pPr>
                    <w:adjustRightInd w:val="0"/>
                    <w:snapToGrid w:val="0"/>
                    <w:spacing w:line="240" w:lineRule="exact"/>
                    <w:jc w:val="center"/>
                    <w:rPr>
                      <w:color w:val="000000"/>
                      <w:sz w:val="18"/>
                      <w:szCs w:val="18"/>
                    </w:rPr>
                  </w:pPr>
                </w:p>
              </w:tc>
              <w:tc>
                <w:tcPr>
                  <w:tcW w:w="1411" w:type="pct"/>
                  <w:vAlign w:val="center"/>
                </w:tcPr>
                <w:p w14:paraId="0D9CF2E8">
                  <w:pPr>
                    <w:jc w:val="center"/>
                    <w:rPr>
                      <w:color w:val="000000"/>
                      <w:sz w:val="18"/>
                      <w:szCs w:val="18"/>
                    </w:rPr>
                  </w:pPr>
                  <w:r>
                    <w:rPr>
                      <w:rFonts w:hint="eastAsia"/>
                      <w:kern w:val="0"/>
                      <w:sz w:val="18"/>
                      <w:szCs w:val="18"/>
                    </w:rPr>
                    <w:t>余家头</w:t>
                  </w:r>
                  <w:r>
                    <w:rPr>
                      <w:kern w:val="0"/>
                      <w:sz w:val="18"/>
                      <w:szCs w:val="18"/>
                    </w:rPr>
                    <w:t>水厂饮用水水源</w:t>
                  </w:r>
                  <w:r>
                    <w:rPr>
                      <w:rFonts w:hint="eastAsia"/>
                      <w:kern w:val="0"/>
                      <w:sz w:val="18"/>
                      <w:szCs w:val="18"/>
                    </w:rPr>
                    <w:t>一级</w:t>
                  </w:r>
                  <w:r>
                    <w:rPr>
                      <w:kern w:val="0"/>
                      <w:sz w:val="18"/>
                      <w:szCs w:val="18"/>
                    </w:rPr>
                    <w:t>保护区</w:t>
                  </w:r>
                </w:p>
              </w:tc>
              <w:tc>
                <w:tcPr>
                  <w:tcW w:w="780" w:type="pct"/>
                  <w:vAlign w:val="center"/>
                </w:tcPr>
                <w:p w14:paraId="6C87AB6E">
                  <w:pPr>
                    <w:jc w:val="center"/>
                    <w:rPr>
                      <w:color w:val="000000"/>
                      <w:sz w:val="18"/>
                      <w:szCs w:val="18"/>
                    </w:rPr>
                  </w:pPr>
                  <w:r>
                    <w:rPr>
                      <w:rFonts w:hint="eastAsia"/>
                      <w:kern w:val="0"/>
                      <w:sz w:val="18"/>
                      <w:szCs w:val="18"/>
                    </w:rPr>
                    <w:t>/</w:t>
                  </w:r>
                </w:p>
              </w:tc>
              <w:tc>
                <w:tcPr>
                  <w:tcW w:w="489" w:type="pct"/>
                  <w:vMerge w:val="continue"/>
                  <w:vAlign w:val="center"/>
                </w:tcPr>
                <w:p w14:paraId="2A77037E">
                  <w:pPr>
                    <w:jc w:val="center"/>
                    <w:rPr>
                      <w:color w:val="000000"/>
                      <w:sz w:val="18"/>
                      <w:szCs w:val="18"/>
                    </w:rPr>
                  </w:pPr>
                </w:p>
              </w:tc>
              <w:tc>
                <w:tcPr>
                  <w:tcW w:w="863" w:type="pct"/>
                  <w:vAlign w:val="center"/>
                </w:tcPr>
                <w:p w14:paraId="5C57098A">
                  <w:pPr>
                    <w:jc w:val="center"/>
                    <w:rPr>
                      <w:color w:val="000000"/>
                      <w:sz w:val="18"/>
                      <w:szCs w:val="18"/>
                    </w:rPr>
                  </w:pPr>
                  <w:r>
                    <w:rPr>
                      <w:rFonts w:hint="eastAsia"/>
                      <w:kern w:val="0"/>
                      <w:sz w:val="18"/>
                      <w:szCs w:val="18"/>
                    </w:rPr>
                    <w:t>距本项目最近距离8.2</w:t>
                  </w:r>
                  <w:r>
                    <w:rPr>
                      <w:kern w:val="0"/>
                      <w:sz w:val="18"/>
                      <w:szCs w:val="18"/>
                    </w:rPr>
                    <w:t>km</w:t>
                  </w:r>
                </w:p>
              </w:tc>
              <w:tc>
                <w:tcPr>
                  <w:tcW w:w="816" w:type="pct"/>
                  <w:vMerge w:val="continue"/>
                  <w:vAlign w:val="center"/>
                </w:tcPr>
                <w:p w14:paraId="58BD8CB2">
                  <w:pPr>
                    <w:adjustRightInd w:val="0"/>
                    <w:snapToGrid w:val="0"/>
                    <w:spacing w:line="240" w:lineRule="exact"/>
                    <w:jc w:val="center"/>
                    <w:rPr>
                      <w:color w:val="000000"/>
                      <w:sz w:val="18"/>
                      <w:szCs w:val="18"/>
                    </w:rPr>
                  </w:pPr>
                </w:p>
              </w:tc>
            </w:tr>
            <w:tr w14:paraId="48A603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637" w:type="pct"/>
                  <w:vMerge w:val="continue"/>
                  <w:vAlign w:val="center"/>
                </w:tcPr>
                <w:p w14:paraId="5DCD619A">
                  <w:pPr>
                    <w:adjustRightInd w:val="0"/>
                    <w:snapToGrid w:val="0"/>
                    <w:spacing w:line="240" w:lineRule="exact"/>
                    <w:jc w:val="center"/>
                    <w:rPr>
                      <w:color w:val="000000"/>
                      <w:sz w:val="18"/>
                      <w:szCs w:val="18"/>
                    </w:rPr>
                  </w:pPr>
                </w:p>
              </w:tc>
              <w:tc>
                <w:tcPr>
                  <w:tcW w:w="1411" w:type="pct"/>
                  <w:vAlign w:val="center"/>
                </w:tcPr>
                <w:p w14:paraId="57D4E9A6">
                  <w:pPr>
                    <w:jc w:val="center"/>
                    <w:rPr>
                      <w:color w:val="000000"/>
                      <w:sz w:val="18"/>
                      <w:szCs w:val="18"/>
                    </w:rPr>
                  </w:pPr>
                  <w:r>
                    <w:rPr>
                      <w:rFonts w:hint="eastAsia"/>
                      <w:kern w:val="0"/>
                      <w:sz w:val="18"/>
                      <w:szCs w:val="18"/>
                    </w:rPr>
                    <w:t>余家头</w:t>
                  </w:r>
                  <w:r>
                    <w:rPr>
                      <w:kern w:val="0"/>
                      <w:sz w:val="18"/>
                      <w:szCs w:val="18"/>
                    </w:rPr>
                    <w:t>水厂饮用水水源</w:t>
                  </w:r>
                  <w:r>
                    <w:rPr>
                      <w:rFonts w:hint="eastAsia"/>
                      <w:kern w:val="0"/>
                      <w:sz w:val="18"/>
                      <w:szCs w:val="18"/>
                    </w:rPr>
                    <w:t>二级</w:t>
                  </w:r>
                  <w:r>
                    <w:rPr>
                      <w:kern w:val="0"/>
                      <w:sz w:val="18"/>
                      <w:szCs w:val="18"/>
                    </w:rPr>
                    <w:t>保护区</w:t>
                  </w:r>
                </w:p>
              </w:tc>
              <w:tc>
                <w:tcPr>
                  <w:tcW w:w="780" w:type="pct"/>
                  <w:vAlign w:val="center"/>
                </w:tcPr>
                <w:p w14:paraId="1072361D">
                  <w:pPr>
                    <w:jc w:val="center"/>
                    <w:rPr>
                      <w:color w:val="000000"/>
                      <w:sz w:val="18"/>
                      <w:szCs w:val="18"/>
                    </w:rPr>
                  </w:pPr>
                  <w:r>
                    <w:rPr>
                      <w:rFonts w:hint="eastAsia"/>
                      <w:kern w:val="0"/>
                      <w:sz w:val="18"/>
                      <w:szCs w:val="18"/>
                    </w:rPr>
                    <w:t>/</w:t>
                  </w:r>
                </w:p>
              </w:tc>
              <w:tc>
                <w:tcPr>
                  <w:tcW w:w="489" w:type="pct"/>
                  <w:vMerge w:val="continue"/>
                  <w:vAlign w:val="center"/>
                </w:tcPr>
                <w:p w14:paraId="06CD559E">
                  <w:pPr>
                    <w:jc w:val="center"/>
                    <w:rPr>
                      <w:color w:val="000000"/>
                      <w:sz w:val="18"/>
                      <w:szCs w:val="18"/>
                    </w:rPr>
                  </w:pPr>
                </w:p>
              </w:tc>
              <w:tc>
                <w:tcPr>
                  <w:tcW w:w="863" w:type="pct"/>
                  <w:vAlign w:val="center"/>
                </w:tcPr>
                <w:p w14:paraId="283D3617">
                  <w:pPr>
                    <w:jc w:val="center"/>
                    <w:rPr>
                      <w:color w:val="000000"/>
                      <w:sz w:val="18"/>
                      <w:szCs w:val="18"/>
                    </w:rPr>
                  </w:pPr>
                  <w:r>
                    <w:rPr>
                      <w:rFonts w:hint="eastAsia"/>
                      <w:kern w:val="0"/>
                      <w:sz w:val="18"/>
                      <w:szCs w:val="18"/>
                    </w:rPr>
                    <w:t>距本项目最近距离6.2</w:t>
                  </w:r>
                  <w:r>
                    <w:rPr>
                      <w:kern w:val="0"/>
                      <w:sz w:val="18"/>
                      <w:szCs w:val="18"/>
                    </w:rPr>
                    <w:t>km</w:t>
                  </w:r>
                </w:p>
              </w:tc>
              <w:tc>
                <w:tcPr>
                  <w:tcW w:w="816" w:type="pct"/>
                  <w:vMerge w:val="continue"/>
                  <w:vAlign w:val="center"/>
                </w:tcPr>
                <w:p w14:paraId="26B66595">
                  <w:pPr>
                    <w:adjustRightInd w:val="0"/>
                    <w:snapToGrid w:val="0"/>
                    <w:spacing w:line="240" w:lineRule="exact"/>
                    <w:jc w:val="center"/>
                    <w:rPr>
                      <w:color w:val="000000"/>
                      <w:sz w:val="18"/>
                      <w:szCs w:val="18"/>
                    </w:rPr>
                  </w:pPr>
                </w:p>
              </w:tc>
            </w:tr>
            <w:tr w14:paraId="60A899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637" w:type="pct"/>
                  <w:tcBorders>
                    <w:top w:val="single" w:color="auto" w:sz="4" w:space="0"/>
                    <w:bottom w:val="single" w:color="auto" w:sz="12" w:space="0"/>
                  </w:tcBorders>
                  <w:vAlign w:val="center"/>
                </w:tcPr>
                <w:p w14:paraId="1E06A345">
                  <w:pPr>
                    <w:adjustRightInd w:val="0"/>
                    <w:snapToGrid w:val="0"/>
                    <w:spacing w:line="240" w:lineRule="exact"/>
                    <w:jc w:val="center"/>
                    <w:rPr>
                      <w:color w:val="000000"/>
                      <w:sz w:val="18"/>
                      <w:szCs w:val="18"/>
                    </w:rPr>
                  </w:pPr>
                  <w:r>
                    <w:rPr>
                      <w:rFonts w:hint="eastAsia"/>
                      <w:color w:val="000000"/>
                      <w:sz w:val="18"/>
                      <w:szCs w:val="18"/>
                    </w:rPr>
                    <w:t>声环境</w:t>
                  </w:r>
                </w:p>
              </w:tc>
              <w:tc>
                <w:tcPr>
                  <w:tcW w:w="4362" w:type="pct"/>
                  <w:gridSpan w:val="5"/>
                  <w:tcBorders>
                    <w:top w:val="single" w:color="auto" w:sz="4" w:space="0"/>
                    <w:bottom w:val="single" w:color="auto" w:sz="12" w:space="0"/>
                  </w:tcBorders>
                  <w:vAlign w:val="center"/>
                </w:tcPr>
                <w:p w14:paraId="0333DF1F">
                  <w:pPr>
                    <w:adjustRightInd w:val="0"/>
                    <w:snapToGrid w:val="0"/>
                    <w:spacing w:line="240" w:lineRule="exact"/>
                    <w:jc w:val="center"/>
                    <w:rPr>
                      <w:color w:val="000000"/>
                      <w:sz w:val="18"/>
                      <w:szCs w:val="18"/>
                    </w:rPr>
                  </w:pPr>
                  <w:r>
                    <w:rPr>
                      <w:rFonts w:hint="eastAsia"/>
                      <w:color w:val="000000"/>
                      <w:sz w:val="18"/>
                      <w:szCs w:val="18"/>
                    </w:rPr>
                    <w:t>项目厂界外50 米范围内无声环境保护目标</w:t>
                  </w:r>
                </w:p>
              </w:tc>
            </w:tr>
          </w:tbl>
          <w:p w14:paraId="60215999">
            <w:pPr>
              <w:keepNext w:val="0"/>
              <w:keepLines w:val="0"/>
              <w:pageBreakBefore w:val="0"/>
              <w:widowControl w:val="0"/>
              <w:kinsoku/>
              <w:wordWrap/>
              <w:overflowPunct/>
              <w:topLinePunct w:val="0"/>
              <w:autoSpaceDE/>
              <w:autoSpaceDN/>
              <w:bidi w:val="0"/>
              <w:adjustRightInd/>
              <w:snapToGrid/>
              <w:spacing w:line="240" w:lineRule="auto"/>
              <w:textAlignment w:val="auto"/>
              <w:rPr>
                <w:szCs w:val="21"/>
              </w:rPr>
            </w:pPr>
            <w:r>
              <w:rPr>
                <w:rFonts w:hint="eastAsia"/>
                <w:b/>
                <w:bCs/>
                <w:sz w:val="20"/>
                <w:szCs w:val="20"/>
              </w:rPr>
              <w:t>*注：工程不涉及饮用水水源保护区范围，工程与上下游饮用水水源保护区位置关系见附图</w:t>
            </w:r>
            <w:r>
              <w:rPr>
                <w:rFonts w:hint="eastAsia"/>
                <w:b/>
                <w:bCs/>
                <w:sz w:val="20"/>
                <w:szCs w:val="20"/>
                <w:lang w:val="en-US" w:eastAsia="zh-CN"/>
              </w:rPr>
              <w:t>5</w:t>
            </w:r>
            <w:r>
              <w:rPr>
                <w:rFonts w:hint="eastAsia"/>
                <w:b/>
                <w:bCs/>
                <w:sz w:val="20"/>
                <w:szCs w:val="20"/>
              </w:rPr>
              <w:t>。</w:t>
            </w:r>
          </w:p>
        </w:tc>
      </w:tr>
      <w:tr w14:paraId="70D2E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8" w:hRule="atLeast"/>
        </w:trPr>
        <w:tc>
          <w:tcPr>
            <w:tcW w:w="817" w:type="dxa"/>
            <w:vAlign w:val="center"/>
          </w:tcPr>
          <w:p w14:paraId="4EA23094">
            <w:pPr>
              <w:spacing w:line="360" w:lineRule="auto"/>
              <w:jc w:val="center"/>
              <w:rPr>
                <w:sz w:val="24"/>
              </w:rPr>
            </w:pPr>
            <w:r>
              <w:rPr>
                <w:rFonts w:hint="eastAsia"/>
                <w:sz w:val="24"/>
              </w:rPr>
              <w:t>调查重点</w:t>
            </w:r>
          </w:p>
        </w:tc>
        <w:tc>
          <w:tcPr>
            <w:tcW w:w="8425" w:type="dxa"/>
            <w:vAlign w:val="center"/>
          </w:tcPr>
          <w:p w14:paraId="39620636">
            <w:pPr>
              <w:spacing w:line="360" w:lineRule="auto"/>
              <w:ind w:firstLine="480" w:firstLineChars="200"/>
              <w:rPr>
                <w:sz w:val="24"/>
              </w:rPr>
            </w:pPr>
            <w:r>
              <w:rPr>
                <w:rFonts w:hint="eastAsia"/>
                <w:sz w:val="24"/>
              </w:rPr>
              <w:t>根据本项目特点及工程性质，本项目为</w:t>
            </w:r>
            <w:r>
              <w:rPr>
                <w:rFonts w:hint="eastAsia"/>
                <w:sz w:val="24"/>
                <w:lang w:eastAsia="zh-CN"/>
              </w:rPr>
              <w:t>武汉港核心区趸船码头改造提升项目（中华路客运码头）</w:t>
            </w:r>
            <w:r>
              <w:rPr>
                <w:rFonts w:hint="eastAsia"/>
                <w:sz w:val="24"/>
              </w:rPr>
              <w:t>，在</w:t>
            </w:r>
            <w:r>
              <w:rPr>
                <w:rFonts w:hint="eastAsia"/>
                <w:sz w:val="24"/>
                <w:lang w:eastAsia="zh-CN"/>
              </w:rPr>
              <w:t>长江右岸，长江大桥下游约400米处水域进行建设，项目的环境敏感点与原环境影响评价无重大变更。项目建设区域不</w:t>
            </w:r>
            <w:r>
              <w:rPr>
                <w:rFonts w:hint="eastAsia"/>
                <w:sz w:val="24"/>
              </w:rPr>
              <w:t>涉及自然保护区、风景名胜区、文物保护单位、饮用水水源保护区、森林公园、地质公园、重要湿地等环境敏感点。</w:t>
            </w:r>
          </w:p>
          <w:p w14:paraId="773F7AD5">
            <w:pPr>
              <w:spacing w:line="360" w:lineRule="auto"/>
              <w:ind w:firstLine="480" w:firstLineChars="200"/>
              <w:rPr>
                <w:sz w:val="24"/>
              </w:rPr>
            </w:pPr>
            <w:r>
              <w:rPr>
                <w:rFonts w:hint="eastAsia"/>
                <w:sz w:val="24"/>
              </w:rPr>
              <w:t>综上，项目调查的重点为施工期与运营期实际产生的环境影响（主要是项目建设造成的生态环境影响、噪声环境影响、大气环境影响、水环境影响）；环境影响评价文件及环境影响审批文件中提出的环保设施与要求的落实情况；调查本工程采取的生态保护、水土保持、污染控制等措施的有效性。</w:t>
            </w:r>
          </w:p>
          <w:p w14:paraId="0ABB9D4B">
            <w:pPr>
              <w:spacing w:line="360" w:lineRule="auto"/>
              <w:ind w:firstLine="480" w:firstLineChars="200"/>
              <w:rPr>
                <w:sz w:val="24"/>
              </w:rPr>
            </w:pPr>
          </w:p>
          <w:p w14:paraId="53123E03">
            <w:pPr>
              <w:spacing w:line="360" w:lineRule="auto"/>
              <w:ind w:firstLine="480" w:firstLineChars="200"/>
              <w:rPr>
                <w:sz w:val="24"/>
              </w:rPr>
            </w:pPr>
          </w:p>
          <w:p w14:paraId="06F29B14">
            <w:pPr>
              <w:spacing w:line="360" w:lineRule="auto"/>
              <w:ind w:firstLine="480" w:firstLineChars="200"/>
              <w:rPr>
                <w:sz w:val="24"/>
              </w:rPr>
            </w:pPr>
          </w:p>
          <w:p w14:paraId="25AAE8BB">
            <w:pPr>
              <w:spacing w:line="360" w:lineRule="auto"/>
              <w:ind w:firstLine="480" w:firstLineChars="200"/>
              <w:rPr>
                <w:sz w:val="24"/>
              </w:rPr>
            </w:pPr>
          </w:p>
          <w:p w14:paraId="04EC36CE">
            <w:pPr>
              <w:spacing w:line="360" w:lineRule="auto"/>
              <w:ind w:firstLine="480" w:firstLineChars="200"/>
              <w:rPr>
                <w:sz w:val="24"/>
              </w:rPr>
            </w:pPr>
          </w:p>
          <w:p w14:paraId="409B03D3">
            <w:pPr>
              <w:spacing w:line="360" w:lineRule="auto"/>
              <w:ind w:firstLine="480" w:firstLineChars="200"/>
              <w:rPr>
                <w:sz w:val="24"/>
              </w:rPr>
            </w:pPr>
          </w:p>
          <w:p w14:paraId="49A7DE73">
            <w:pPr>
              <w:spacing w:line="360" w:lineRule="auto"/>
              <w:ind w:firstLine="480" w:firstLineChars="200"/>
              <w:rPr>
                <w:sz w:val="24"/>
              </w:rPr>
            </w:pPr>
          </w:p>
          <w:p w14:paraId="3F450D47">
            <w:pPr>
              <w:spacing w:line="360" w:lineRule="auto"/>
              <w:ind w:firstLine="480" w:firstLineChars="200"/>
              <w:rPr>
                <w:sz w:val="24"/>
              </w:rPr>
            </w:pPr>
          </w:p>
          <w:p w14:paraId="790F2638">
            <w:pPr>
              <w:spacing w:line="360" w:lineRule="auto"/>
              <w:ind w:firstLine="480" w:firstLineChars="200"/>
              <w:rPr>
                <w:sz w:val="24"/>
              </w:rPr>
            </w:pPr>
          </w:p>
          <w:p w14:paraId="4B868E10">
            <w:pPr>
              <w:spacing w:line="360" w:lineRule="auto"/>
              <w:ind w:firstLine="480" w:firstLineChars="200"/>
              <w:rPr>
                <w:sz w:val="24"/>
              </w:rPr>
            </w:pPr>
          </w:p>
          <w:p w14:paraId="78887362">
            <w:pPr>
              <w:spacing w:line="360" w:lineRule="auto"/>
              <w:ind w:firstLine="480" w:firstLineChars="200"/>
              <w:rPr>
                <w:sz w:val="24"/>
              </w:rPr>
            </w:pPr>
          </w:p>
          <w:p w14:paraId="74164055">
            <w:pPr>
              <w:spacing w:line="360" w:lineRule="auto"/>
              <w:ind w:firstLine="480" w:firstLineChars="200"/>
              <w:rPr>
                <w:sz w:val="24"/>
              </w:rPr>
            </w:pPr>
          </w:p>
        </w:tc>
      </w:tr>
    </w:tbl>
    <w:p w14:paraId="57C61CEA">
      <w:pPr>
        <w:pStyle w:val="4"/>
        <w:rPr>
          <w:color w:val="auto"/>
        </w:rPr>
      </w:pPr>
      <w:bookmarkStart w:id="4" w:name="_Toc520382819"/>
      <w:r>
        <w:rPr>
          <w:rFonts w:ascii="Times New Roman" w:hAnsi="Times New Roman"/>
          <w:color w:val="auto"/>
        </w:rPr>
        <w:t xml:space="preserve">表三  </w:t>
      </w:r>
      <w:r>
        <w:rPr>
          <w:rFonts w:hint="eastAsia" w:ascii="Times New Roman" w:hAnsi="Times New Roman"/>
          <w:color w:val="auto"/>
        </w:rPr>
        <w:t>验收</w:t>
      </w:r>
      <w:r>
        <w:rPr>
          <w:rFonts w:ascii="Times New Roman" w:hAnsi="Times New Roman"/>
          <w:color w:val="auto"/>
        </w:rPr>
        <w:t>执行标准</w:t>
      </w:r>
      <w:bookmarkEnd w:id="4"/>
    </w:p>
    <w:tbl>
      <w:tblPr>
        <w:tblStyle w:val="23"/>
        <w:tblW w:w="92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42"/>
      </w:tblGrid>
      <w:tr w14:paraId="5E356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73" w:hRule="atLeast"/>
          <w:jc w:val="center"/>
        </w:trPr>
        <w:tc>
          <w:tcPr>
            <w:tcW w:w="9242" w:type="dxa"/>
            <w:tcBorders>
              <w:bottom w:val="single" w:color="auto" w:sz="4" w:space="0"/>
            </w:tcBorders>
          </w:tcPr>
          <w:p w14:paraId="154AD72E">
            <w:pPr>
              <w:spacing w:line="360" w:lineRule="auto"/>
              <w:ind w:right="178" w:rightChars="85"/>
              <w:rPr>
                <w:b/>
                <w:sz w:val="24"/>
              </w:rPr>
            </w:pPr>
            <w:r>
              <w:rPr>
                <w:b/>
                <w:sz w:val="24"/>
              </w:rPr>
              <w:t>3.</w:t>
            </w:r>
            <w:r>
              <w:rPr>
                <w:rFonts w:hint="eastAsia"/>
                <w:b/>
                <w:sz w:val="24"/>
              </w:rPr>
              <w:t>1</w:t>
            </w:r>
            <w:r>
              <w:rPr>
                <w:b/>
                <w:sz w:val="24"/>
              </w:rPr>
              <w:t xml:space="preserve"> </w:t>
            </w:r>
            <w:r>
              <w:rPr>
                <w:rFonts w:hint="eastAsia"/>
                <w:b/>
                <w:sz w:val="24"/>
              </w:rPr>
              <w:t>环境质量标准</w:t>
            </w:r>
          </w:p>
          <w:p w14:paraId="7EF95024">
            <w:pPr>
              <w:spacing w:line="336" w:lineRule="auto"/>
              <w:ind w:firstLine="480" w:firstLineChars="200"/>
              <w:rPr>
                <w:sz w:val="24"/>
              </w:rPr>
            </w:pPr>
            <w:r>
              <w:rPr>
                <w:rFonts w:hint="eastAsia"/>
                <w:sz w:val="24"/>
              </w:rPr>
              <w:t>（1）地表水</w:t>
            </w:r>
          </w:p>
          <w:p w14:paraId="0FF61C75">
            <w:pPr>
              <w:spacing w:line="336" w:lineRule="auto"/>
              <w:ind w:firstLine="480" w:firstLineChars="200"/>
            </w:pPr>
            <w:r>
              <w:rPr>
                <w:rFonts w:hint="eastAsia"/>
                <w:sz w:val="24"/>
              </w:rPr>
              <w:t>工程所在</w:t>
            </w:r>
            <w:r>
              <w:rPr>
                <w:rFonts w:hint="eastAsia"/>
                <w:sz w:val="24"/>
                <w:lang w:eastAsia="zh-CN"/>
              </w:rPr>
              <w:t>长江</w:t>
            </w:r>
            <w:r>
              <w:rPr>
                <w:rFonts w:hint="eastAsia"/>
                <w:sz w:val="24"/>
              </w:rPr>
              <w:t>武汉段执行《地表水环境质量标准》</w:t>
            </w:r>
            <w:r>
              <w:rPr>
                <w:sz w:val="24"/>
              </w:rPr>
              <w:t>(GB</w:t>
            </w:r>
            <w:r>
              <w:rPr>
                <w:rFonts w:hint="eastAsia"/>
                <w:sz w:val="24"/>
              </w:rPr>
              <w:t>3838</w:t>
            </w:r>
            <w:r>
              <w:rPr>
                <w:sz w:val="24"/>
              </w:rPr>
              <w:t>-</w:t>
            </w:r>
            <w:r>
              <w:rPr>
                <w:rFonts w:hint="eastAsia"/>
                <w:sz w:val="24"/>
              </w:rPr>
              <w:t>2002</w:t>
            </w:r>
            <w:r>
              <w:rPr>
                <w:sz w:val="24"/>
              </w:rPr>
              <w:t>)</w:t>
            </w:r>
            <w:r>
              <w:rPr>
                <w:rFonts w:hint="eastAsia"/>
                <w:sz w:val="24"/>
              </w:rPr>
              <w:t>Ⅲ类标准，见表3-1。</w:t>
            </w:r>
          </w:p>
          <w:p w14:paraId="199430EF">
            <w:pPr>
              <w:pStyle w:val="51"/>
              <w:wordWrap w:val="0"/>
              <w:jc w:val="right"/>
              <w:rPr>
                <w:rFonts w:ascii="Times New Roman" w:hAnsi="Times New Roman" w:eastAsia="黑体" w:cs="Times New Roman"/>
                <w:b w:val="0"/>
                <w:bCs/>
                <w:color w:val="auto"/>
                <w:sz w:val="21"/>
              </w:rPr>
            </w:pPr>
            <w:r>
              <w:rPr>
                <w:rFonts w:ascii="Times New Roman" w:hAnsi="Times New Roman" w:eastAsia="黑体" w:cs="Times New Roman"/>
                <w:b w:val="0"/>
                <w:bCs/>
                <w:color w:val="auto"/>
                <w:sz w:val="21"/>
              </w:rPr>
              <w:t>表3-1  地表水环境质量标准</w:t>
            </w:r>
            <w:r>
              <w:rPr>
                <w:rFonts w:hint="eastAsia" w:ascii="Times New Roman" w:hAnsi="Times New Roman" w:eastAsia="黑体" w:cs="Times New Roman"/>
                <w:b w:val="0"/>
                <w:bCs/>
                <w:color w:val="auto"/>
                <w:sz w:val="21"/>
              </w:rPr>
              <w:t xml:space="preserve">         </w:t>
            </w:r>
            <w:r>
              <w:rPr>
                <w:rFonts w:ascii="Times New Roman" w:hAnsi="Times New Roman" w:eastAsia="黑体" w:cs="Times New Roman"/>
                <w:b w:val="0"/>
                <w:bCs/>
                <w:color w:val="auto"/>
                <w:sz w:val="21"/>
              </w:rPr>
              <w:t>（单位：mg/L，pH除外）</w:t>
            </w:r>
          </w:p>
          <w:tbl>
            <w:tblPr>
              <w:tblStyle w:val="23"/>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41"/>
              <w:gridCol w:w="2802"/>
              <w:gridCol w:w="2141"/>
              <w:gridCol w:w="2142"/>
            </w:tblGrid>
            <w:tr w14:paraId="0A171B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075" w:type="pct"/>
                  <w:tcBorders>
                    <w:top w:val="single" w:color="auto" w:sz="12" w:space="0"/>
                    <w:bottom w:val="single" w:color="auto" w:sz="4" w:space="0"/>
                  </w:tcBorders>
                  <w:vAlign w:val="center"/>
                </w:tcPr>
                <w:p w14:paraId="1F023E83">
                  <w:pPr>
                    <w:jc w:val="center"/>
                    <w:rPr>
                      <w:sz w:val="18"/>
                      <w:szCs w:val="18"/>
                    </w:rPr>
                  </w:pPr>
                  <w:r>
                    <w:rPr>
                      <w:rFonts w:hint="eastAsia"/>
                      <w:sz w:val="18"/>
                      <w:szCs w:val="18"/>
                    </w:rPr>
                    <w:t>适用类别</w:t>
                  </w:r>
                </w:p>
              </w:tc>
              <w:tc>
                <w:tcPr>
                  <w:tcW w:w="1552" w:type="pct"/>
                  <w:tcBorders>
                    <w:top w:val="single" w:color="auto" w:sz="12" w:space="0"/>
                    <w:bottom w:val="single" w:color="auto" w:sz="4" w:space="0"/>
                  </w:tcBorders>
                  <w:vAlign w:val="center"/>
                </w:tcPr>
                <w:p w14:paraId="2B1B1810">
                  <w:pPr>
                    <w:jc w:val="center"/>
                    <w:rPr>
                      <w:sz w:val="18"/>
                      <w:szCs w:val="18"/>
                    </w:rPr>
                  </w:pPr>
                  <w:r>
                    <w:rPr>
                      <w:rFonts w:hint="eastAsia"/>
                      <w:sz w:val="18"/>
                      <w:szCs w:val="18"/>
                    </w:rPr>
                    <w:t>项    目</w:t>
                  </w:r>
                </w:p>
              </w:tc>
              <w:tc>
                <w:tcPr>
                  <w:tcW w:w="1186" w:type="pct"/>
                  <w:tcBorders>
                    <w:top w:val="single" w:color="auto" w:sz="12" w:space="0"/>
                    <w:bottom w:val="single" w:color="auto" w:sz="4" w:space="0"/>
                  </w:tcBorders>
                  <w:vAlign w:val="center"/>
                </w:tcPr>
                <w:p w14:paraId="3B326CEA">
                  <w:pPr>
                    <w:jc w:val="center"/>
                    <w:rPr>
                      <w:sz w:val="18"/>
                      <w:szCs w:val="18"/>
                    </w:rPr>
                  </w:pPr>
                  <w:r>
                    <w:rPr>
                      <w:rFonts w:hint="eastAsia"/>
                      <w:sz w:val="18"/>
                      <w:szCs w:val="18"/>
                    </w:rPr>
                    <w:t>Ⅲ类</w:t>
                  </w:r>
                </w:p>
              </w:tc>
              <w:tc>
                <w:tcPr>
                  <w:tcW w:w="1186" w:type="pct"/>
                  <w:tcBorders>
                    <w:top w:val="single" w:color="auto" w:sz="12" w:space="0"/>
                    <w:bottom w:val="single" w:color="auto" w:sz="4" w:space="0"/>
                  </w:tcBorders>
                  <w:vAlign w:val="center"/>
                </w:tcPr>
                <w:p w14:paraId="2E7CD3FF">
                  <w:pPr>
                    <w:jc w:val="center"/>
                    <w:rPr>
                      <w:sz w:val="18"/>
                      <w:szCs w:val="18"/>
                    </w:rPr>
                  </w:pPr>
                  <w:r>
                    <w:rPr>
                      <w:rFonts w:hint="eastAsia"/>
                      <w:sz w:val="18"/>
                      <w:szCs w:val="18"/>
                    </w:rPr>
                    <w:t>适用区域</w:t>
                  </w:r>
                </w:p>
              </w:tc>
            </w:tr>
            <w:tr w14:paraId="262378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075" w:type="pct"/>
                  <w:vMerge w:val="restart"/>
                  <w:tcBorders>
                    <w:top w:val="single" w:color="auto" w:sz="4" w:space="0"/>
                  </w:tcBorders>
                  <w:vAlign w:val="center"/>
                </w:tcPr>
                <w:p w14:paraId="04134FCF">
                  <w:pPr>
                    <w:jc w:val="center"/>
                    <w:rPr>
                      <w:sz w:val="18"/>
                      <w:szCs w:val="18"/>
                    </w:rPr>
                  </w:pPr>
                  <w:r>
                    <w:rPr>
                      <w:rFonts w:hint="eastAsia"/>
                      <w:sz w:val="18"/>
                      <w:szCs w:val="18"/>
                    </w:rPr>
                    <w:t>Ⅲ类水域</w:t>
                  </w:r>
                </w:p>
              </w:tc>
              <w:tc>
                <w:tcPr>
                  <w:tcW w:w="1552" w:type="pct"/>
                  <w:tcBorders>
                    <w:top w:val="single" w:color="auto" w:sz="4" w:space="0"/>
                  </w:tcBorders>
                  <w:vAlign w:val="center"/>
                </w:tcPr>
                <w:p w14:paraId="57070E28">
                  <w:pPr>
                    <w:jc w:val="center"/>
                    <w:rPr>
                      <w:sz w:val="18"/>
                      <w:szCs w:val="18"/>
                    </w:rPr>
                  </w:pPr>
                  <w:r>
                    <w:rPr>
                      <w:sz w:val="18"/>
                      <w:szCs w:val="18"/>
                    </w:rPr>
                    <w:t>pH值（无量纲）</w:t>
                  </w:r>
                </w:p>
              </w:tc>
              <w:tc>
                <w:tcPr>
                  <w:tcW w:w="1186" w:type="pct"/>
                  <w:tcBorders>
                    <w:top w:val="single" w:color="auto" w:sz="4" w:space="0"/>
                  </w:tcBorders>
                  <w:vAlign w:val="center"/>
                </w:tcPr>
                <w:p w14:paraId="50D191A5">
                  <w:pPr>
                    <w:jc w:val="center"/>
                    <w:rPr>
                      <w:sz w:val="18"/>
                      <w:szCs w:val="18"/>
                    </w:rPr>
                  </w:pPr>
                  <w:r>
                    <w:rPr>
                      <w:sz w:val="18"/>
                      <w:szCs w:val="18"/>
                    </w:rPr>
                    <w:t>6～9</w:t>
                  </w:r>
                </w:p>
              </w:tc>
              <w:tc>
                <w:tcPr>
                  <w:tcW w:w="1186" w:type="pct"/>
                  <w:vMerge w:val="restart"/>
                  <w:tcBorders>
                    <w:top w:val="single" w:color="auto" w:sz="4" w:space="0"/>
                  </w:tcBorders>
                  <w:vAlign w:val="center"/>
                </w:tcPr>
                <w:p w14:paraId="249C3AC4">
                  <w:pPr>
                    <w:jc w:val="center"/>
                    <w:rPr>
                      <w:sz w:val="18"/>
                      <w:szCs w:val="18"/>
                    </w:rPr>
                  </w:pPr>
                  <w:r>
                    <w:rPr>
                      <w:rFonts w:hint="eastAsia"/>
                      <w:sz w:val="18"/>
                      <w:szCs w:val="18"/>
                      <w:lang w:eastAsia="zh-CN"/>
                    </w:rPr>
                    <w:t>长</w:t>
                  </w:r>
                  <w:r>
                    <w:rPr>
                      <w:rFonts w:hint="eastAsia"/>
                      <w:sz w:val="18"/>
                      <w:szCs w:val="18"/>
                    </w:rPr>
                    <w:t>江（武汉段）</w:t>
                  </w:r>
                </w:p>
              </w:tc>
            </w:tr>
            <w:tr w14:paraId="6682C6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075" w:type="pct"/>
                  <w:vMerge w:val="continue"/>
                  <w:vAlign w:val="center"/>
                </w:tcPr>
                <w:p w14:paraId="11A60B40">
                  <w:pPr>
                    <w:jc w:val="center"/>
                    <w:rPr>
                      <w:sz w:val="18"/>
                      <w:szCs w:val="18"/>
                    </w:rPr>
                  </w:pPr>
                </w:p>
              </w:tc>
              <w:tc>
                <w:tcPr>
                  <w:tcW w:w="1552" w:type="pct"/>
                  <w:vAlign w:val="center"/>
                </w:tcPr>
                <w:p w14:paraId="69027E88">
                  <w:pPr>
                    <w:jc w:val="center"/>
                    <w:rPr>
                      <w:sz w:val="18"/>
                      <w:szCs w:val="18"/>
                    </w:rPr>
                  </w:pPr>
                  <w:r>
                    <w:rPr>
                      <w:sz w:val="18"/>
                      <w:szCs w:val="18"/>
                    </w:rPr>
                    <w:t>COD</w:t>
                  </w:r>
                </w:p>
              </w:tc>
              <w:tc>
                <w:tcPr>
                  <w:tcW w:w="1186" w:type="pct"/>
                  <w:vAlign w:val="center"/>
                </w:tcPr>
                <w:p w14:paraId="23E60A0F">
                  <w:pPr>
                    <w:jc w:val="center"/>
                    <w:rPr>
                      <w:sz w:val="18"/>
                      <w:szCs w:val="18"/>
                    </w:rPr>
                  </w:pPr>
                  <w:r>
                    <w:rPr>
                      <w:sz w:val="18"/>
                      <w:szCs w:val="18"/>
                    </w:rPr>
                    <w:t>20</w:t>
                  </w:r>
                </w:p>
              </w:tc>
              <w:tc>
                <w:tcPr>
                  <w:tcW w:w="1186" w:type="pct"/>
                  <w:vMerge w:val="continue"/>
                  <w:vAlign w:val="center"/>
                </w:tcPr>
                <w:p w14:paraId="6E70EEBF">
                  <w:pPr>
                    <w:jc w:val="center"/>
                    <w:rPr>
                      <w:sz w:val="18"/>
                      <w:szCs w:val="18"/>
                    </w:rPr>
                  </w:pPr>
                </w:p>
              </w:tc>
            </w:tr>
            <w:tr w14:paraId="4BC833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075" w:type="pct"/>
                  <w:vMerge w:val="continue"/>
                  <w:vAlign w:val="center"/>
                </w:tcPr>
                <w:p w14:paraId="0AFC6A98">
                  <w:pPr>
                    <w:jc w:val="center"/>
                    <w:rPr>
                      <w:sz w:val="18"/>
                      <w:szCs w:val="18"/>
                    </w:rPr>
                  </w:pPr>
                </w:p>
              </w:tc>
              <w:tc>
                <w:tcPr>
                  <w:tcW w:w="1552" w:type="pct"/>
                  <w:vAlign w:val="center"/>
                </w:tcPr>
                <w:p w14:paraId="69FDC359">
                  <w:pPr>
                    <w:jc w:val="center"/>
                    <w:rPr>
                      <w:sz w:val="18"/>
                      <w:szCs w:val="18"/>
                    </w:rPr>
                  </w:pPr>
                  <w:r>
                    <w:rPr>
                      <w:sz w:val="18"/>
                      <w:szCs w:val="18"/>
                    </w:rPr>
                    <w:t>BOD</w:t>
                  </w:r>
                  <w:r>
                    <w:rPr>
                      <w:sz w:val="18"/>
                      <w:szCs w:val="18"/>
                      <w:vertAlign w:val="subscript"/>
                    </w:rPr>
                    <w:t>5</w:t>
                  </w:r>
                </w:p>
              </w:tc>
              <w:tc>
                <w:tcPr>
                  <w:tcW w:w="1186" w:type="pct"/>
                  <w:vAlign w:val="center"/>
                </w:tcPr>
                <w:p w14:paraId="03562BC7">
                  <w:pPr>
                    <w:jc w:val="center"/>
                    <w:rPr>
                      <w:sz w:val="18"/>
                      <w:szCs w:val="18"/>
                    </w:rPr>
                  </w:pPr>
                  <w:r>
                    <w:rPr>
                      <w:sz w:val="18"/>
                      <w:szCs w:val="18"/>
                    </w:rPr>
                    <w:t>4</w:t>
                  </w:r>
                </w:p>
              </w:tc>
              <w:tc>
                <w:tcPr>
                  <w:tcW w:w="1186" w:type="pct"/>
                  <w:vMerge w:val="continue"/>
                  <w:vAlign w:val="center"/>
                </w:tcPr>
                <w:p w14:paraId="789C0A3F">
                  <w:pPr>
                    <w:jc w:val="center"/>
                    <w:rPr>
                      <w:sz w:val="18"/>
                      <w:szCs w:val="18"/>
                    </w:rPr>
                  </w:pPr>
                </w:p>
              </w:tc>
            </w:tr>
            <w:tr w14:paraId="3190FE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075" w:type="pct"/>
                  <w:vMerge w:val="continue"/>
                  <w:vAlign w:val="center"/>
                </w:tcPr>
                <w:p w14:paraId="1F861476">
                  <w:pPr>
                    <w:jc w:val="center"/>
                    <w:rPr>
                      <w:sz w:val="18"/>
                      <w:szCs w:val="18"/>
                    </w:rPr>
                  </w:pPr>
                </w:p>
              </w:tc>
              <w:tc>
                <w:tcPr>
                  <w:tcW w:w="1552" w:type="pct"/>
                  <w:vAlign w:val="center"/>
                </w:tcPr>
                <w:p w14:paraId="15AC61F1">
                  <w:pPr>
                    <w:jc w:val="center"/>
                    <w:rPr>
                      <w:sz w:val="18"/>
                      <w:szCs w:val="18"/>
                    </w:rPr>
                  </w:pPr>
                  <w:r>
                    <w:rPr>
                      <w:sz w:val="18"/>
                      <w:szCs w:val="18"/>
                    </w:rPr>
                    <w:t>石油类</w:t>
                  </w:r>
                </w:p>
              </w:tc>
              <w:tc>
                <w:tcPr>
                  <w:tcW w:w="1186" w:type="pct"/>
                  <w:vAlign w:val="center"/>
                </w:tcPr>
                <w:p w14:paraId="1B3CA55C">
                  <w:pPr>
                    <w:jc w:val="center"/>
                    <w:rPr>
                      <w:sz w:val="18"/>
                      <w:szCs w:val="18"/>
                    </w:rPr>
                  </w:pPr>
                  <w:r>
                    <w:rPr>
                      <w:sz w:val="18"/>
                      <w:szCs w:val="18"/>
                    </w:rPr>
                    <w:t>0.05</w:t>
                  </w:r>
                </w:p>
              </w:tc>
              <w:tc>
                <w:tcPr>
                  <w:tcW w:w="1186" w:type="pct"/>
                  <w:vMerge w:val="continue"/>
                  <w:vAlign w:val="center"/>
                </w:tcPr>
                <w:p w14:paraId="30379320">
                  <w:pPr>
                    <w:jc w:val="center"/>
                    <w:rPr>
                      <w:sz w:val="18"/>
                      <w:szCs w:val="18"/>
                    </w:rPr>
                  </w:pPr>
                </w:p>
              </w:tc>
            </w:tr>
            <w:tr w14:paraId="0BCFD1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075" w:type="pct"/>
                  <w:vMerge w:val="continue"/>
                  <w:vAlign w:val="center"/>
                </w:tcPr>
                <w:p w14:paraId="069444EE">
                  <w:pPr>
                    <w:jc w:val="center"/>
                    <w:rPr>
                      <w:sz w:val="18"/>
                      <w:szCs w:val="18"/>
                    </w:rPr>
                  </w:pPr>
                </w:p>
              </w:tc>
              <w:tc>
                <w:tcPr>
                  <w:tcW w:w="1552" w:type="pct"/>
                  <w:vAlign w:val="center"/>
                </w:tcPr>
                <w:p w14:paraId="00035CA0">
                  <w:pPr>
                    <w:jc w:val="center"/>
                    <w:rPr>
                      <w:sz w:val="18"/>
                      <w:szCs w:val="18"/>
                    </w:rPr>
                  </w:pPr>
                  <w:r>
                    <w:rPr>
                      <w:sz w:val="18"/>
                      <w:szCs w:val="18"/>
                    </w:rPr>
                    <w:t>氨氮</w:t>
                  </w:r>
                </w:p>
              </w:tc>
              <w:tc>
                <w:tcPr>
                  <w:tcW w:w="1186" w:type="pct"/>
                  <w:vAlign w:val="center"/>
                </w:tcPr>
                <w:p w14:paraId="61632BFD">
                  <w:pPr>
                    <w:jc w:val="center"/>
                    <w:rPr>
                      <w:sz w:val="18"/>
                      <w:szCs w:val="18"/>
                    </w:rPr>
                  </w:pPr>
                  <w:r>
                    <w:rPr>
                      <w:sz w:val="18"/>
                      <w:szCs w:val="18"/>
                    </w:rPr>
                    <w:t>1.0</w:t>
                  </w:r>
                </w:p>
              </w:tc>
              <w:tc>
                <w:tcPr>
                  <w:tcW w:w="1186" w:type="pct"/>
                  <w:vMerge w:val="continue"/>
                  <w:vAlign w:val="center"/>
                </w:tcPr>
                <w:p w14:paraId="0D657DEA">
                  <w:pPr>
                    <w:jc w:val="center"/>
                    <w:rPr>
                      <w:sz w:val="18"/>
                      <w:szCs w:val="18"/>
                    </w:rPr>
                  </w:pPr>
                </w:p>
              </w:tc>
            </w:tr>
          </w:tbl>
          <w:p w14:paraId="41AC9BB1">
            <w:pPr>
              <w:spacing w:line="336" w:lineRule="auto"/>
              <w:ind w:firstLine="480" w:firstLineChars="200"/>
              <w:rPr>
                <w:sz w:val="24"/>
              </w:rPr>
            </w:pPr>
            <w:r>
              <w:rPr>
                <w:rFonts w:hint="eastAsia"/>
                <w:sz w:val="24"/>
              </w:rPr>
              <w:t>（2）环境空气</w:t>
            </w:r>
          </w:p>
          <w:p w14:paraId="0A1A4687">
            <w:pPr>
              <w:spacing w:line="336" w:lineRule="auto"/>
              <w:ind w:firstLine="480" w:firstLineChars="200"/>
              <w:rPr>
                <w:sz w:val="24"/>
              </w:rPr>
            </w:pPr>
            <w:r>
              <w:rPr>
                <w:rFonts w:hint="eastAsia"/>
                <w:sz w:val="24"/>
              </w:rPr>
              <w:t>工程所在区域环境空气</w:t>
            </w:r>
            <w:r>
              <w:rPr>
                <w:sz w:val="24"/>
              </w:rPr>
              <w:t>质量</w:t>
            </w:r>
            <w:r>
              <w:rPr>
                <w:rFonts w:hint="eastAsia"/>
                <w:sz w:val="24"/>
              </w:rPr>
              <w:t>执行</w:t>
            </w:r>
            <w:r>
              <w:rPr>
                <w:sz w:val="24"/>
              </w:rPr>
              <w:t>《环境空气质量标准》（GB3095-</w:t>
            </w:r>
            <w:r>
              <w:rPr>
                <w:rFonts w:hint="eastAsia"/>
                <w:sz w:val="24"/>
              </w:rPr>
              <w:t>2012</w:t>
            </w:r>
            <w:r>
              <w:rPr>
                <w:sz w:val="24"/>
              </w:rPr>
              <w:t>）二级标准，具体见表</w:t>
            </w:r>
            <w:r>
              <w:rPr>
                <w:rFonts w:hint="eastAsia"/>
                <w:sz w:val="24"/>
              </w:rPr>
              <w:t>3-2</w:t>
            </w:r>
            <w:r>
              <w:rPr>
                <w:sz w:val="24"/>
              </w:rPr>
              <w:t>。</w:t>
            </w:r>
          </w:p>
          <w:p w14:paraId="0ED5E9F1">
            <w:pPr>
              <w:pStyle w:val="51"/>
              <w:rPr>
                <w:rFonts w:ascii="Times New Roman" w:hAnsi="Times New Roman" w:eastAsia="黑体" w:cs="Times New Roman"/>
                <w:b w:val="0"/>
                <w:bCs/>
                <w:color w:val="auto"/>
                <w:sz w:val="21"/>
              </w:rPr>
            </w:pPr>
            <w:r>
              <w:rPr>
                <w:rFonts w:hint="eastAsia" w:ascii="Times New Roman" w:hAnsi="Times New Roman" w:eastAsia="黑体" w:cs="Times New Roman"/>
                <w:b w:val="0"/>
                <w:bCs/>
                <w:color w:val="auto"/>
                <w:sz w:val="21"/>
              </w:rPr>
              <w:t xml:space="preserve">表3-2 </w:t>
            </w:r>
            <w:r>
              <w:rPr>
                <w:rFonts w:ascii="Times New Roman" w:hAnsi="Times New Roman" w:eastAsia="黑体" w:cs="Times New Roman"/>
                <w:b w:val="0"/>
                <w:bCs/>
                <w:color w:val="auto"/>
                <w:sz w:val="21"/>
              </w:rPr>
              <w:t xml:space="preserve"> 环境空气质量评价标准</w:t>
            </w:r>
          </w:p>
          <w:tbl>
            <w:tblPr>
              <w:tblStyle w:val="23"/>
              <w:tblW w:w="9026" w:type="dxa"/>
              <w:tblInd w:w="0" w:type="dxa"/>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108" w:type="dxa"/>
                <w:bottom w:w="0" w:type="dxa"/>
                <w:right w:w="108" w:type="dxa"/>
              </w:tblCellMar>
            </w:tblPr>
            <w:tblGrid>
              <w:gridCol w:w="1738"/>
              <w:gridCol w:w="3266"/>
              <w:gridCol w:w="4022"/>
            </w:tblGrid>
            <w:tr w14:paraId="1BA27662">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exact"/>
              </w:trPr>
              <w:tc>
                <w:tcPr>
                  <w:tcW w:w="1738" w:type="dxa"/>
                  <w:tcBorders>
                    <w:top w:val="single" w:color="auto" w:sz="12" w:space="0"/>
                    <w:bottom w:val="single" w:color="auto" w:sz="2" w:space="0"/>
                  </w:tcBorders>
                  <w:vAlign w:val="center"/>
                </w:tcPr>
                <w:p w14:paraId="6C95F4B6">
                  <w:pPr>
                    <w:pStyle w:val="44"/>
                    <w:snapToGrid w:val="0"/>
                    <w:spacing w:line="240" w:lineRule="auto"/>
                    <w:jc w:val="center"/>
                    <w:rPr>
                      <w:color w:val="auto"/>
                      <w:szCs w:val="18"/>
                    </w:rPr>
                  </w:pPr>
                  <w:r>
                    <w:rPr>
                      <w:color w:val="auto"/>
                      <w:szCs w:val="18"/>
                    </w:rPr>
                    <w:t>项目</w:t>
                  </w:r>
                </w:p>
              </w:tc>
              <w:tc>
                <w:tcPr>
                  <w:tcW w:w="3266" w:type="dxa"/>
                  <w:tcBorders>
                    <w:top w:val="single" w:color="auto" w:sz="12" w:space="0"/>
                    <w:bottom w:val="single" w:color="auto" w:sz="2" w:space="0"/>
                  </w:tcBorders>
                  <w:vAlign w:val="center"/>
                </w:tcPr>
                <w:p w14:paraId="44A50615">
                  <w:pPr>
                    <w:pStyle w:val="44"/>
                    <w:snapToGrid w:val="0"/>
                    <w:spacing w:line="240" w:lineRule="auto"/>
                    <w:jc w:val="center"/>
                    <w:rPr>
                      <w:color w:val="auto"/>
                      <w:szCs w:val="18"/>
                    </w:rPr>
                  </w:pPr>
                  <w:r>
                    <w:rPr>
                      <w:color w:val="auto"/>
                      <w:szCs w:val="18"/>
                    </w:rPr>
                    <w:t>指标</w:t>
                  </w:r>
                </w:p>
              </w:tc>
              <w:tc>
                <w:tcPr>
                  <w:tcW w:w="4022" w:type="dxa"/>
                  <w:tcBorders>
                    <w:top w:val="single" w:color="auto" w:sz="12" w:space="0"/>
                    <w:bottom w:val="single" w:color="auto" w:sz="2" w:space="0"/>
                  </w:tcBorders>
                  <w:vAlign w:val="center"/>
                </w:tcPr>
                <w:p w14:paraId="3F0D4407">
                  <w:pPr>
                    <w:pStyle w:val="44"/>
                    <w:snapToGrid w:val="0"/>
                    <w:spacing w:line="240" w:lineRule="auto"/>
                    <w:jc w:val="center"/>
                    <w:rPr>
                      <w:color w:val="auto"/>
                      <w:szCs w:val="18"/>
                    </w:rPr>
                  </w:pPr>
                  <w:r>
                    <w:rPr>
                      <w:color w:val="auto"/>
                      <w:szCs w:val="18"/>
                    </w:rPr>
                    <w:t>浓度限值</w:t>
                  </w:r>
                </w:p>
              </w:tc>
            </w:tr>
            <w:tr w14:paraId="15E81D71">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exact"/>
              </w:trPr>
              <w:tc>
                <w:tcPr>
                  <w:tcW w:w="1738" w:type="dxa"/>
                  <w:vMerge w:val="restart"/>
                  <w:tcBorders>
                    <w:top w:val="single" w:color="auto" w:sz="2" w:space="0"/>
                  </w:tcBorders>
                  <w:vAlign w:val="center"/>
                </w:tcPr>
                <w:p w14:paraId="349A4445">
                  <w:pPr>
                    <w:pStyle w:val="44"/>
                    <w:snapToGrid w:val="0"/>
                    <w:spacing w:line="240" w:lineRule="auto"/>
                    <w:jc w:val="center"/>
                    <w:rPr>
                      <w:color w:val="auto"/>
                      <w:szCs w:val="18"/>
                    </w:rPr>
                  </w:pPr>
                  <w:r>
                    <w:rPr>
                      <w:color w:val="auto"/>
                      <w:szCs w:val="18"/>
                    </w:rPr>
                    <w:t>SO</w:t>
                  </w:r>
                  <w:r>
                    <w:rPr>
                      <w:color w:val="auto"/>
                      <w:szCs w:val="18"/>
                      <w:vertAlign w:val="subscript"/>
                    </w:rPr>
                    <w:t>2</w:t>
                  </w:r>
                </w:p>
              </w:tc>
              <w:tc>
                <w:tcPr>
                  <w:tcW w:w="3266" w:type="dxa"/>
                  <w:tcBorders>
                    <w:top w:val="single" w:color="auto" w:sz="2" w:space="0"/>
                  </w:tcBorders>
                  <w:vAlign w:val="center"/>
                </w:tcPr>
                <w:p w14:paraId="56F2E5E1">
                  <w:pPr>
                    <w:pStyle w:val="44"/>
                    <w:snapToGrid w:val="0"/>
                    <w:spacing w:line="240" w:lineRule="auto"/>
                    <w:jc w:val="center"/>
                    <w:rPr>
                      <w:color w:val="auto"/>
                      <w:szCs w:val="18"/>
                    </w:rPr>
                  </w:pPr>
                  <w:r>
                    <w:rPr>
                      <w:color w:val="auto"/>
                      <w:szCs w:val="18"/>
                    </w:rPr>
                    <w:t>年平均</w:t>
                  </w:r>
                </w:p>
              </w:tc>
              <w:tc>
                <w:tcPr>
                  <w:tcW w:w="4022" w:type="dxa"/>
                  <w:tcBorders>
                    <w:top w:val="single" w:color="auto" w:sz="2" w:space="0"/>
                  </w:tcBorders>
                  <w:vAlign w:val="center"/>
                </w:tcPr>
                <w:p w14:paraId="51EC8FEF">
                  <w:pPr>
                    <w:pStyle w:val="44"/>
                    <w:snapToGrid w:val="0"/>
                    <w:spacing w:line="240" w:lineRule="auto"/>
                    <w:jc w:val="center"/>
                    <w:rPr>
                      <w:color w:val="auto"/>
                      <w:szCs w:val="18"/>
                    </w:rPr>
                  </w:pPr>
                  <w:r>
                    <w:rPr>
                      <w:color w:val="auto"/>
                      <w:szCs w:val="18"/>
                    </w:rPr>
                    <w:t>60（μg/m</w:t>
                  </w:r>
                  <w:r>
                    <w:rPr>
                      <w:color w:val="auto"/>
                      <w:szCs w:val="18"/>
                      <w:vertAlign w:val="superscript"/>
                    </w:rPr>
                    <w:t>3</w:t>
                  </w:r>
                  <w:r>
                    <w:rPr>
                      <w:color w:val="auto"/>
                      <w:szCs w:val="18"/>
                    </w:rPr>
                    <w:t>）</w:t>
                  </w:r>
                </w:p>
              </w:tc>
            </w:tr>
            <w:tr w14:paraId="458A11CA">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exact"/>
              </w:trPr>
              <w:tc>
                <w:tcPr>
                  <w:tcW w:w="1738" w:type="dxa"/>
                  <w:vMerge w:val="continue"/>
                  <w:vAlign w:val="center"/>
                </w:tcPr>
                <w:p w14:paraId="3252978C">
                  <w:pPr>
                    <w:pStyle w:val="44"/>
                    <w:snapToGrid w:val="0"/>
                    <w:spacing w:line="240" w:lineRule="auto"/>
                    <w:jc w:val="center"/>
                    <w:rPr>
                      <w:color w:val="auto"/>
                      <w:szCs w:val="18"/>
                    </w:rPr>
                  </w:pPr>
                </w:p>
              </w:tc>
              <w:tc>
                <w:tcPr>
                  <w:tcW w:w="3266" w:type="dxa"/>
                  <w:vAlign w:val="center"/>
                </w:tcPr>
                <w:p w14:paraId="7EA33529">
                  <w:pPr>
                    <w:pStyle w:val="44"/>
                    <w:snapToGrid w:val="0"/>
                    <w:spacing w:line="240" w:lineRule="auto"/>
                    <w:jc w:val="center"/>
                    <w:rPr>
                      <w:color w:val="auto"/>
                      <w:szCs w:val="18"/>
                    </w:rPr>
                  </w:pPr>
                  <w:r>
                    <w:rPr>
                      <w:color w:val="auto"/>
                      <w:szCs w:val="18"/>
                    </w:rPr>
                    <w:t>日平均</w:t>
                  </w:r>
                </w:p>
              </w:tc>
              <w:tc>
                <w:tcPr>
                  <w:tcW w:w="4022" w:type="dxa"/>
                  <w:vAlign w:val="center"/>
                </w:tcPr>
                <w:p w14:paraId="72AAB63E">
                  <w:pPr>
                    <w:pStyle w:val="44"/>
                    <w:snapToGrid w:val="0"/>
                    <w:spacing w:line="240" w:lineRule="auto"/>
                    <w:jc w:val="center"/>
                    <w:rPr>
                      <w:color w:val="auto"/>
                      <w:szCs w:val="18"/>
                    </w:rPr>
                  </w:pPr>
                  <w:r>
                    <w:rPr>
                      <w:color w:val="auto"/>
                      <w:szCs w:val="18"/>
                    </w:rPr>
                    <w:t>150（μg/m</w:t>
                  </w:r>
                  <w:r>
                    <w:rPr>
                      <w:color w:val="auto"/>
                      <w:szCs w:val="18"/>
                      <w:vertAlign w:val="superscript"/>
                    </w:rPr>
                    <w:t>3</w:t>
                  </w:r>
                  <w:r>
                    <w:rPr>
                      <w:color w:val="auto"/>
                      <w:szCs w:val="18"/>
                    </w:rPr>
                    <w:t>）</w:t>
                  </w:r>
                </w:p>
              </w:tc>
            </w:tr>
            <w:tr w14:paraId="0720CD64">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exact"/>
              </w:trPr>
              <w:tc>
                <w:tcPr>
                  <w:tcW w:w="1738" w:type="dxa"/>
                  <w:vMerge w:val="continue"/>
                  <w:vAlign w:val="center"/>
                </w:tcPr>
                <w:p w14:paraId="211AAA6B">
                  <w:pPr>
                    <w:pStyle w:val="44"/>
                    <w:snapToGrid w:val="0"/>
                    <w:spacing w:line="240" w:lineRule="auto"/>
                    <w:jc w:val="center"/>
                    <w:rPr>
                      <w:color w:val="auto"/>
                      <w:szCs w:val="18"/>
                    </w:rPr>
                  </w:pPr>
                </w:p>
              </w:tc>
              <w:tc>
                <w:tcPr>
                  <w:tcW w:w="3266" w:type="dxa"/>
                  <w:vAlign w:val="center"/>
                </w:tcPr>
                <w:p w14:paraId="75305ECF">
                  <w:pPr>
                    <w:pStyle w:val="44"/>
                    <w:snapToGrid w:val="0"/>
                    <w:spacing w:line="240" w:lineRule="auto"/>
                    <w:jc w:val="center"/>
                    <w:rPr>
                      <w:color w:val="auto"/>
                      <w:szCs w:val="18"/>
                    </w:rPr>
                  </w:pPr>
                  <w:r>
                    <w:rPr>
                      <w:color w:val="auto"/>
                      <w:szCs w:val="18"/>
                    </w:rPr>
                    <w:t>1小时平均</w:t>
                  </w:r>
                </w:p>
              </w:tc>
              <w:tc>
                <w:tcPr>
                  <w:tcW w:w="4022" w:type="dxa"/>
                  <w:vAlign w:val="center"/>
                </w:tcPr>
                <w:p w14:paraId="4ADFC52C">
                  <w:pPr>
                    <w:pStyle w:val="44"/>
                    <w:snapToGrid w:val="0"/>
                    <w:spacing w:line="240" w:lineRule="auto"/>
                    <w:jc w:val="center"/>
                    <w:rPr>
                      <w:color w:val="auto"/>
                      <w:szCs w:val="18"/>
                    </w:rPr>
                  </w:pPr>
                  <w:r>
                    <w:rPr>
                      <w:color w:val="auto"/>
                      <w:szCs w:val="18"/>
                    </w:rPr>
                    <w:t>500（μg/m</w:t>
                  </w:r>
                  <w:r>
                    <w:rPr>
                      <w:color w:val="auto"/>
                      <w:szCs w:val="18"/>
                      <w:vertAlign w:val="superscript"/>
                    </w:rPr>
                    <w:t>3</w:t>
                  </w:r>
                  <w:r>
                    <w:rPr>
                      <w:color w:val="auto"/>
                      <w:szCs w:val="18"/>
                    </w:rPr>
                    <w:t>）</w:t>
                  </w:r>
                </w:p>
              </w:tc>
            </w:tr>
            <w:tr w14:paraId="09317920">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exact"/>
              </w:trPr>
              <w:tc>
                <w:tcPr>
                  <w:tcW w:w="1738" w:type="dxa"/>
                  <w:vMerge w:val="restart"/>
                  <w:vAlign w:val="center"/>
                </w:tcPr>
                <w:p w14:paraId="64BBA000">
                  <w:pPr>
                    <w:pStyle w:val="44"/>
                    <w:snapToGrid w:val="0"/>
                    <w:spacing w:line="240" w:lineRule="auto"/>
                    <w:jc w:val="center"/>
                    <w:rPr>
                      <w:color w:val="auto"/>
                      <w:szCs w:val="18"/>
                    </w:rPr>
                  </w:pPr>
                  <w:r>
                    <w:rPr>
                      <w:color w:val="auto"/>
                      <w:szCs w:val="18"/>
                    </w:rPr>
                    <w:t>NO</w:t>
                  </w:r>
                  <w:r>
                    <w:rPr>
                      <w:color w:val="auto"/>
                      <w:szCs w:val="18"/>
                      <w:vertAlign w:val="subscript"/>
                    </w:rPr>
                    <w:t>2</w:t>
                  </w:r>
                </w:p>
              </w:tc>
              <w:tc>
                <w:tcPr>
                  <w:tcW w:w="3266" w:type="dxa"/>
                  <w:vAlign w:val="center"/>
                </w:tcPr>
                <w:p w14:paraId="6B1B65D8">
                  <w:pPr>
                    <w:pStyle w:val="44"/>
                    <w:snapToGrid w:val="0"/>
                    <w:spacing w:line="240" w:lineRule="auto"/>
                    <w:jc w:val="center"/>
                    <w:rPr>
                      <w:color w:val="auto"/>
                      <w:szCs w:val="18"/>
                    </w:rPr>
                  </w:pPr>
                  <w:r>
                    <w:rPr>
                      <w:color w:val="auto"/>
                      <w:szCs w:val="18"/>
                    </w:rPr>
                    <w:t>年平均</w:t>
                  </w:r>
                </w:p>
              </w:tc>
              <w:tc>
                <w:tcPr>
                  <w:tcW w:w="4022" w:type="dxa"/>
                  <w:vAlign w:val="center"/>
                </w:tcPr>
                <w:p w14:paraId="6F7FEE1E">
                  <w:pPr>
                    <w:pStyle w:val="44"/>
                    <w:snapToGrid w:val="0"/>
                    <w:spacing w:line="240" w:lineRule="auto"/>
                    <w:jc w:val="center"/>
                    <w:rPr>
                      <w:color w:val="auto"/>
                      <w:szCs w:val="18"/>
                    </w:rPr>
                  </w:pPr>
                  <w:r>
                    <w:rPr>
                      <w:color w:val="auto"/>
                      <w:szCs w:val="18"/>
                    </w:rPr>
                    <w:t>40（μg/m</w:t>
                  </w:r>
                  <w:r>
                    <w:rPr>
                      <w:color w:val="auto"/>
                      <w:szCs w:val="18"/>
                      <w:vertAlign w:val="superscript"/>
                    </w:rPr>
                    <w:t>3</w:t>
                  </w:r>
                  <w:r>
                    <w:rPr>
                      <w:color w:val="auto"/>
                      <w:szCs w:val="18"/>
                    </w:rPr>
                    <w:t>）</w:t>
                  </w:r>
                </w:p>
              </w:tc>
            </w:tr>
            <w:tr w14:paraId="792C7678">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exact"/>
              </w:trPr>
              <w:tc>
                <w:tcPr>
                  <w:tcW w:w="1738" w:type="dxa"/>
                  <w:vMerge w:val="continue"/>
                  <w:vAlign w:val="center"/>
                </w:tcPr>
                <w:p w14:paraId="76A48E75">
                  <w:pPr>
                    <w:widowControl/>
                    <w:adjustRightInd w:val="0"/>
                    <w:snapToGrid w:val="0"/>
                    <w:jc w:val="center"/>
                    <w:rPr>
                      <w:kern w:val="0"/>
                      <w:sz w:val="18"/>
                      <w:szCs w:val="18"/>
                    </w:rPr>
                  </w:pPr>
                </w:p>
              </w:tc>
              <w:tc>
                <w:tcPr>
                  <w:tcW w:w="3266" w:type="dxa"/>
                  <w:vAlign w:val="center"/>
                </w:tcPr>
                <w:p w14:paraId="3FE6C885">
                  <w:pPr>
                    <w:pStyle w:val="44"/>
                    <w:snapToGrid w:val="0"/>
                    <w:spacing w:line="240" w:lineRule="auto"/>
                    <w:jc w:val="center"/>
                    <w:rPr>
                      <w:color w:val="auto"/>
                      <w:szCs w:val="18"/>
                    </w:rPr>
                  </w:pPr>
                  <w:r>
                    <w:rPr>
                      <w:color w:val="auto"/>
                      <w:szCs w:val="18"/>
                    </w:rPr>
                    <w:t>日平均</w:t>
                  </w:r>
                </w:p>
              </w:tc>
              <w:tc>
                <w:tcPr>
                  <w:tcW w:w="4022" w:type="dxa"/>
                  <w:vAlign w:val="center"/>
                </w:tcPr>
                <w:p w14:paraId="5C331700">
                  <w:pPr>
                    <w:pStyle w:val="44"/>
                    <w:snapToGrid w:val="0"/>
                    <w:spacing w:line="240" w:lineRule="auto"/>
                    <w:jc w:val="center"/>
                    <w:rPr>
                      <w:color w:val="auto"/>
                      <w:szCs w:val="18"/>
                    </w:rPr>
                  </w:pPr>
                  <w:r>
                    <w:rPr>
                      <w:color w:val="auto"/>
                      <w:szCs w:val="18"/>
                    </w:rPr>
                    <w:t>80（μg/m</w:t>
                  </w:r>
                  <w:r>
                    <w:rPr>
                      <w:color w:val="auto"/>
                      <w:szCs w:val="18"/>
                      <w:vertAlign w:val="superscript"/>
                    </w:rPr>
                    <w:t>3</w:t>
                  </w:r>
                  <w:r>
                    <w:rPr>
                      <w:color w:val="auto"/>
                      <w:szCs w:val="18"/>
                    </w:rPr>
                    <w:t>）</w:t>
                  </w:r>
                </w:p>
              </w:tc>
            </w:tr>
            <w:tr w14:paraId="1435633A">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exact"/>
              </w:trPr>
              <w:tc>
                <w:tcPr>
                  <w:tcW w:w="1738" w:type="dxa"/>
                  <w:vMerge w:val="continue"/>
                  <w:vAlign w:val="center"/>
                </w:tcPr>
                <w:p w14:paraId="0F6C18D1">
                  <w:pPr>
                    <w:widowControl/>
                    <w:adjustRightInd w:val="0"/>
                    <w:snapToGrid w:val="0"/>
                    <w:jc w:val="center"/>
                    <w:rPr>
                      <w:kern w:val="0"/>
                      <w:sz w:val="18"/>
                      <w:szCs w:val="18"/>
                    </w:rPr>
                  </w:pPr>
                </w:p>
              </w:tc>
              <w:tc>
                <w:tcPr>
                  <w:tcW w:w="3266" w:type="dxa"/>
                  <w:vAlign w:val="center"/>
                </w:tcPr>
                <w:p w14:paraId="2E794F40">
                  <w:pPr>
                    <w:pStyle w:val="44"/>
                    <w:snapToGrid w:val="0"/>
                    <w:spacing w:line="240" w:lineRule="auto"/>
                    <w:jc w:val="center"/>
                    <w:rPr>
                      <w:color w:val="auto"/>
                      <w:szCs w:val="18"/>
                    </w:rPr>
                  </w:pPr>
                  <w:r>
                    <w:rPr>
                      <w:color w:val="auto"/>
                      <w:szCs w:val="18"/>
                    </w:rPr>
                    <w:t>1小时平均</w:t>
                  </w:r>
                </w:p>
              </w:tc>
              <w:tc>
                <w:tcPr>
                  <w:tcW w:w="4022" w:type="dxa"/>
                  <w:vAlign w:val="center"/>
                </w:tcPr>
                <w:p w14:paraId="1A4FB3E0">
                  <w:pPr>
                    <w:pStyle w:val="44"/>
                    <w:snapToGrid w:val="0"/>
                    <w:spacing w:line="240" w:lineRule="auto"/>
                    <w:jc w:val="center"/>
                    <w:rPr>
                      <w:color w:val="auto"/>
                      <w:szCs w:val="18"/>
                    </w:rPr>
                  </w:pPr>
                  <w:r>
                    <w:rPr>
                      <w:color w:val="auto"/>
                      <w:szCs w:val="18"/>
                    </w:rPr>
                    <w:t>200（μg/m</w:t>
                  </w:r>
                  <w:r>
                    <w:rPr>
                      <w:color w:val="auto"/>
                      <w:szCs w:val="18"/>
                      <w:vertAlign w:val="superscript"/>
                    </w:rPr>
                    <w:t>3</w:t>
                  </w:r>
                  <w:r>
                    <w:rPr>
                      <w:color w:val="auto"/>
                      <w:szCs w:val="18"/>
                    </w:rPr>
                    <w:t>）</w:t>
                  </w:r>
                </w:p>
              </w:tc>
            </w:tr>
            <w:tr w14:paraId="79794DAB">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exact"/>
              </w:trPr>
              <w:tc>
                <w:tcPr>
                  <w:tcW w:w="1738" w:type="dxa"/>
                  <w:vMerge w:val="restart"/>
                  <w:vAlign w:val="center"/>
                </w:tcPr>
                <w:p w14:paraId="0339F9B8">
                  <w:pPr>
                    <w:widowControl/>
                    <w:adjustRightInd w:val="0"/>
                    <w:snapToGrid w:val="0"/>
                    <w:jc w:val="center"/>
                    <w:rPr>
                      <w:kern w:val="0"/>
                      <w:sz w:val="18"/>
                      <w:szCs w:val="18"/>
                    </w:rPr>
                  </w:pPr>
                  <w:r>
                    <w:rPr>
                      <w:kern w:val="0"/>
                      <w:sz w:val="18"/>
                      <w:szCs w:val="18"/>
                    </w:rPr>
                    <w:t>CO</w:t>
                  </w:r>
                </w:p>
              </w:tc>
              <w:tc>
                <w:tcPr>
                  <w:tcW w:w="3266" w:type="dxa"/>
                  <w:vAlign w:val="center"/>
                </w:tcPr>
                <w:p w14:paraId="444FDF3C">
                  <w:pPr>
                    <w:pStyle w:val="44"/>
                    <w:snapToGrid w:val="0"/>
                    <w:spacing w:line="240" w:lineRule="auto"/>
                    <w:jc w:val="center"/>
                    <w:rPr>
                      <w:color w:val="auto"/>
                      <w:szCs w:val="18"/>
                    </w:rPr>
                  </w:pPr>
                  <w:r>
                    <w:rPr>
                      <w:color w:val="auto"/>
                      <w:szCs w:val="18"/>
                    </w:rPr>
                    <w:t>日平均</w:t>
                  </w:r>
                </w:p>
              </w:tc>
              <w:tc>
                <w:tcPr>
                  <w:tcW w:w="4022" w:type="dxa"/>
                  <w:vAlign w:val="center"/>
                </w:tcPr>
                <w:p w14:paraId="292FA1AF">
                  <w:pPr>
                    <w:pStyle w:val="44"/>
                    <w:snapToGrid w:val="0"/>
                    <w:spacing w:line="240" w:lineRule="auto"/>
                    <w:jc w:val="center"/>
                    <w:rPr>
                      <w:color w:val="auto"/>
                      <w:szCs w:val="18"/>
                    </w:rPr>
                  </w:pPr>
                  <w:r>
                    <w:rPr>
                      <w:color w:val="auto"/>
                      <w:szCs w:val="18"/>
                    </w:rPr>
                    <w:t>4.00（mg/m</w:t>
                  </w:r>
                  <w:r>
                    <w:rPr>
                      <w:color w:val="auto"/>
                      <w:szCs w:val="18"/>
                      <w:vertAlign w:val="superscript"/>
                    </w:rPr>
                    <w:t>3</w:t>
                  </w:r>
                  <w:r>
                    <w:rPr>
                      <w:color w:val="auto"/>
                      <w:szCs w:val="18"/>
                    </w:rPr>
                    <w:t>）</w:t>
                  </w:r>
                </w:p>
              </w:tc>
            </w:tr>
            <w:tr w14:paraId="39823276">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exact"/>
              </w:trPr>
              <w:tc>
                <w:tcPr>
                  <w:tcW w:w="1738" w:type="dxa"/>
                  <w:vMerge w:val="continue"/>
                  <w:vAlign w:val="center"/>
                </w:tcPr>
                <w:p w14:paraId="6CC7591B">
                  <w:pPr>
                    <w:widowControl/>
                    <w:adjustRightInd w:val="0"/>
                    <w:snapToGrid w:val="0"/>
                    <w:jc w:val="center"/>
                    <w:rPr>
                      <w:kern w:val="0"/>
                      <w:sz w:val="18"/>
                      <w:szCs w:val="18"/>
                    </w:rPr>
                  </w:pPr>
                </w:p>
              </w:tc>
              <w:tc>
                <w:tcPr>
                  <w:tcW w:w="3266" w:type="dxa"/>
                  <w:vAlign w:val="center"/>
                </w:tcPr>
                <w:p w14:paraId="306A048B">
                  <w:pPr>
                    <w:pStyle w:val="44"/>
                    <w:snapToGrid w:val="0"/>
                    <w:spacing w:line="240" w:lineRule="auto"/>
                    <w:jc w:val="center"/>
                    <w:rPr>
                      <w:color w:val="auto"/>
                      <w:szCs w:val="18"/>
                    </w:rPr>
                  </w:pPr>
                  <w:r>
                    <w:rPr>
                      <w:color w:val="auto"/>
                      <w:szCs w:val="18"/>
                    </w:rPr>
                    <w:t>小时平均</w:t>
                  </w:r>
                </w:p>
              </w:tc>
              <w:tc>
                <w:tcPr>
                  <w:tcW w:w="4022" w:type="dxa"/>
                  <w:vAlign w:val="center"/>
                </w:tcPr>
                <w:p w14:paraId="064BE045">
                  <w:pPr>
                    <w:pStyle w:val="44"/>
                    <w:snapToGrid w:val="0"/>
                    <w:spacing w:line="240" w:lineRule="auto"/>
                    <w:jc w:val="center"/>
                    <w:rPr>
                      <w:color w:val="auto"/>
                      <w:szCs w:val="18"/>
                    </w:rPr>
                  </w:pPr>
                  <w:r>
                    <w:rPr>
                      <w:color w:val="auto"/>
                      <w:szCs w:val="18"/>
                    </w:rPr>
                    <w:t>10.00（mg/m</w:t>
                  </w:r>
                  <w:r>
                    <w:rPr>
                      <w:color w:val="auto"/>
                      <w:szCs w:val="18"/>
                      <w:vertAlign w:val="superscript"/>
                    </w:rPr>
                    <w:t>3</w:t>
                  </w:r>
                  <w:r>
                    <w:rPr>
                      <w:color w:val="auto"/>
                      <w:szCs w:val="18"/>
                    </w:rPr>
                    <w:t>）</w:t>
                  </w:r>
                </w:p>
              </w:tc>
            </w:tr>
            <w:tr w14:paraId="4AD6EEC2">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exact"/>
              </w:trPr>
              <w:tc>
                <w:tcPr>
                  <w:tcW w:w="1738" w:type="dxa"/>
                  <w:vMerge w:val="restart"/>
                  <w:vAlign w:val="center"/>
                </w:tcPr>
                <w:p w14:paraId="3C6A8C5F">
                  <w:pPr>
                    <w:pStyle w:val="44"/>
                    <w:snapToGrid w:val="0"/>
                    <w:spacing w:line="240" w:lineRule="auto"/>
                    <w:jc w:val="center"/>
                    <w:rPr>
                      <w:color w:val="auto"/>
                      <w:szCs w:val="18"/>
                    </w:rPr>
                  </w:pPr>
                  <w:r>
                    <w:rPr>
                      <w:color w:val="auto"/>
                      <w:szCs w:val="18"/>
                    </w:rPr>
                    <w:t>TSP</w:t>
                  </w:r>
                </w:p>
              </w:tc>
              <w:tc>
                <w:tcPr>
                  <w:tcW w:w="3266" w:type="dxa"/>
                  <w:vAlign w:val="center"/>
                </w:tcPr>
                <w:p w14:paraId="1186758D">
                  <w:pPr>
                    <w:pStyle w:val="44"/>
                    <w:snapToGrid w:val="0"/>
                    <w:spacing w:line="240" w:lineRule="auto"/>
                    <w:jc w:val="center"/>
                    <w:rPr>
                      <w:color w:val="auto"/>
                      <w:szCs w:val="18"/>
                    </w:rPr>
                  </w:pPr>
                  <w:r>
                    <w:rPr>
                      <w:color w:val="auto"/>
                      <w:szCs w:val="18"/>
                    </w:rPr>
                    <w:t>年平均</w:t>
                  </w:r>
                </w:p>
              </w:tc>
              <w:tc>
                <w:tcPr>
                  <w:tcW w:w="4022" w:type="dxa"/>
                  <w:vAlign w:val="center"/>
                </w:tcPr>
                <w:p w14:paraId="7CA6FA64">
                  <w:pPr>
                    <w:pStyle w:val="44"/>
                    <w:snapToGrid w:val="0"/>
                    <w:spacing w:line="240" w:lineRule="auto"/>
                    <w:jc w:val="center"/>
                    <w:rPr>
                      <w:color w:val="auto"/>
                      <w:szCs w:val="18"/>
                    </w:rPr>
                  </w:pPr>
                  <w:r>
                    <w:rPr>
                      <w:color w:val="auto"/>
                      <w:szCs w:val="18"/>
                    </w:rPr>
                    <w:t>200（μg/m</w:t>
                  </w:r>
                  <w:r>
                    <w:rPr>
                      <w:color w:val="auto"/>
                      <w:szCs w:val="18"/>
                      <w:vertAlign w:val="superscript"/>
                    </w:rPr>
                    <w:t>3</w:t>
                  </w:r>
                  <w:r>
                    <w:rPr>
                      <w:color w:val="auto"/>
                      <w:szCs w:val="18"/>
                    </w:rPr>
                    <w:t>）</w:t>
                  </w:r>
                </w:p>
              </w:tc>
            </w:tr>
            <w:tr w14:paraId="285CBE24">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exact"/>
              </w:trPr>
              <w:tc>
                <w:tcPr>
                  <w:tcW w:w="1738" w:type="dxa"/>
                  <w:vMerge w:val="continue"/>
                  <w:vAlign w:val="center"/>
                </w:tcPr>
                <w:p w14:paraId="4021F8AC">
                  <w:pPr>
                    <w:widowControl/>
                    <w:adjustRightInd w:val="0"/>
                    <w:snapToGrid w:val="0"/>
                    <w:jc w:val="center"/>
                    <w:rPr>
                      <w:kern w:val="0"/>
                      <w:sz w:val="18"/>
                      <w:szCs w:val="18"/>
                    </w:rPr>
                  </w:pPr>
                </w:p>
              </w:tc>
              <w:tc>
                <w:tcPr>
                  <w:tcW w:w="3266" w:type="dxa"/>
                  <w:vAlign w:val="center"/>
                </w:tcPr>
                <w:p w14:paraId="60915C0D">
                  <w:pPr>
                    <w:pStyle w:val="44"/>
                    <w:snapToGrid w:val="0"/>
                    <w:spacing w:line="240" w:lineRule="auto"/>
                    <w:jc w:val="center"/>
                    <w:rPr>
                      <w:color w:val="auto"/>
                      <w:szCs w:val="18"/>
                    </w:rPr>
                  </w:pPr>
                  <w:r>
                    <w:rPr>
                      <w:color w:val="auto"/>
                      <w:szCs w:val="18"/>
                    </w:rPr>
                    <w:t>日平均</w:t>
                  </w:r>
                </w:p>
              </w:tc>
              <w:tc>
                <w:tcPr>
                  <w:tcW w:w="4022" w:type="dxa"/>
                  <w:vAlign w:val="center"/>
                </w:tcPr>
                <w:p w14:paraId="2A9C61AF">
                  <w:pPr>
                    <w:pStyle w:val="44"/>
                    <w:snapToGrid w:val="0"/>
                    <w:spacing w:line="240" w:lineRule="auto"/>
                    <w:jc w:val="center"/>
                    <w:rPr>
                      <w:color w:val="auto"/>
                      <w:szCs w:val="18"/>
                    </w:rPr>
                  </w:pPr>
                  <w:r>
                    <w:rPr>
                      <w:color w:val="auto"/>
                      <w:szCs w:val="18"/>
                    </w:rPr>
                    <w:t>300（μg/m</w:t>
                  </w:r>
                  <w:r>
                    <w:rPr>
                      <w:color w:val="auto"/>
                      <w:szCs w:val="18"/>
                      <w:vertAlign w:val="superscript"/>
                    </w:rPr>
                    <w:t>3</w:t>
                  </w:r>
                  <w:r>
                    <w:rPr>
                      <w:color w:val="auto"/>
                      <w:szCs w:val="18"/>
                    </w:rPr>
                    <w:t>）</w:t>
                  </w:r>
                </w:p>
              </w:tc>
            </w:tr>
            <w:tr w14:paraId="13946840">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exact"/>
              </w:trPr>
              <w:tc>
                <w:tcPr>
                  <w:tcW w:w="1738" w:type="dxa"/>
                  <w:vMerge w:val="restart"/>
                  <w:vAlign w:val="center"/>
                </w:tcPr>
                <w:p w14:paraId="52745F32">
                  <w:pPr>
                    <w:widowControl/>
                    <w:adjustRightInd w:val="0"/>
                    <w:snapToGrid w:val="0"/>
                    <w:jc w:val="center"/>
                    <w:rPr>
                      <w:kern w:val="0"/>
                      <w:sz w:val="18"/>
                      <w:szCs w:val="18"/>
                    </w:rPr>
                  </w:pPr>
                  <w:r>
                    <w:rPr>
                      <w:rFonts w:hint="eastAsia"/>
                      <w:kern w:val="0"/>
                      <w:sz w:val="18"/>
                      <w:szCs w:val="18"/>
                    </w:rPr>
                    <w:t>PM</w:t>
                  </w:r>
                  <w:r>
                    <w:rPr>
                      <w:kern w:val="0"/>
                      <w:sz w:val="18"/>
                      <w:szCs w:val="18"/>
                      <w:vertAlign w:val="subscript"/>
                    </w:rPr>
                    <w:t>10</w:t>
                  </w:r>
                </w:p>
              </w:tc>
              <w:tc>
                <w:tcPr>
                  <w:tcW w:w="3266" w:type="dxa"/>
                  <w:vAlign w:val="center"/>
                </w:tcPr>
                <w:p w14:paraId="762FE41C">
                  <w:pPr>
                    <w:pStyle w:val="44"/>
                    <w:snapToGrid w:val="0"/>
                    <w:spacing w:line="240" w:lineRule="auto"/>
                    <w:jc w:val="center"/>
                    <w:rPr>
                      <w:color w:val="auto"/>
                      <w:szCs w:val="18"/>
                    </w:rPr>
                  </w:pPr>
                  <w:r>
                    <w:rPr>
                      <w:color w:val="auto"/>
                      <w:szCs w:val="18"/>
                    </w:rPr>
                    <w:t>年平均</w:t>
                  </w:r>
                </w:p>
              </w:tc>
              <w:tc>
                <w:tcPr>
                  <w:tcW w:w="4022" w:type="dxa"/>
                  <w:vAlign w:val="center"/>
                </w:tcPr>
                <w:p w14:paraId="5FF43A05">
                  <w:pPr>
                    <w:pStyle w:val="44"/>
                    <w:snapToGrid w:val="0"/>
                    <w:spacing w:line="240" w:lineRule="auto"/>
                    <w:jc w:val="center"/>
                    <w:rPr>
                      <w:color w:val="auto"/>
                      <w:szCs w:val="18"/>
                    </w:rPr>
                  </w:pPr>
                  <w:r>
                    <w:rPr>
                      <w:color w:val="auto"/>
                      <w:szCs w:val="18"/>
                    </w:rPr>
                    <w:t>70（μg/m</w:t>
                  </w:r>
                  <w:r>
                    <w:rPr>
                      <w:color w:val="auto"/>
                      <w:szCs w:val="18"/>
                      <w:vertAlign w:val="superscript"/>
                    </w:rPr>
                    <w:t>3</w:t>
                  </w:r>
                  <w:r>
                    <w:rPr>
                      <w:color w:val="auto"/>
                      <w:szCs w:val="18"/>
                    </w:rPr>
                    <w:t>）</w:t>
                  </w:r>
                </w:p>
              </w:tc>
            </w:tr>
            <w:tr w14:paraId="126D2A46">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exact"/>
              </w:trPr>
              <w:tc>
                <w:tcPr>
                  <w:tcW w:w="1738" w:type="dxa"/>
                  <w:vMerge w:val="continue"/>
                  <w:vAlign w:val="center"/>
                </w:tcPr>
                <w:p w14:paraId="1BED96C6">
                  <w:pPr>
                    <w:widowControl/>
                    <w:adjustRightInd w:val="0"/>
                    <w:snapToGrid w:val="0"/>
                    <w:jc w:val="center"/>
                    <w:rPr>
                      <w:kern w:val="0"/>
                      <w:sz w:val="18"/>
                      <w:szCs w:val="18"/>
                    </w:rPr>
                  </w:pPr>
                </w:p>
              </w:tc>
              <w:tc>
                <w:tcPr>
                  <w:tcW w:w="3266" w:type="dxa"/>
                  <w:vAlign w:val="center"/>
                </w:tcPr>
                <w:p w14:paraId="14FB43B7">
                  <w:pPr>
                    <w:pStyle w:val="44"/>
                    <w:snapToGrid w:val="0"/>
                    <w:spacing w:line="240" w:lineRule="auto"/>
                    <w:jc w:val="center"/>
                    <w:rPr>
                      <w:color w:val="auto"/>
                      <w:szCs w:val="18"/>
                    </w:rPr>
                  </w:pPr>
                  <w:r>
                    <w:rPr>
                      <w:color w:val="auto"/>
                      <w:szCs w:val="18"/>
                    </w:rPr>
                    <w:t>日平均</w:t>
                  </w:r>
                </w:p>
              </w:tc>
              <w:tc>
                <w:tcPr>
                  <w:tcW w:w="4022" w:type="dxa"/>
                  <w:vAlign w:val="center"/>
                </w:tcPr>
                <w:p w14:paraId="75F08FDE">
                  <w:pPr>
                    <w:pStyle w:val="44"/>
                    <w:snapToGrid w:val="0"/>
                    <w:spacing w:line="240" w:lineRule="auto"/>
                    <w:jc w:val="center"/>
                    <w:rPr>
                      <w:color w:val="auto"/>
                      <w:szCs w:val="18"/>
                    </w:rPr>
                  </w:pPr>
                  <w:r>
                    <w:rPr>
                      <w:color w:val="auto"/>
                      <w:szCs w:val="18"/>
                    </w:rPr>
                    <w:t>150（μg/m</w:t>
                  </w:r>
                  <w:r>
                    <w:rPr>
                      <w:color w:val="auto"/>
                      <w:szCs w:val="18"/>
                      <w:vertAlign w:val="superscript"/>
                    </w:rPr>
                    <w:t>3</w:t>
                  </w:r>
                  <w:r>
                    <w:rPr>
                      <w:color w:val="auto"/>
                      <w:szCs w:val="18"/>
                    </w:rPr>
                    <w:t>）</w:t>
                  </w:r>
                </w:p>
              </w:tc>
            </w:tr>
          </w:tbl>
          <w:p w14:paraId="1EB459DA">
            <w:pPr>
              <w:spacing w:line="336" w:lineRule="auto"/>
              <w:ind w:firstLine="480" w:firstLineChars="200"/>
              <w:rPr>
                <w:sz w:val="24"/>
              </w:rPr>
            </w:pPr>
            <w:r>
              <w:rPr>
                <w:rFonts w:hint="eastAsia"/>
                <w:sz w:val="24"/>
              </w:rPr>
              <w:t>（3）</w:t>
            </w:r>
            <w:r>
              <w:rPr>
                <w:sz w:val="24"/>
              </w:rPr>
              <w:t>声环境</w:t>
            </w:r>
          </w:p>
          <w:p w14:paraId="3A3C89F2">
            <w:pPr>
              <w:spacing w:line="336" w:lineRule="auto"/>
              <w:ind w:firstLine="480" w:firstLineChars="200"/>
              <w:rPr>
                <w:sz w:val="24"/>
              </w:rPr>
            </w:pPr>
            <w:r>
              <w:rPr>
                <w:rFonts w:hint="eastAsia"/>
                <w:sz w:val="24"/>
                <w:lang w:eastAsia="zh-CN"/>
              </w:rPr>
              <w:t>长</w:t>
            </w:r>
            <w:r>
              <w:rPr>
                <w:rFonts w:hint="eastAsia"/>
                <w:sz w:val="24"/>
              </w:rPr>
              <w:t>江（武汉段）内河航道声环境功能区为4a类区。</w:t>
            </w:r>
          </w:p>
          <w:p w14:paraId="785E8E5B">
            <w:pPr>
              <w:spacing w:line="360" w:lineRule="auto"/>
              <w:ind w:right="178" w:rightChars="85"/>
              <w:rPr>
                <w:b/>
                <w:sz w:val="24"/>
              </w:rPr>
            </w:pPr>
            <w:r>
              <w:rPr>
                <w:b/>
                <w:sz w:val="24"/>
              </w:rPr>
              <w:t>3.</w:t>
            </w:r>
            <w:r>
              <w:rPr>
                <w:rFonts w:hint="eastAsia"/>
                <w:b/>
                <w:sz w:val="24"/>
              </w:rPr>
              <w:t>2 污染物排放标准</w:t>
            </w:r>
          </w:p>
          <w:p w14:paraId="1EA3D1AD">
            <w:pPr>
              <w:spacing w:line="336" w:lineRule="auto"/>
              <w:ind w:firstLine="480" w:firstLineChars="200"/>
              <w:rPr>
                <w:sz w:val="24"/>
              </w:rPr>
            </w:pPr>
            <w:r>
              <w:rPr>
                <w:rFonts w:hint="eastAsia"/>
                <w:sz w:val="24"/>
              </w:rPr>
              <w:t>本项目污染物排放标准见表3-3。</w:t>
            </w:r>
          </w:p>
          <w:p w14:paraId="1643FC11">
            <w:pPr>
              <w:ind w:right="178" w:rightChars="85"/>
              <w:jc w:val="center"/>
              <w:rPr>
                <w:rFonts w:eastAsia="黑体"/>
                <w:bCs/>
              </w:rPr>
            </w:pPr>
            <w:r>
              <w:rPr>
                <w:rFonts w:hint="eastAsia" w:eastAsia="黑体"/>
                <w:bCs/>
              </w:rPr>
              <w:t xml:space="preserve">表3-3 </w:t>
            </w:r>
            <w:r>
              <w:rPr>
                <w:rFonts w:eastAsia="黑体"/>
                <w:bCs/>
              </w:rPr>
              <w:t xml:space="preserve"> </w:t>
            </w:r>
            <w:r>
              <w:rPr>
                <w:rFonts w:hint="eastAsia" w:eastAsia="黑体"/>
                <w:bCs/>
              </w:rPr>
              <w:t>污染物排放标准一览表</w:t>
            </w:r>
          </w:p>
          <w:tbl>
            <w:tblPr>
              <w:tblStyle w:val="23"/>
              <w:tblW w:w="9026"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86"/>
              <w:gridCol w:w="2369"/>
              <w:gridCol w:w="696"/>
              <w:gridCol w:w="888"/>
              <w:gridCol w:w="1535"/>
              <w:gridCol w:w="1630"/>
              <w:gridCol w:w="1322"/>
            </w:tblGrid>
            <w:tr w14:paraId="543FDC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586" w:type="dxa"/>
                  <w:vMerge w:val="restart"/>
                  <w:vAlign w:val="center"/>
                </w:tcPr>
                <w:p w14:paraId="74A87614">
                  <w:pPr>
                    <w:pStyle w:val="71"/>
                    <w:rPr>
                      <w:rFonts w:ascii="Times New Roman" w:hAnsi="Times New Roman" w:eastAsiaTheme="minorEastAsia"/>
                      <w:sz w:val="18"/>
                      <w:szCs w:val="18"/>
                    </w:rPr>
                  </w:pPr>
                  <w:r>
                    <w:rPr>
                      <w:rFonts w:ascii="Times New Roman" w:hAnsi="Times New Roman" w:eastAsiaTheme="minorEastAsia"/>
                      <w:sz w:val="18"/>
                      <w:szCs w:val="18"/>
                    </w:rPr>
                    <w:t>类别</w:t>
                  </w:r>
                </w:p>
              </w:tc>
              <w:tc>
                <w:tcPr>
                  <w:tcW w:w="3065" w:type="dxa"/>
                  <w:gridSpan w:val="2"/>
                  <w:vMerge w:val="restart"/>
                  <w:vAlign w:val="center"/>
                </w:tcPr>
                <w:p w14:paraId="701B32C9">
                  <w:pPr>
                    <w:pStyle w:val="71"/>
                    <w:rPr>
                      <w:rFonts w:ascii="Times New Roman" w:hAnsi="Times New Roman" w:eastAsiaTheme="minorEastAsia"/>
                      <w:sz w:val="18"/>
                      <w:szCs w:val="18"/>
                    </w:rPr>
                  </w:pPr>
                  <w:r>
                    <w:rPr>
                      <w:rFonts w:ascii="Times New Roman" w:hAnsi="Times New Roman" w:eastAsiaTheme="minorEastAsia"/>
                      <w:sz w:val="18"/>
                      <w:szCs w:val="18"/>
                    </w:rPr>
                    <w:t>标准名称</w:t>
                  </w:r>
                </w:p>
              </w:tc>
              <w:tc>
                <w:tcPr>
                  <w:tcW w:w="888" w:type="dxa"/>
                  <w:vMerge w:val="restart"/>
                  <w:vAlign w:val="center"/>
                </w:tcPr>
                <w:p w14:paraId="09012322">
                  <w:pPr>
                    <w:pStyle w:val="71"/>
                    <w:rPr>
                      <w:rFonts w:ascii="Times New Roman" w:hAnsi="Times New Roman" w:eastAsiaTheme="minorEastAsia"/>
                      <w:sz w:val="18"/>
                      <w:szCs w:val="18"/>
                    </w:rPr>
                  </w:pPr>
                  <w:r>
                    <w:rPr>
                      <w:rFonts w:ascii="Times New Roman" w:hAnsi="Times New Roman" w:eastAsiaTheme="minorEastAsia"/>
                      <w:sz w:val="18"/>
                      <w:szCs w:val="18"/>
                    </w:rPr>
                    <w:t>类别</w:t>
                  </w:r>
                </w:p>
              </w:tc>
              <w:tc>
                <w:tcPr>
                  <w:tcW w:w="3165" w:type="dxa"/>
                  <w:gridSpan w:val="2"/>
                  <w:vAlign w:val="center"/>
                </w:tcPr>
                <w:p w14:paraId="7B337324">
                  <w:pPr>
                    <w:pStyle w:val="71"/>
                    <w:rPr>
                      <w:rFonts w:ascii="Times New Roman" w:hAnsi="Times New Roman" w:eastAsiaTheme="minorEastAsia"/>
                      <w:sz w:val="18"/>
                      <w:szCs w:val="18"/>
                    </w:rPr>
                  </w:pPr>
                  <w:r>
                    <w:rPr>
                      <w:rFonts w:hint="eastAsia" w:ascii="Times New Roman" w:hAnsi="Times New Roman" w:eastAsiaTheme="minorEastAsia"/>
                      <w:sz w:val="18"/>
                      <w:szCs w:val="18"/>
                    </w:rPr>
                    <w:t>标准要求</w:t>
                  </w:r>
                </w:p>
              </w:tc>
              <w:tc>
                <w:tcPr>
                  <w:tcW w:w="1322" w:type="dxa"/>
                  <w:vMerge w:val="restart"/>
                  <w:vAlign w:val="center"/>
                </w:tcPr>
                <w:p w14:paraId="5E544718">
                  <w:pPr>
                    <w:pStyle w:val="71"/>
                    <w:rPr>
                      <w:rFonts w:ascii="Times New Roman" w:hAnsi="Times New Roman" w:eastAsiaTheme="minorEastAsia"/>
                      <w:sz w:val="18"/>
                      <w:szCs w:val="18"/>
                    </w:rPr>
                  </w:pPr>
                  <w:r>
                    <w:rPr>
                      <w:rFonts w:hint="eastAsia" w:ascii="Times New Roman" w:hAnsi="Times New Roman" w:eastAsiaTheme="minorEastAsia"/>
                      <w:sz w:val="18"/>
                      <w:szCs w:val="18"/>
                    </w:rPr>
                    <w:t>适用范围</w:t>
                  </w:r>
                </w:p>
              </w:tc>
            </w:tr>
            <w:tr w14:paraId="1A21CE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586" w:type="dxa"/>
                  <w:vMerge w:val="continue"/>
                </w:tcPr>
                <w:p w14:paraId="41A8A0B9">
                  <w:pPr>
                    <w:pStyle w:val="71"/>
                    <w:rPr>
                      <w:rFonts w:ascii="Times New Roman" w:hAnsi="Times New Roman" w:eastAsiaTheme="minorEastAsia"/>
                      <w:sz w:val="18"/>
                      <w:szCs w:val="18"/>
                    </w:rPr>
                  </w:pPr>
                </w:p>
              </w:tc>
              <w:tc>
                <w:tcPr>
                  <w:tcW w:w="3065" w:type="dxa"/>
                  <w:gridSpan w:val="2"/>
                  <w:vMerge w:val="continue"/>
                  <w:vAlign w:val="center"/>
                </w:tcPr>
                <w:p w14:paraId="6C2B3686">
                  <w:pPr>
                    <w:pStyle w:val="71"/>
                    <w:rPr>
                      <w:rFonts w:ascii="Times New Roman" w:hAnsi="Times New Roman" w:eastAsiaTheme="minorEastAsia"/>
                      <w:sz w:val="18"/>
                      <w:szCs w:val="18"/>
                    </w:rPr>
                  </w:pPr>
                </w:p>
              </w:tc>
              <w:tc>
                <w:tcPr>
                  <w:tcW w:w="888" w:type="dxa"/>
                  <w:vMerge w:val="continue"/>
                </w:tcPr>
                <w:p w14:paraId="3CEC01D6">
                  <w:pPr>
                    <w:pStyle w:val="71"/>
                    <w:rPr>
                      <w:rFonts w:ascii="Times New Roman" w:hAnsi="Times New Roman" w:eastAsiaTheme="minorEastAsia"/>
                      <w:sz w:val="18"/>
                      <w:szCs w:val="18"/>
                    </w:rPr>
                  </w:pPr>
                </w:p>
              </w:tc>
              <w:tc>
                <w:tcPr>
                  <w:tcW w:w="1535" w:type="dxa"/>
                  <w:vAlign w:val="center"/>
                </w:tcPr>
                <w:p w14:paraId="57EF17D7">
                  <w:pPr>
                    <w:pStyle w:val="71"/>
                    <w:rPr>
                      <w:rFonts w:ascii="Times New Roman" w:hAnsi="Times New Roman" w:eastAsiaTheme="minorEastAsia"/>
                      <w:sz w:val="18"/>
                      <w:szCs w:val="18"/>
                    </w:rPr>
                  </w:pPr>
                  <w:r>
                    <w:rPr>
                      <w:rFonts w:ascii="Times New Roman" w:hAnsi="Times New Roman" w:eastAsiaTheme="minorEastAsia"/>
                      <w:sz w:val="18"/>
                      <w:szCs w:val="18"/>
                    </w:rPr>
                    <w:t>参数名称</w:t>
                  </w:r>
                </w:p>
              </w:tc>
              <w:tc>
                <w:tcPr>
                  <w:tcW w:w="1630" w:type="dxa"/>
                  <w:vAlign w:val="center"/>
                </w:tcPr>
                <w:p w14:paraId="22F4F779">
                  <w:pPr>
                    <w:pStyle w:val="71"/>
                    <w:rPr>
                      <w:rFonts w:ascii="Times New Roman" w:hAnsi="Times New Roman" w:eastAsiaTheme="minorEastAsia"/>
                      <w:sz w:val="18"/>
                      <w:szCs w:val="18"/>
                    </w:rPr>
                  </w:pPr>
                  <w:r>
                    <w:rPr>
                      <w:rFonts w:hint="eastAsia" w:ascii="Times New Roman" w:hAnsi="Times New Roman" w:eastAsiaTheme="minorEastAsia"/>
                      <w:sz w:val="18"/>
                      <w:szCs w:val="18"/>
                    </w:rPr>
                    <w:t>标准</w:t>
                  </w:r>
                  <w:r>
                    <w:rPr>
                      <w:rFonts w:ascii="Times New Roman" w:hAnsi="Times New Roman" w:eastAsiaTheme="minorEastAsia"/>
                      <w:sz w:val="18"/>
                      <w:szCs w:val="18"/>
                    </w:rPr>
                    <w:t>限值</w:t>
                  </w:r>
                </w:p>
              </w:tc>
              <w:tc>
                <w:tcPr>
                  <w:tcW w:w="1322" w:type="dxa"/>
                  <w:vMerge w:val="continue"/>
                  <w:vAlign w:val="center"/>
                </w:tcPr>
                <w:p w14:paraId="7DD496B4">
                  <w:pPr>
                    <w:pStyle w:val="71"/>
                    <w:rPr>
                      <w:rFonts w:ascii="Times New Roman" w:hAnsi="Times New Roman" w:eastAsiaTheme="minorEastAsia"/>
                      <w:sz w:val="18"/>
                      <w:szCs w:val="18"/>
                    </w:rPr>
                  </w:pPr>
                </w:p>
              </w:tc>
            </w:tr>
            <w:tr w14:paraId="70DC09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6" w:type="dxa"/>
                  <w:vMerge w:val="restart"/>
                  <w:vAlign w:val="center"/>
                </w:tcPr>
                <w:p w14:paraId="66928A11">
                  <w:pPr>
                    <w:pStyle w:val="71"/>
                    <w:rPr>
                      <w:rFonts w:ascii="Times New Roman" w:hAnsi="Times New Roman" w:eastAsiaTheme="minorEastAsia"/>
                      <w:sz w:val="18"/>
                      <w:szCs w:val="18"/>
                    </w:rPr>
                  </w:pPr>
                  <w:r>
                    <w:rPr>
                      <w:rFonts w:ascii="Times New Roman" w:hAnsi="Times New Roman" w:eastAsiaTheme="minorEastAsia"/>
                      <w:kern w:val="0"/>
                      <w:sz w:val="18"/>
                      <w:szCs w:val="18"/>
                    </w:rPr>
                    <w:t>废</w:t>
                  </w:r>
                  <w:r>
                    <w:rPr>
                      <w:rFonts w:hint="eastAsia" w:ascii="Times New Roman" w:hAnsi="Times New Roman" w:eastAsiaTheme="minorEastAsia"/>
                      <w:kern w:val="0"/>
                      <w:sz w:val="18"/>
                      <w:szCs w:val="18"/>
                    </w:rPr>
                    <w:t>水</w:t>
                  </w:r>
                </w:p>
              </w:tc>
              <w:tc>
                <w:tcPr>
                  <w:tcW w:w="3065" w:type="dxa"/>
                  <w:gridSpan w:val="2"/>
                  <w:vMerge w:val="restart"/>
                  <w:vAlign w:val="center"/>
                </w:tcPr>
                <w:p w14:paraId="173F8FDD">
                  <w:pPr>
                    <w:pStyle w:val="71"/>
                    <w:rPr>
                      <w:rFonts w:ascii="Times New Roman" w:hAnsi="Times New Roman" w:eastAsiaTheme="minorEastAsia"/>
                      <w:sz w:val="18"/>
                      <w:szCs w:val="18"/>
                    </w:rPr>
                  </w:pPr>
                  <w:r>
                    <w:rPr>
                      <w:rFonts w:hint="eastAsia" w:ascii="Times New Roman" w:hAnsi="Times New Roman"/>
                      <w:color w:val="000000"/>
                      <w:kern w:val="0"/>
                      <w:sz w:val="18"/>
                      <w:szCs w:val="18"/>
                    </w:rPr>
                    <w:t>《污水综合排放标准》（GB8978-1996）表4中的三级标准</w:t>
                  </w:r>
                </w:p>
              </w:tc>
              <w:tc>
                <w:tcPr>
                  <w:tcW w:w="888" w:type="dxa"/>
                  <w:vMerge w:val="restart"/>
                  <w:vAlign w:val="center"/>
                </w:tcPr>
                <w:p w14:paraId="729E0005">
                  <w:pPr>
                    <w:pStyle w:val="71"/>
                    <w:rPr>
                      <w:rFonts w:ascii="Times New Roman" w:hAnsi="Times New Roman" w:eastAsiaTheme="minorEastAsia"/>
                      <w:sz w:val="18"/>
                      <w:szCs w:val="18"/>
                    </w:rPr>
                  </w:pPr>
                  <w:r>
                    <w:rPr>
                      <w:rFonts w:hint="eastAsia" w:ascii="Times New Roman" w:hAnsi="Times New Roman" w:eastAsiaTheme="minorEastAsia"/>
                      <w:sz w:val="18"/>
                      <w:szCs w:val="18"/>
                    </w:rPr>
                    <w:t>生活污水</w:t>
                  </w:r>
                </w:p>
              </w:tc>
              <w:tc>
                <w:tcPr>
                  <w:tcW w:w="1535" w:type="dxa"/>
                  <w:vAlign w:val="center"/>
                </w:tcPr>
                <w:p w14:paraId="0C9AC5B5">
                  <w:pPr>
                    <w:widowControl/>
                    <w:jc w:val="center"/>
                    <w:rPr>
                      <w:color w:val="000000"/>
                      <w:kern w:val="0"/>
                      <w:sz w:val="18"/>
                      <w:szCs w:val="18"/>
                    </w:rPr>
                  </w:pPr>
                  <w:r>
                    <w:rPr>
                      <w:rFonts w:hint="eastAsia"/>
                      <w:color w:val="000000"/>
                      <w:kern w:val="0"/>
                      <w:sz w:val="18"/>
                      <w:szCs w:val="18"/>
                    </w:rPr>
                    <w:t>pH</w:t>
                  </w:r>
                </w:p>
              </w:tc>
              <w:tc>
                <w:tcPr>
                  <w:tcW w:w="1630" w:type="dxa"/>
                  <w:vAlign w:val="center"/>
                </w:tcPr>
                <w:p w14:paraId="5F85D18D">
                  <w:pPr>
                    <w:spacing w:line="0" w:lineRule="atLeast"/>
                    <w:ind w:left="-13" w:leftChars="-44" w:right="-107" w:rightChars="-51" w:hanging="79" w:hangingChars="44"/>
                    <w:jc w:val="center"/>
                    <w:rPr>
                      <w:rFonts w:eastAsiaTheme="minorEastAsia"/>
                      <w:sz w:val="18"/>
                      <w:szCs w:val="18"/>
                    </w:rPr>
                  </w:pPr>
                  <w:r>
                    <w:rPr>
                      <w:rFonts w:hint="eastAsia"/>
                      <w:color w:val="000000"/>
                      <w:kern w:val="0"/>
                      <w:sz w:val="18"/>
                      <w:szCs w:val="18"/>
                    </w:rPr>
                    <w:t>6～9</w:t>
                  </w:r>
                </w:p>
              </w:tc>
              <w:tc>
                <w:tcPr>
                  <w:tcW w:w="1322" w:type="dxa"/>
                  <w:vMerge w:val="restart"/>
                  <w:vAlign w:val="center"/>
                </w:tcPr>
                <w:p w14:paraId="6CAD6483">
                  <w:pPr>
                    <w:pStyle w:val="71"/>
                    <w:rPr>
                      <w:rFonts w:ascii="Times New Roman" w:hAnsi="Times New Roman" w:eastAsiaTheme="minorEastAsia"/>
                      <w:sz w:val="18"/>
                      <w:szCs w:val="18"/>
                    </w:rPr>
                  </w:pPr>
                  <w:r>
                    <w:rPr>
                      <w:rFonts w:hint="eastAsia" w:ascii="Times New Roman" w:hAnsi="Times New Roman" w:eastAsiaTheme="minorEastAsia"/>
                      <w:sz w:val="18"/>
                      <w:szCs w:val="18"/>
                    </w:rPr>
                    <w:t>运行期</w:t>
                  </w:r>
                </w:p>
                <w:p w14:paraId="15B93C30">
                  <w:pPr>
                    <w:pStyle w:val="71"/>
                    <w:rPr>
                      <w:rFonts w:ascii="Times New Roman" w:hAnsi="Times New Roman" w:eastAsiaTheme="minorEastAsia"/>
                      <w:sz w:val="18"/>
                      <w:szCs w:val="18"/>
                    </w:rPr>
                  </w:pPr>
                </w:p>
              </w:tc>
            </w:tr>
            <w:tr w14:paraId="699368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6" w:type="dxa"/>
                  <w:vMerge w:val="continue"/>
                  <w:vAlign w:val="center"/>
                </w:tcPr>
                <w:p w14:paraId="1A037B34">
                  <w:pPr>
                    <w:pStyle w:val="71"/>
                    <w:rPr>
                      <w:rFonts w:ascii="Times New Roman" w:hAnsi="Times New Roman" w:eastAsiaTheme="minorEastAsia"/>
                      <w:kern w:val="0"/>
                      <w:sz w:val="18"/>
                      <w:szCs w:val="18"/>
                    </w:rPr>
                  </w:pPr>
                </w:p>
              </w:tc>
              <w:tc>
                <w:tcPr>
                  <w:tcW w:w="3065" w:type="dxa"/>
                  <w:gridSpan w:val="2"/>
                  <w:vMerge w:val="continue"/>
                  <w:vAlign w:val="center"/>
                </w:tcPr>
                <w:p w14:paraId="618B3C40">
                  <w:pPr>
                    <w:pStyle w:val="71"/>
                    <w:rPr>
                      <w:rFonts w:ascii="Times New Roman" w:hAnsi="Times New Roman"/>
                      <w:color w:val="000000"/>
                      <w:kern w:val="0"/>
                      <w:sz w:val="18"/>
                      <w:szCs w:val="18"/>
                    </w:rPr>
                  </w:pPr>
                </w:p>
              </w:tc>
              <w:tc>
                <w:tcPr>
                  <w:tcW w:w="888" w:type="dxa"/>
                  <w:vMerge w:val="continue"/>
                  <w:vAlign w:val="center"/>
                </w:tcPr>
                <w:p w14:paraId="378939BE">
                  <w:pPr>
                    <w:pStyle w:val="71"/>
                    <w:rPr>
                      <w:rFonts w:ascii="Times New Roman" w:hAnsi="Times New Roman" w:eastAsiaTheme="minorEastAsia"/>
                      <w:sz w:val="18"/>
                      <w:szCs w:val="18"/>
                    </w:rPr>
                  </w:pPr>
                </w:p>
              </w:tc>
              <w:tc>
                <w:tcPr>
                  <w:tcW w:w="1535" w:type="dxa"/>
                  <w:vAlign w:val="center"/>
                </w:tcPr>
                <w:p w14:paraId="02CFC643">
                  <w:pPr>
                    <w:widowControl/>
                    <w:jc w:val="center"/>
                    <w:rPr>
                      <w:rFonts w:eastAsiaTheme="minorEastAsia"/>
                      <w:kern w:val="0"/>
                      <w:sz w:val="18"/>
                      <w:szCs w:val="18"/>
                    </w:rPr>
                  </w:pPr>
                  <w:r>
                    <w:rPr>
                      <w:rFonts w:hint="eastAsia"/>
                      <w:color w:val="000000"/>
                      <w:kern w:val="0"/>
                      <w:sz w:val="18"/>
                      <w:szCs w:val="18"/>
                    </w:rPr>
                    <w:t>COD</w:t>
                  </w:r>
                  <w:r>
                    <w:rPr>
                      <w:rFonts w:hint="eastAsia"/>
                      <w:color w:val="000000"/>
                      <w:kern w:val="0"/>
                      <w:sz w:val="18"/>
                      <w:szCs w:val="18"/>
                      <w:vertAlign w:val="subscript"/>
                    </w:rPr>
                    <w:t>Gr</w:t>
                  </w:r>
                </w:p>
              </w:tc>
              <w:tc>
                <w:tcPr>
                  <w:tcW w:w="1630" w:type="dxa"/>
                  <w:vAlign w:val="center"/>
                </w:tcPr>
                <w:p w14:paraId="3E10C406">
                  <w:pPr>
                    <w:spacing w:line="0" w:lineRule="atLeast"/>
                    <w:ind w:left="-13" w:leftChars="-44" w:right="-107" w:rightChars="-51" w:hanging="79" w:hangingChars="44"/>
                    <w:jc w:val="center"/>
                    <w:rPr>
                      <w:rFonts w:eastAsiaTheme="minorEastAsia"/>
                      <w:sz w:val="18"/>
                      <w:szCs w:val="18"/>
                    </w:rPr>
                  </w:pPr>
                  <w:r>
                    <w:rPr>
                      <w:rFonts w:hint="eastAsia"/>
                      <w:color w:val="000000"/>
                      <w:kern w:val="0"/>
                      <w:sz w:val="18"/>
                      <w:szCs w:val="18"/>
                    </w:rPr>
                    <w:t>500mg/L</w:t>
                  </w:r>
                </w:p>
              </w:tc>
              <w:tc>
                <w:tcPr>
                  <w:tcW w:w="1322" w:type="dxa"/>
                  <w:vMerge w:val="continue"/>
                  <w:vAlign w:val="center"/>
                </w:tcPr>
                <w:p w14:paraId="59834287">
                  <w:pPr>
                    <w:pStyle w:val="71"/>
                    <w:rPr>
                      <w:rFonts w:ascii="Times New Roman" w:hAnsi="Times New Roman" w:eastAsiaTheme="minorEastAsia"/>
                      <w:sz w:val="18"/>
                      <w:szCs w:val="18"/>
                    </w:rPr>
                  </w:pPr>
                </w:p>
              </w:tc>
            </w:tr>
            <w:tr w14:paraId="14748C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6" w:type="dxa"/>
                  <w:vMerge w:val="continue"/>
                  <w:vAlign w:val="center"/>
                </w:tcPr>
                <w:p w14:paraId="6CB2FCFE">
                  <w:pPr>
                    <w:pStyle w:val="71"/>
                    <w:rPr>
                      <w:rFonts w:ascii="Times New Roman" w:hAnsi="Times New Roman" w:eastAsiaTheme="minorEastAsia"/>
                      <w:kern w:val="0"/>
                      <w:sz w:val="18"/>
                      <w:szCs w:val="18"/>
                    </w:rPr>
                  </w:pPr>
                </w:p>
              </w:tc>
              <w:tc>
                <w:tcPr>
                  <w:tcW w:w="3065" w:type="dxa"/>
                  <w:gridSpan w:val="2"/>
                  <w:vMerge w:val="continue"/>
                  <w:vAlign w:val="center"/>
                </w:tcPr>
                <w:p w14:paraId="53E6A9C1">
                  <w:pPr>
                    <w:pStyle w:val="71"/>
                    <w:rPr>
                      <w:rFonts w:ascii="Times New Roman" w:hAnsi="Times New Roman"/>
                      <w:color w:val="000000"/>
                      <w:kern w:val="0"/>
                      <w:sz w:val="18"/>
                      <w:szCs w:val="18"/>
                    </w:rPr>
                  </w:pPr>
                </w:p>
              </w:tc>
              <w:tc>
                <w:tcPr>
                  <w:tcW w:w="888" w:type="dxa"/>
                  <w:vMerge w:val="continue"/>
                  <w:vAlign w:val="center"/>
                </w:tcPr>
                <w:p w14:paraId="0000BBB9">
                  <w:pPr>
                    <w:pStyle w:val="71"/>
                    <w:rPr>
                      <w:rFonts w:ascii="Times New Roman" w:hAnsi="Times New Roman" w:eastAsiaTheme="minorEastAsia"/>
                      <w:sz w:val="18"/>
                      <w:szCs w:val="18"/>
                    </w:rPr>
                  </w:pPr>
                </w:p>
              </w:tc>
              <w:tc>
                <w:tcPr>
                  <w:tcW w:w="1535" w:type="dxa"/>
                  <w:vAlign w:val="center"/>
                </w:tcPr>
                <w:p w14:paraId="14E1D9B5">
                  <w:pPr>
                    <w:widowControl/>
                    <w:jc w:val="center"/>
                    <w:rPr>
                      <w:rFonts w:eastAsiaTheme="minorEastAsia"/>
                      <w:kern w:val="0"/>
                      <w:sz w:val="18"/>
                      <w:szCs w:val="18"/>
                    </w:rPr>
                  </w:pPr>
                  <w:r>
                    <w:rPr>
                      <w:rFonts w:hint="eastAsia"/>
                      <w:color w:val="000000"/>
                      <w:kern w:val="0"/>
                      <w:sz w:val="18"/>
                      <w:szCs w:val="18"/>
                    </w:rPr>
                    <w:t>BOD</w:t>
                  </w:r>
                  <w:r>
                    <w:rPr>
                      <w:rFonts w:hint="eastAsia"/>
                      <w:color w:val="000000"/>
                      <w:kern w:val="0"/>
                      <w:sz w:val="18"/>
                      <w:szCs w:val="18"/>
                      <w:vertAlign w:val="subscript"/>
                    </w:rPr>
                    <w:t>5</w:t>
                  </w:r>
                </w:p>
              </w:tc>
              <w:tc>
                <w:tcPr>
                  <w:tcW w:w="1630" w:type="dxa"/>
                  <w:vAlign w:val="center"/>
                </w:tcPr>
                <w:p w14:paraId="7DA4D746">
                  <w:pPr>
                    <w:spacing w:line="0" w:lineRule="atLeast"/>
                    <w:ind w:left="-13" w:leftChars="-44" w:right="-107" w:rightChars="-51" w:hanging="79" w:hangingChars="44"/>
                    <w:jc w:val="center"/>
                    <w:rPr>
                      <w:rFonts w:eastAsiaTheme="minorEastAsia"/>
                      <w:sz w:val="18"/>
                      <w:szCs w:val="18"/>
                    </w:rPr>
                  </w:pPr>
                  <w:r>
                    <w:rPr>
                      <w:rFonts w:hint="eastAsia"/>
                      <w:color w:val="000000"/>
                      <w:kern w:val="0"/>
                      <w:sz w:val="18"/>
                      <w:szCs w:val="18"/>
                    </w:rPr>
                    <w:t>300mg/L</w:t>
                  </w:r>
                </w:p>
              </w:tc>
              <w:tc>
                <w:tcPr>
                  <w:tcW w:w="1322" w:type="dxa"/>
                  <w:vMerge w:val="continue"/>
                  <w:vAlign w:val="center"/>
                </w:tcPr>
                <w:p w14:paraId="6F60FF3A">
                  <w:pPr>
                    <w:pStyle w:val="71"/>
                    <w:rPr>
                      <w:rFonts w:ascii="Times New Roman" w:hAnsi="Times New Roman" w:eastAsiaTheme="minorEastAsia"/>
                      <w:sz w:val="18"/>
                      <w:szCs w:val="18"/>
                    </w:rPr>
                  </w:pPr>
                </w:p>
              </w:tc>
            </w:tr>
            <w:tr w14:paraId="0A6CE1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6" w:type="dxa"/>
                  <w:vMerge w:val="continue"/>
                  <w:vAlign w:val="center"/>
                </w:tcPr>
                <w:p w14:paraId="5D595878">
                  <w:pPr>
                    <w:pStyle w:val="71"/>
                    <w:rPr>
                      <w:rFonts w:ascii="Times New Roman" w:hAnsi="Times New Roman" w:eastAsiaTheme="minorEastAsia"/>
                      <w:kern w:val="0"/>
                      <w:sz w:val="18"/>
                      <w:szCs w:val="18"/>
                    </w:rPr>
                  </w:pPr>
                </w:p>
              </w:tc>
              <w:tc>
                <w:tcPr>
                  <w:tcW w:w="3065" w:type="dxa"/>
                  <w:gridSpan w:val="2"/>
                  <w:vMerge w:val="continue"/>
                  <w:vAlign w:val="center"/>
                </w:tcPr>
                <w:p w14:paraId="557B03B3">
                  <w:pPr>
                    <w:pStyle w:val="71"/>
                    <w:rPr>
                      <w:rFonts w:ascii="Times New Roman" w:hAnsi="Times New Roman"/>
                      <w:color w:val="000000"/>
                      <w:kern w:val="0"/>
                      <w:sz w:val="18"/>
                      <w:szCs w:val="18"/>
                    </w:rPr>
                  </w:pPr>
                </w:p>
              </w:tc>
              <w:tc>
                <w:tcPr>
                  <w:tcW w:w="888" w:type="dxa"/>
                  <w:vMerge w:val="continue"/>
                  <w:vAlign w:val="center"/>
                </w:tcPr>
                <w:p w14:paraId="40538FD1">
                  <w:pPr>
                    <w:pStyle w:val="71"/>
                    <w:rPr>
                      <w:rFonts w:ascii="Times New Roman" w:hAnsi="Times New Roman" w:eastAsiaTheme="minorEastAsia"/>
                      <w:sz w:val="18"/>
                      <w:szCs w:val="18"/>
                    </w:rPr>
                  </w:pPr>
                </w:p>
              </w:tc>
              <w:tc>
                <w:tcPr>
                  <w:tcW w:w="1535" w:type="dxa"/>
                  <w:vAlign w:val="center"/>
                </w:tcPr>
                <w:p w14:paraId="4AF1037B">
                  <w:pPr>
                    <w:widowControl/>
                    <w:jc w:val="center"/>
                    <w:rPr>
                      <w:rFonts w:eastAsiaTheme="minorEastAsia"/>
                      <w:kern w:val="0"/>
                      <w:sz w:val="18"/>
                      <w:szCs w:val="18"/>
                    </w:rPr>
                  </w:pPr>
                  <w:r>
                    <w:rPr>
                      <w:rFonts w:hint="eastAsia"/>
                      <w:color w:val="000000"/>
                      <w:kern w:val="0"/>
                      <w:sz w:val="18"/>
                      <w:szCs w:val="18"/>
                    </w:rPr>
                    <w:t>SS</w:t>
                  </w:r>
                </w:p>
              </w:tc>
              <w:tc>
                <w:tcPr>
                  <w:tcW w:w="1630" w:type="dxa"/>
                  <w:vAlign w:val="center"/>
                </w:tcPr>
                <w:p w14:paraId="3FEF31E6">
                  <w:pPr>
                    <w:spacing w:line="0" w:lineRule="atLeast"/>
                    <w:ind w:left="-13" w:leftChars="-44" w:right="-107" w:rightChars="-51" w:hanging="79" w:hangingChars="44"/>
                    <w:jc w:val="center"/>
                    <w:rPr>
                      <w:rFonts w:eastAsiaTheme="minorEastAsia"/>
                      <w:sz w:val="18"/>
                      <w:szCs w:val="18"/>
                    </w:rPr>
                  </w:pPr>
                  <w:r>
                    <w:rPr>
                      <w:rFonts w:hint="eastAsia"/>
                      <w:color w:val="000000"/>
                      <w:kern w:val="0"/>
                      <w:sz w:val="18"/>
                      <w:szCs w:val="18"/>
                    </w:rPr>
                    <w:t>400mg/L</w:t>
                  </w:r>
                </w:p>
              </w:tc>
              <w:tc>
                <w:tcPr>
                  <w:tcW w:w="1322" w:type="dxa"/>
                  <w:vMerge w:val="continue"/>
                  <w:vAlign w:val="center"/>
                </w:tcPr>
                <w:p w14:paraId="7F9B8C27">
                  <w:pPr>
                    <w:pStyle w:val="71"/>
                    <w:rPr>
                      <w:rFonts w:ascii="Times New Roman" w:hAnsi="Times New Roman" w:eastAsiaTheme="minorEastAsia"/>
                      <w:sz w:val="18"/>
                      <w:szCs w:val="18"/>
                    </w:rPr>
                  </w:pPr>
                </w:p>
              </w:tc>
            </w:tr>
            <w:tr w14:paraId="2A3DE3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6" w:type="dxa"/>
                  <w:vMerge w:val="continue"/>
                  <w:vAlign w:val="center"/>
                </w:tcPr>
                <w:p w14:paraId="5CE911F1">
                  <w:pPr>
                    <w:pStyle w:val="71"/>
                    <w:rPr>
                      <w:rFonts w:ascii="Times New Roman" w:hAnsi="Times New Roman" w:eastAsiaTheme="minorEastAsia"/>
                      <w:kern w:val="0"/>
                      <w:sz w:val="18"/>
                      <w:szCs w:val="18"/>
                    </w:rPr>
                  </w:pPr>
                </w:p>
              </w:tc>
              <w:tc>
                <w:tcPr>
                  <w:tcW w:w="3065" w:type="dxa"/>
                  <w:gridSpan w:val="2"/>
                  <w:vMerge w:val="continue"/>
                  <w:vAlign w:val="center"/>
                </w:tcPr>
                <w:p w14:paraId="0F3BDCE9">
                  <w:pPr>
                    <w:pStyle w:val="71"/>
                    <w:rPr>
                      <w:rFonts w:ascii="Times New Roman" w:hAnsi="Times New Roman"/>
                      <w:color w:val="000000"/>
                      <w:kern w:val="0"/>
                      <w:sz w:val="18"/>
                      <w:szCs w:val="18"/>
                    </w:rPr>
                  </w:pPr>
                </w:p>
              </w:tc>
              <w:tc>
                <w:tcPr>
                  <w:tcW w:w="888" w:type="dxa"/>
                  <w:vMerge w:val="continue"/>
                  <w:vAlign w:val="center"/>
                </w:tcPr>
                <w:p w14:paraId="77617A43">
                  <w:pPr>
                    <w:pStyle w:val="71"/>
                    <w:rPr>
                      <w:rFonts w:ascii="Times New Roman" w:hAnsi="Times New Roman" w:eastAsiaTheme="minorEastAsia"/>
                      <w:sz w:val="18"/>
                      <w:szCs w:val="18"/>
                    </w:rPr>
                  </w:pPr>
                </w:p>
              </w:tc>
              <w:tc>
                <w:tcPr>
                  <w:tcW w:w="1535" w:type="dxa"/>
                  <w:vAlign w:val="center"/>
                </w:tcPr>
                <w:p w14:paraId="396F6C1A">
                  <w:pPr>
                    <w:widowControl/>
                    <w:jc w:val="center"/>
                    <w:rPr>
                      <w:rFonts w:eastAsiaTheme="minorEastAsia"/>
                      <w:kern w:val="0"/>
                      <w:sz w:val="18"/>
                      <w:szCs w:val="18"/>
                    </w:rPr>
                  </w:pPr>
                  <w:r>
                    <w:rPr>
                      <w:rFonts w:hint="eastAsia"/>
                      <w:color w:val="000000"/>
                      <w:kern w:val="0"/>
                      <w:sz w:val="18"/>
                      <w:szCs w:val="18"/>
                    </w:rPr>
                    <w:t>NH</w:t>
                  </w:r>
                  <w:r>
                    <w:rPr>
                      <w:rFonts w:hint="eastAsia"/>
                      <w:color w:val="000000"/>
                      <w:kern w:val="0"/>
                      <w:sz w:val="18"/>
                      <w:szCs w:val="18"/>
                      <w:vertAlign w:val="subscript"/>
                    </w:rPr>
                    <w:t>3</w:t>
                  </w:r>
                  <w:r>
                    <w:rPr>
                      <w:rFonts w:hint="eastAsia"/>
                      <w:color w:val="000000"/>
                      <w:kern w:val="0"/>
                      <w:sz w:val="18"/>
                      <w:szCs w:val="18"/>
                    </w:rPr>
                    <w:t>-N</w:t>
                  </w:r>
                </w:p>
              </w:tc>
              <w:tc>
                <w:tcPr>
                  <w:tcW w:w="1630" w:type="dxa"/>
                  <w:vAlign w:val="center"/>
                </w:tcPr>
                <w:p w14:paraId="1A259DDB">
                  <w:pPr>
                    <w:spacing w:line="0" w:lineRule="atLeast"/>
                    <w:ind w:left="-13" w:leftChars="-44" w:right="-107" w:rightChars="-51" w:hanging="79" w:hangingChars="44"/>
                    <w:jc w:val="center"/>
                    <w:rPr>
                      <w:rFonts w:eastAsiaTheme="minorEastAsia"/>
                      <w:sz w:val="18"/>
                      <w:szCs w:val="18"/>
                    </w:rPr>
                  </w:pPr>
                  <w:r>
                    <w:rPr>
                      <w:rFonts w:hint="eastAsia"/>
                      <w:color w:val="000000"/>
                      <w:kern w:val="0"/>
                      <w:sz w:val="18"/>
                      <w:szCs w:val="18"/>
                    </w:rPr>
                    <w:t>--</w:t>
                  </w:r>
                </w:p>
              </w:tc>
              <w:tc>
                <w:tcPr>
                  <w:tcW w:w="1322" w:type="dxa"/>
                  <w:vMerge w:val="continue"/>
                  <w:vAlign w:val="center"/>
                </w:tcPr>
                <w:p w14:paraId="4D3D1D48">
                  <w:pPr>
                    <w:pStyle w:val="71"/>
                    <w:rPr>
                      <w:rFonts w:ascii="Times New Roman" w:hAnsi="Times New Roman" w:eastAsiaTheme="minorEastAsia"/>
                      <w:sz w:val="18"/>
                      <w:szCs w:val="18"/>
                    </w:rPr>
                  </w:pPr>
                </w:p>
              </w:tc>
            </w:tr>
            <w:tr w14:paraId="7B99CE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6" w:type="dxa"/>
                  <w:vMerge w:val="continue"/>
                  <w:vAlign w:val="center"/>
                </w:tcPr>
                <w:p w14:paraId="308AF874">
                  <w:pPr>
                    <w:pStyle w:val="71"/>
                    <w:rPr>
                      <w:rFonts w:ascii="Times New Roman" w:hAnsi="Times New Roman" w:eastAsiaTheme="minorEastAsia"/>
                      <w:kern w:val="0"/>
                      <w:sz w:val="18"/>
                      <w:szCs w:val="18"/>
                    </w:rPr>
                  </w:pPr>
                </w:p>
              </w:tc>
              <w:tc>
                <w:tcPr>
                  <w:tcW w:w="3065" w:type="dxa"/>
                  <w:gridSpan w:val="2"/>
                  <w:vAlign w:val="center"/>
                </w:tcPr>
                <w:p w14:paraId="025F0E0C">
                  <w:pPr>
                    <w:keepNext/>
                    <w:pageBreakBefore/>
                    <w:widowControl/>
                    <w:wordWrap w:val="0"/>
                    <w:topLinePunct/>
                    <w:spacing w:line="240" w:lineRule="exact"/>
                    <w:jc w:val="center"/>
                    <w:rPr>
                      <w:color w:val="000000"/>
                      <w:kern w:val="0"/>
                      <w:sz w:val="18"/>
                      <w:szCs w:val="18"/>
                    </w:rPr>
                  </w:pPr>
                  <w:r>
                    <w:rPr>
                      <w:rFonts w:hint="eastAsia"/>
                      <w:color w:val="000000"/>
                      <w:kern w:val="0"/>
                      <w:sz w:val="18"/>
                      <w:szCs w:val="18"/>
                    </w:rPr>
                    <w:t>《污水排入城镇下水道水质标准》</w:t>
                  </w:r>
                </w:p>
                <w:p w14:paraId="6C397A85">
                  <w:pPr>
                    <w:pStyle w:val="71"/>
                    <w:rPr>
                      <w:rFonts w:ascii="Times New Roman" w:hAnsi="Times New Roman"/>
                      <w:color w:val="000000"/>
                      <w:kern w:val="0"/>
                      <w:sz w:val="18"/>
                      <w:szCs w:val="18"/>
                    </w:rPr>
                  </w:pPr>
                  <w:r>
                    <w:rPr>
                      <w:rFonts w:hint="eastAsia" w:ascii="Times New Roman" w:hAnsi="Times New Roman"/>
                      <w:color w:val="000000"/>
                      <w:kern w:val="0"/>
                      <w:sz w:val="18"/>
                      <w:szCs w:val="18"/>
                    </w:rPr>
                    <w:t>（GB/T31962-2015）表1中B级标准</w:t>
                  </w:r>
                </w:p>
              </w:tc>
              <w:tc>
                <w:tcPr>
                  <w:tcW w:w="888" w:type="dxa"/>
                  <w:vMerge w:val="continue"/>
                  <w:vAlign w:val="center"/>
                </w:tcPr>
                <w:p w14:paraId="51613CD6">
                  <w:pPr>
                    <w:pStyle w:val="71"/>
                    <w:rPr>
                      <w:rFonts w:ascii="Times New Roman" w:hAnsi="Times New Roman" w:eastAsiaTheme="minorEastAsia"/>
                      <w:sz w:val="18"/>
                      <w:szCs w:val="18"/>
                    </w:rPr>
                  </w:pPr>
                </w:p>
              </w:tc>
              <w:tc>
                <w:tcPr>
                  <w:tcW w:w="1535" w:type="dxa"/>
                  <w:vAlign w:val="center"/>
                </w:tcPr>
                <w:p w14:paraId="2086FBAB">
                  <w:pPr>
                    <w:widowControl/>
                    <w:jc w:val="center"/>
                    <w:rPr>
                      <w:rFonts w:eastAsiaTheme="minorEastAsia"/>
                      <w:kern w:val="0"/>
                      <w:sz w:val="18"/>
                      <w:szCs w:val="18"/>
                    </w:rPr>
                  </w:pPr>
                  <w:r>
                    <w:rPr>
                      <w:rFonts w:hint="eastAsia"/>
                      <w:color w:val="000000"/>
                      <w:kern w:val="0"/>
                      <w:sz w:val="18"/>
                      <w:szCs w:val="18"/>
                    </w:rPr>
                    <w:t>NH</w:t>
                  </w:r>
                  <w:r>
                    <w:rPr>
                      <w:rFonts w:hint="eastAsia"/>
                      <w:color w:val="000000"/>
                      <w:kern w:val="0"/>
                      <w:sz w:val="18"/>
                      <w:szCs w:val="18"/>
                      <w:vertAlign w:val="subscript"/>
                    </w:rPr>
                    <w:t>3</w:t>
                  </w:r>
                  <w:r>
                    <w:rPr>
                      <w:rFonts w:hint="eastAsia"/>
                      <w:color w:val="000000"/>
                      <w:kern w:val="0"/>
                      <w:sz w:val="18"/>
                      <w:szCs w:val="18"/>
                    </w:rPr>
                    <w:t>-N</w:t>
                  </w:r>
                </w:p>
              </w:tc>
              <w:tc>
                <w:tcPr>
                  <w:tcW w:w="1630" w:type="dxa"/>
                  <w:vAlign w:val="center"/>
                </w:tcPr>
                <w:p w14:paraId="7DACF994">
                  <w:pPr>
                    <w:spacing w:line="0" w:lineRule="atLeast"/>
                    <w:ind w:left="-13" w:leftChars="-44" w:right="-107" w:rightChars="-51" w:hanging="79" w:hangingChars="44"/>
                    <w:jc w:val="center"/>
                    <w:rPr>
                      <w:rFonts w:eastAsiaTheme="minorEastAsia"/>
                      <w:sz w:val="18"/>
                      <w:szCs w:val="18"/>
                    </w:rPr>
                  </w:pPr>
                  <w:r>
                    <w:rPr>
                      <w:rFonts w:hint="eastAsia"/>
                      <w:color w:val="000000"/>
                      <w:kern w:val="0"/>
                      <w:sz w:val="18"/>
                      <w:szCs w:val="18"/>
                    </w:rPr>
                    <w:t>45mg/L</w:t>
                  </w:r>
                </w:p>
              </w:tc>
              <w:tc>
                <w:tcPr>
                  <w:tcW w:w="1322" w:type="dxa"/>
                  <w:vMerge w:val="continue"/>
                  <w:vAlign w:val="center"/>
                </w:tcPr>
                <w:p w14:paraId="461B7090">
                  <w:pPr>
                    <w:pStyle w:val="71"/>
                    <w:rPr>
                      <w:rFonts w:ascii="Times New Roman" w:hAnsi="Times New Roman" w:eastAsiaTheme="minorEastAsia"/>
                      <w:sz w:val="18"/>
                      <w:szCs w:val="18"/>
                    </w:rPr>
                  </w:pPr>
                </w:p>
              </w:tc>
            </w:tr>
            <w:tr w14:paraId="5E8232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6" w:type="dxa"/>
                  <w:vMerge w:val="restart"/>
                  <w:vAlign w:val="center"/>
                </w:tcPr>
                <w:p w14:paraId="73199CF8">
                  <w:pPr>
                    <w:pStyle w:val="71"/>
                    <w:rPr>
                      <w:rFonts w:ascii="Times New Roman" w:hAnsi="Times New Roman" w:eastAsiaTheme="minorEastAsia"/>
                      <w:sz w:val="18"/>
                      <w:szCs w:val="18"/>
                    </w:rPr>
                  </w:pPr>
                  <w:r>
                    <w:rPr>
                      <w:rFonts w:ascii="Times New Roman" w:hAnsi="Times New Roman" w:eastAsiaTheme="minorEastAsia"/>
                      <w:sz w:val="18"/>
                      <w:szCs w:val="18"/>
                    </w:rPr>
                    <w:t>噪声</w:t>
                  </w:r>
                </w:p>
              </w:tc>
              <w:tc>
                <w:tcPr>
                  <w:tcW w:w="3065" w:type="dxa"/>
                  <w:gridSpan w:val="2"/>
                  <w:vAlign w:val="center"/>
                </w:tcPr>
                <w:p w14:paraId="50DEA9B6">
                  <w:pPr>
                    <w:pStyle w:val="71"/>
                    <w:rPr>
                      <w:rFonts w:ascii="Times New Roman" w:hAnsi="Times New Roman" w:eastAsiaTheme="minorEastAsia"/>
                      <w:sz w:val="18"/>
                      <w:szCs w:val="18"/>
                    </w:rPr>
                  </w:pPr>
                  <w:r>
                    <w:rPr>
                      <w:rFonts w:hint="eastAsia" w:ascii="Times New Roman" w:hAnsi="Times New Roman" w:eastAsiaTheme="minorEastAsia"/>
                      <w:sz w:val="18"/>
                      <w:szCs w:val="18"/>
                    </w:rPr>
                    <w:t>《建筑施工</w:t>
                  </w:r>
                  <w:r>
                    <w:rPr>
                      <w:rFonts w:ascii="Times New Roman" w:hAnsi="Times New Roman" w:eastAsiaTheme="minorEastAsia"/>
                      <w:sz w:val="18"/>
                      <w:szCs w:val="18"/>
                    </w:rPr>
                    <w:t>场界</w:t>
                  </w:r>
                  <w:r>
                    <w:rPr>
                      <w:rFonts w:hint="eastAsia" w:ascii="Times New Roman" w:hAnsi="Times New Roman" w:eastAsiaTheme="minorEastAsia"/>
                      <w:sz w:val="18"/>
                      <w:szCs w:val="18"/>
                    </w:rPr>
                    <w:t>环境噪声排放标准》（</w:t>
                  </w:r>
                  <w:r>
                    <w:rPr>
                      <w:rFonts w:ascii="Times New Roman" w:hAnsi="Times New Roman" w:eastAsiaTheme="minorEastAsia"/>
                      <w:sz w:val="18"/>
                      <w:szCs w:val="18"/>
                    </w:rPr>
                    <w:t>GB</w:t>
                  </w:r>
                  <w:r>
                    <w:rPr>
                      <w:rFonts w:hint="eastAsia" w:ascii="Times New Roman" w:hAnsi="Times New Roman" w:eastAsiaTheme="minorEastAsia"/>
                      <w:sz w:val="18"/>
                      <w:szCs w:val="18"/>
                    </w:rPr>
                    <w:t>12523-2011）</w:t>
                  </w:r>
                </w:p>
              </w:tc>
              <w:tc>
                <w:tcPr>
                  <w:tcW w:w="888" w:type="dxa"/>
                  <w:vAlign w:val="center"/>
                </w:tcPr>
                <w:p w14:paraId="69DB9CD5">
                  <w:pPr>
                    <w:pStyle w:val="71"/>
                    <w:rPr>
                      <w:rFonts w:ascii="Times New Roman" w:hAnsi="Times New Roman" w:eastAsiaTheme="minorEastAsia"/>
                      <w:sz w:val="18"/>
                      <w:szCs w:val="18"/>
                    </w:rPr>
                  </w:pPr>
                  <w:r>
                    <w:rPr>
                      <w:rFonts w:hint="eastAsia" w:ascii="Times New Roman" w:hAnsi="Times New Roman" w:eastAsiaTheme="minorEastAsia"/>
                      <w:sz w:val="18"/>
                      <w:szCs w:val="18"/>
                    </w:rPr>
                    <w:t>建筑</w:t>
                  </w:r>
                </w:p>
                <w:p w14:paraId="70FEE95D">
                  <w:pPr>
                    <w:pStyle w:val="71"/>
                    <w:rPr>
                      <w:rFonts w:ascii="Times New Roman" w:hAnsi="Times New Roman" w:eastAsiaTheme="minorEastAsia"/>
                      <w:sz w:val="18"/>
                      <w:szCs w:val="18"/>
                    </w:rPr>
                  </w:pPr>
                  <w:r>
                    <w:rPr>
                      <w:rFonts w:ascii="Times New Roman" w:hAnsi="Times New Roman" w:eastAsiaTheme="minorEastAsia"/>
                      <w:sz w:val="18"/>
                      <w:szCs w:val="18"/>
                    </w:rPr>
                    <w:t>施工期</w:t>
                  </w:r>
                </w:p>
              </w:tc>
              <w:tc>
                <w:tcPr>
                  <w:tcW w:w="1535" w:type="dxa"/>
                  <w:vAlign w:val="center"/>
                </w:tcPr>
                <w:p w14:paraId="7B72B443">
                  <w:pPr>
                    <w:pStyle w:val="71"/>
                    <w:rPr>
                      <w:rFonts w:ascii="Times New Roman" w:hAnsi="Times New Roman" w:eastAsiaTheme="minorEastAsia"/>
                      <w:sz w:val="18"/>
                      <w:szCs w:val="18"/>
                    </w:rPr>
                  </w:pPr>
                  <w:r>
                    <w:rPr>
                      <w:rFonts w:ascii="Times New Roman" w:hAnsi="Times New Roman" w:eastAsiaTheme="minorEastAsia"/>
                      <w:sz w:val="18"/>
                      <w:szCs w:val="18"/>
                    </w:rPr>
                    <w:t>等效连续A声级</w:t>
                  </w:r>
                </w:p>
              </w:tc>
              <w:tc>
                <w:tcPr>
                  <w:tcW w:w="1630" w:type="dxa"/>
                  <w:vAlign w:val="center"/>
                </w:tcPr>
                <w:p w14:paraId="12A54C16">
                  <w:pPr>
                    <w:pStyle w:val="71"/>
                    <w:rPr>
                      <w:rFonts w:ascii="Times New Roman" w:hAnsi="Times New Roman" w:eastAsiaTheme="minorEastAsia"/>
                      <w:sz w:val="18"/>
                      <w:szCs w:val="18"/>
                    </w:rPr>
                  </w:pPr>
                  <w:r>
                    <w:rPr>
                      <w:rFonts w:ascii="Times New Roman" w:hAnsi="Times New Roman" w:eastAsiaTheme="minorEastAsia"/>
                      <w:sz w:val="18"/>
                      <w:szCs w:val="18"/>
                    </w:rPr>
                    <w:t>昼间</w:t>
                  </w:r>
                  <w:r>
                    <w:rPr>
                      <w:rFonts w:hint="eastAsia" w:ascii="Times New Roman" w:hAnsi="Times New Roman" w:eastAsiaTheme="minorEastAsia"/>
                      <w:sz w:val="18"/>
                      <w:szCs w:val="18"/>
                    </w:rPr>
                    <w:t>70</w:t>
                  </w:r>
                  <w:r>
                    <w:rPr>
                      <w:rFonts w:ascii="Times New Roman" w:hAnsi="Times New Roman" w:eastAsiaTheme="minorEastAsia"/>
                      <w:sz w:val="18"/>
                      <w:szCs w:val="18"/>
                    </w:rPr>
                    <w:t>dB(A)</w:t>
                  </w:r>
                </w:p>
                <w:p w14:paraId="3ED52808">
                  <w:pPr>
                    <w:pStyle w:val="71"/>
                    <w:rPr>
                      <w:rFonts w:ascii="Times New Roman" w:hAnsi="Times New Roman" w:eastAsiaTheme="minorEastAsia"/>
                      <w:sz w:val="18"/>
                      <w:szCs w:val="18"/>
                    </w:rPr>
                  </w:pPr>
                  <w:r>
                    <w:rPr>
                      <w:rFonts w:ascii="Times New Roman" w:hAnsi="Times New Roman" w:eastAsiaTheme="minorEastAsia"/>
                      <w:sz w:val="18"/>
                      <w:szCs w:val="18"/>
                    </w:rPr>
                    <w:t>夜间50dB(A)</w:t>
                  </w:r>
                </w:p>
              </w:tc>
              <w:tc>
                <w:tcPr>
                  <w:tcW w:w="1322" w:type="dxa"/>
                  <w:vAlign w:val="center"/>
                </w:tcPr>
                <w:p w14:paraId="4D862E9C">
                  <w:pPr>
                    <w:pStyle w:val="71"/>
                    <w:rPr>
                      <w:rFonts w:ascii="Times New Roman" w:hAnsi="Times New Roman" w:eastAsiaTheme="minorEastAsia"/>
                      <w:sz w:val="18"/>
                      <w:szCs w:val="18"/>
                    </w:rPr>
                  </w:pPr>
                  <w:r>
                    <w:rPr>
                      <w:rFonts w:hint="eastAsia" w:ascii="Times New Roman" w:hAnsi="Times New Roman" w:eastAsiaTheme="minorEastAsia"/>
                      <w:sz w:val="18"/>
                      <w:szCs w:val="18"/>
                    </w:rPr>
                    <w:t>施工</w:t>
                  </w:r>
                  <w:r>
                    <w:rPr>
                      <w:rFonts w:ascii="Times New Roman" w:hAnsi="Times New Roman" w:eastAsiaTheme="minorEastAsia"/>
                      <w:sz w:val="18"/>
                      <w:szCs w:val="18"/>
                    </w:rPr>
                    <w:t>场界噪声</w:t>
                  </w:r>
                </w:p>
              </w:tc>
            </w:tr>
            <w:tr w14:paraId="760A3B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6" w:type="dxa"/>
                  <w:vMerge w:val="continue"/>
                  <w:vAlign w:val="center"/>
                </w:tcPr>
                <w:p w14:paraId="1686B42C">
                  <w:pPr>
                    <w:pStyle w:val="71"/>
                    <w:rPr>
                      <w:rFonts w:ascii="Times New Roman" w:hAnsi="Times New Roman" w:eastAsiaTheme="minorEastAsia"/>
                      <w:sz w:val="18"/>
                      <w:szCs w:val="18"/>
                    </w:rPr>
                  </w:pPr>
                </w:p>
              </w:tc>
              <w:tc>
                <w:tcPr>
                  <w:tcW w:w="2369" w:type="dxa"/>
                  <w:vAlign w:val="center"/>
                </w:tcPr>
                <w:p w14:paraId="1B91378B">
                  <w:pPr>
                    <w:pStyle w:val="71"/>
                    <w:rPr>
                      <w:rFonts w:ascii="Times New Roman" w:hAnsi="Times New Roman" w:eastAsiaTheme="minorEastAsia"/>
                      <w:sz w:val="18"/>
                      <w:szCs w:val="18"/>
                    </w:rPr>
                  </w:pPr>
                  <w:r>
                    <w:rPr>
                      <w:rFonts w:hint="eastAsia" w:ascii="Times New Roman" w:hAnsi="Times New Roman" w:eastAsiaTheme="minorEastAsia"/>
                      <w:sz w:val="18"/>
                      <w:szCs w:val="18"/>
                    </w:rPr>
                    <w:t>《工业企业厂界环境噪声排放标准》（GB</w:t>
                  </w:r>
                  <w:r>
                    <w:rPr>
                      <w:rFonts w:ascii="Times New Roman" w:hAnsi="Times New Roman" w:eastAsiaTheme="minorEastAsia"/>
                      <w:sz w:val="18"/>
                      <w:szCs w:val="18"/>
                    </w:rPr>
                    <w:t>12348-2008</w:t>
                  </w:r>
                  <w:r>
                    <w:rPr>
                      <w:rFonts w:hint="eastAsia" w:ascii="Times New Roman" w:hAnsi="Times New Roman" w:eastAsiaTheme="minorEastAsia"/>
                      <w:sz w:val="18"/>
                      <w:szCs w:val="18"/>
                    </w:rPr>
                    <w:t>）</w:t>
                  </w:r>
                </w:p>
              </w:tc>
              <w:tc>
                <w:tcPr>
                  <w:tcW w:w="696" w:type="dxa"/>
                  <w:vAlign w:val="center"/>
                </w:tcPr>
                <w:p w14:paraId="34821190">
                  <w:pPr>
                    <w:pStyle w:val="71"/>
                    <w:rPr>
                      <w:rFonts w:ascii="Times New Roman" w:hAnsi="Times New Roman" w:eastAsiaTheme="minorEastAsia"/>
                      <w:sz w:val="18"/>
                      <w:szCs w:val="18"/>
                    </w:rPr>
                  </w:pPr>
                  <w:r>
                    <w:rPr>
                      <w:rFonts w:hint="eastAsia" w:ascii="Times New Roman" w:hAnsi="Times New Roman" w:eastAsiaTheme="minorEastAsia"/>
                      <w:sz w:val="18"/>
                      <w:szCs w:val="18"/>
                    </w:rPr>
                    <w:t>4类</w:t>
                  </w:r>
                </w:p>
              </w:tc>
              <w:tc>
                <w:tcPr>
                  <w:tcW w:w="888" w:type="dxa"/>
                  <w:vAlign w:val="center"/>
                </w:tcPr>
                <w:p w14:paraId="25EBC95C">
                  <w:pPr>
                    <w:pStyle w:val="71"/>
                    <w:rPr>
                      <w:rFonts w:ascii="Times New Roman" w:hAnsi="Times New Roman" w:eastAsiaTheme="minorEastAsia"/>
                      <w:sz w:val="18"/>
                      <w:szCs w:val="18"/>
                    </w:rPr>
                  </w:pPr>
                  <w:r>
                    <w:rPr>
                      <w:rFonts w:hint="eastAsia" w:ascii="Times New Roman" w:hAnsi="Times New Roman" w:eastAsiaTheme="minorEastAsia"/>
                      <w:sz w:val="18"/>
                      <w:szCs w:val="18"/>
                    </w:rPr>
                    <w:t>厂界噪声</w:t>
                  </w:r>
                </w:p>
              </w:tc>
              <w:tc>
                <w:tcPr>
                  <w:tcW w:w="1535" w:type="dxa"/>
                  <w:vAlign w:val="center"/>
                </w:tcPr>
                <w:p w14:paraId="64D36E5A">
                  <w:pPr>
                    <w:pStyle w:val="71"/>
                    <w:rPr>
                      <w:rFonts w:ascii="Times New Roman" w:hAnsi="Times New Roman" w:eastAsiaTheme="minorEastAsia"/>
                      <w:sz w:val="18"/>
                      <w:szCs w:val="18"/>
                    </w:rPr>
                  </w:pPr>
                  <w:r>
                    <w:rPr>
                      <w:rFonts w:ascii="Times New Roman" w:hAnsi="Times New Roman" w:eastAsiaTheme="minorEastAsia"/>
                      <w:sz w:val="18"/>
                      <w:szCs w:val="18"/>
                    </w:rPr>
                    <w:t>等效连续A声级</w:t>
                  </w:r>
                </w:p>
              </w:tc>
              <w:tc>
                <w:tcPr>
                  <w:tcW w:w="1630" w:type="dxa"/>
                  <w:vAlign w:val="center"/>
                </w:tcPr>
                <w:p w14:paraId="523562AC">
                  <w:pPr>
                    <w:pStyle w:val="71"/>
                    <w:rPr>
                      <w:rFonts w:ascii="Times New Roman" w:hAnsi="Times New Roman" w:eastAsiaTheme="minorEastAsia"/>
                      <w:sz w:val="18"/>
                      <w:szCs w:val="18"/>
                    </w:rPr>
                  </w:pPr>
                  <w:r>
                    <w:rPr>
                      <w:rFonts w:ascii="Times New Roman" w:hAnsi="Times New Roman" w:eastAsiaTheme="minorEastAsia"/>
                      <w:sz w:val="18"/>
                      <w:szCs w:val="18"/>
                    </w:rPr>
                    <w:t>昼间</w:t>
                  </w:r>
                  <w:r>
                    <w:rPr>
                      <w:rFonts w:hint="eastAsia" w:ascii="Times New Roman" w:hAnsi="Times New Roman" w:eastAsiaTheme="minorEastAsia"/>
                      <w:sz w:val="18"/>
                      <w:szCs w:val="18"/>
                    </w:rPr>
                    <w:t>70</w:t>
                  </w:r>
                  <w:r>
                    <w:rPr>
                      <w:rFonts w:ascii="Times New Roman" w:hAnsi="Times New Roman" w:eastAsiaTheme="minorEastAsia"/>
                      <w:sz w:val="18"/>
                      <w:szCs w:val="18"/>
                    </w:rPr>
                    <w:t>dB(A)</w:t>
                  </w:r>
                </w:p>
                <w:p w14:paraId="3142F650">
                  <w:pPr>
                    <w:pStyle w:val="71"/>
                    <w:rPr>
                      <w:rFonts w:ascii="Times New Roman" w:hAnsi="Times New Roman" w:eastAsiaTheme="minorEastAsia"/>
                      <w:sz w:val="18"/>
                      <w:szCs w:val="18"/>
                    </w:rPr>
                  </w:pPr>
                  <w:r>
                    <w:rPr>
                      <w:rFonts w:ascii="Times New Roman" w:hAnsi="Times New Roman" w:eastAsiaTheme="minorEastAsia"/>
                      <w:sz w:val="18"/>
                      <w:szCs w:val="18"/>
                    </w:rPr>
                    <w:t>夜间5</w:t>
                  </w:r>
                  <w:r>
                    <w:rPr>
                      <w:rFonts w:hint="eastAsia" w:ascii="Times New Roman" w:hAnsi="Times New Roman" w:eastAsiaTheme="minorEastAsia"/>
                      <w:sz w:val="18"/>
                      <w:szCs w:val="18"/>
                    </w:rPr>
                    <w:t>5</w:t>
                  </w:r>
                  <w:r>
                    <w:rPr>
                      <w:rFonts w:ascii="Times New Roman" w:hAnsi="Times New Roman" w:eastAsiaTheme="minorEastAsia"/>
                      <w:sz w:val="18"/>
                      <w:szCs w:val="18"/>
                    </w:rPr>
                    <w:t>dB(A)</w:t>
                  </w:r>
                </w:p>
              </w:tc>
              <w:tc>
                <w:tcPr>
                  <w:tcW w:w="1322" w:type="dxa"/>
                  <w:vAlign w:val="center"/>
                </w:tcPr>
                <w:p w14:paraId="49B9AC32">
                  <w:pPr>
                    <w:pStyle w:val="71"/>
                    <w:rPr>
                      <w:rFonts w:ascii="Times New Roman" w:hAnsi="Times New Roman" w:eastAsiaTheme="minorEastAsia"/>
                      <w:sz w:val="18"/>
                      <w:szCs w:val="18"/>
                    </w:rPr>
                  </w:pPr>
                  <w:r>
                    <w:rPr>
                      <w:rFonts w:hint="eastAsia" w:ascii="Times New Roman" w:hAnsi="Times New Roman" w:eastAsiaTheme="minorEastAsia"/>
                      <w:sz w:val="18"/>
                      <w:szCs w:val="18"/>
                    </w:rPr>
                    <w:t>运营期噪声</w:t>
                  </w:r>
                </w:p>
              </w:tc>
            </w:tr>
          </w:tbl>
          <w:p w14:paraId="762CDBC1">
            <w:pPr>
              <w:spacing w:line="360" w:lineRule="auto"/>
              <w:ind w:right="178" w:rightChars="85"/>
              <w:rPr>
                <w:b/>
                <w:sz w:val="24"/>
              </w:rPr>
            </w:pPr>
            <w:r>
              <w:rPr>
                <w:b/>
                <w:sz w:val="24"/>
              </w:rPr>
              <w:t>3.</w:t>
            </w:r>
            <w:r>
              <w:rPr>
                <w:rFonts w:hint="eastAsia"/>
                <w:b/>
                <w:sz w:val="24"/>
              </w:rPr>
              <w:t>3 总量控制指标</w:t>
            </w:r>
          </w:p>
          <w:p w14:paraId="76549314">
            <w:pPr>
              <w:spacing w:line="360" w:lineRule="auto"/>
              <w:ind w:right="178" w:rightChars="85" w:firstLine="480" w:firstLineChars="200"/>
              <w:rPr>
                <w:sz w:val="24"/>
              </w:rPr>
            </w:pPr>
            <w:r>
              <w:rPr>
                <w:rFonts w:hint="eastAsia"/>
                <w:sz w:val="24"/>
              </w:rPr>
              <w:t>本项目</w:t>
            </w:r>
            <w:r>
              <w:rPr>
                <w:rFonts w:hint="eastAsia"/>
                <w:sz w:val="24"/>
                <w:lang w:eastAsia="zh-CN"/>
              </w:rPr>
              <w:t>为</w:t>
            </w:r>
            <w:r>
              <w:rPr>
                <w:rFonts w:hint="eastAsia"/>
                <w:sz w:val="24"/>
              </w:rPr>
              <w:t>中华路客运码头改造提升项目，属于非工业项目。且本项目生活污水经预处理后可以进入</w:t>
            </w:r>
            <w:r>
              <w:rPr>
                <w:rFonts w:hint="eastAsia"/>
                <w:sz w:val="24"/>
                <w:lang w:eastAsia="zh-CN"/>
              </w:rPr>
              <w:t>二郎庙</w:t>
            </w:r>
            <w:r>
              <w:rPr>
                <w:rFonts w:hint="eastAsia"/>
                <w:sz w:val="24"/>
              </w:rPr>
              <w:t>污水处理厂处理。故本项目无需申请污染物排放总量指标。</w:t>
            </w:r>
          </w:p>
          <w:p w14:paraId="49E29B15">
            <w:pPr>
              <w:jc w:val="center"/>
              <w:rPr>
                <w:b/>
              </w:rPr>
            </w:pPr>
          </w:p>
          <w:p w14:paraId="2B5E78D6">
            <w:pPr>
              <w:jc w:val="center"/>
              <w:rPr>
                <w:b/>
              </w:rPr>
            </w:pPr>
          </w:p>
          <w:p w14:paraId="2A50209E">
            <w:pPr>
              <w:jc w:val="center"/>
              <w:rPr>
                <w:b/>
              </w:rPr>
            </w:pPr>
          </w:p>
          <w:p w14:paraId="3552C9BC">
            <w:pPr>
              <w:jc w:val="center"/>
              <w:rPr>
                <w:b/>
              </w:rPr>
            </w:pPr>
          </w:p>
          <w:p w14:paraId="01278593">
            <w:pPr>
              <w:jc w:val="center"/>
              <w:rPr>
                <w:b/>
              </w:rPr>
            </w:pPr>
          </w:p>
          <w:p w14:paraId="3AF7395C">
            <w:pPr>
              <w:jc w:val="center"/>
              <w:rPr>
                <w:b/>
              </w:rPr>
            </w:pPr>
          </w:p>
          <w:p w14:paraId="196BED9C">
            <w:pPr>
              <w:jc w:val="center"/>
              <w:rPr>
                <w:b/>
              </w:rPr>
            </w:pPr>
          </w:p>
          <w:p w14:paraId="045020A6">
            <w:pPr>
              <w:jc w:val="center"/>
              <w:rPr>
                <w:b/>
              </w:rPr>
            </w:pPr>
          </w:p>
          <w:p w14:paraId="06254CA2">
            <w:pPr>
              <w:jc w:val="center"/>
              <w:rPr>
                <w:b/>
              </w:rPr>
            </w:pPr>
          </w:p>
          <w:p w14:paraId="5085D0B4">
            <w:pPr>
              <w:jc w:val="center"/>
              <w:rPr>
                <w:b/>
              </w:rPr>
            </w:pPr>
          </w:p>
          <w:p w14:paraId="0151FCE5">
            <w:pPr>
              <w:jc w:val="center"/>
              <w:rPr>
                <w:b/>
              </w:rPr>
            </w:pPr>
          </w:p>
          <w:p w14:paraId="60B3213F">
            <w:pPr>
              <w:jc w:val="center"/>
              <w:rPr>
                <w:b/>
              </w:rPr>
            </w:pPr>
          </w:p>
        </w:tc>
      </w:tr>
    </w:tbl>
    <w:p w14:paraId="42910BB2">
      <w:pPr>
        <w:pStyle w:val="4"/>
        <w:rPr>
          <w:rFonts w:ascii="Times New Roman" w:hAnsi="Times New Roman"/>
          <w:color w:val="auto"/>
        </w:rPr>
      </w:pPr>
      <w:bookmarkStart w:id="5" w:name="_Toc520382820"/>
      <w:r>
        <w:rPr>
          <w:rFonts w:ascii="Times New Roman" w:hAnsi="Times New Roman"/>
          <w:color w:val="auto"/>
        </w:rPr>
        <w:t xml:space="preserve">表四  </w:t>
      </w:r>
      <w:r>
        <w:rPr>
          <w:rFonts w:hint="eastAsia" w:ascii="Times New Roman" w:hAnsi="Times New Roman"/>
          <w:color w:val="auto"/>
        </w:rPr>
        <w:t>工程</w:t>
      </w:r>
      <w:r>
        <w:rPr>
          <w:rFonts w:ascii="Times New Roman" w:hAnsi="Times New Roman"/>
          <w:color w:val="auto"/>
        </w:rPr>
        <w:t>概况</w:t>
      </w:r>
      <w:bookmarkEnd w:id="5"/>
    </w:p>
    <w:tbl>
      <w:tblPr>
        <w:tblStyle w:val="23"/>
        <w:tblW w:w="928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5"/>
        <w:gridCol w:w="7281"/>
      </w:tblGrid>
      <w:tr w14:paraId="54785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809" w:type="dxa"/>
            <w:vAlign w:val="center"/>
          </w:tcPr>
          <w:p w14:paraId="7CEA0156">
            <w:pPr>
              <w:pStyle w:val="86"/>
              <w:ind w:firstLine="0" w:firstLineChars="0"/>
              <w:jc w:val="center"/>
              <w:rPr>
                <w:rFonts w:hint="default" w:ascii="Times New Roman" w:hAnsi="Times New Roman" w:cs="Times New Roman"/>
                <w:bCs/>
                <w:color w:val="000000"/>
                <w:sz w:val="24"/>
                <w:szCs w:val="24"/>
              </w:rPr>
            </w:pPr>
            <w:r>
              <w:rPr>
                <w:rFonts w:hint="default" w:ascii="Times New Roman" w:hAnsi="Times New Roman" w:cs="Times New Roman"/>
                <w:bCs/>
                <w:color w:val="000000"/>
                <w:sz w:val="24"/>
                <w:szCs w:val="24"/>
              </w:rPr>
              <w:t>项目名称</w:t>
            </w:r>
          </w:p>
        </w:tc>
        <w:tc>
          <w:tcPr>
            <w:tcW w:w="7477" w:type="dxa"/>
            <w:vAlign w:val="center"/>
          </w:tcPr>
          <w:p w14:paraId="4D39DF7F">
            <w:pPr>
              <w:pStyle w:val="86"/>
              <w:ind w:firstLine="0" w:firstLineChars="0"/>
              <w:jc w:val="center"/>
              <w:rPr>
                <w:rFonts w:hint="default" w:ascii="Times New Roman" w:hAnsi="Times New Roman" w:eastAsia="宋体" w:cs="Times New Roman"/>
                <w:bCs/>
                <w:color w:val="000000"/>
                <w:sz w:val="24"/>
                <w:szCs w:val="24"/>
                <w:lang w:eastAsia="zh-CN"/>
              </w:rPr>
            </w:pPr>
            <w:r>
              <w:rPr>
                <w:rFonts w:hint="default" w:ascii="Times New Roman" w:hAnsi="Times New Roman" w:cs="Times New Roman"/>
                <w:bCs/>
                <w:color w:val="000000"/>
                <w:sz w:val="24"/>
                <w:szCs w:val="24"/>
                <w:lang w:eastAsia="zh-CN"/>
              </w:rPr>
              <w:t>武汉港核心区趸船码头改造提升项目（中华路客运码头）</w:t>
            </w:r>
          </w:p>
        </w:tc>
      </w:tr>
      <w:tr w14:paraId="75B24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809" w:type="dxa"/>
            <w:vAlign w:val="center"/>
          </w:tcPr>
          <w:p w14:paraId="71A26D23">
            <w:pPr>
              <w:pStyle w:val="86"/>
              <w:ind w:firstLine="0" w:firstLineChars="0"/>
              <w:jc w:val="center"/>
              <w:rPr>
                <w:rFonts w:hint="default" w:ascii="Times New Roman" w:hAnsi="Times New Roman" w:cs="Times New Roman"/>
                <w:bCs/>
                <w:color w:val="000000"/>
                <w:sz w:val="24"/>
                <w:szCs w:val="24"/>
              </w:rPr>
            </w:pPr>
            <w:r>
              <w:rPr>
                <w:rFonts w:hint="default" w:ascii="Times New Roman" w:hAnsi="Times New Roman" w:cs="Times New Roman"/>
                <w:bCs/>
                <w:color w:val="000000"/>
                <w:sz w:val="24"/>
                <w:szCs w:val="24"/>
              </w:rPr>
              <w:t>项目地理位置</w:t>
            </w:r>
          </w:p>
        </w:tc>
        <w:tc>
          <w:tcPr>
            <w:tcW w:w="7477" w:type="dxa"/>
            <w:vAlign w:val="center"/>
          </w:tcPr>
          <w:p w14:paraId="34FCE7F3">
            <w:pPr>
              <w:pStyle w:val="86"/>
              <w:ind w:firstLine="0" w:firstLineChars="0"/>
              <w:rPr>
                <w:rFonts w:hint="default" w:ascii="Times New Roman" w:hAnsi="Times New Roman" w:cs="Times New Roman"/>
                <w:bCs/>
                <w:color w:val="000000"/>
                <w:sz w:val="24"/>
                <w:szCs w:val="24"/>
              </w:rPr>
            </w:pPr>
            <w:bookmarkStart w:id="6" w:name="_Hlk55812319"/>
            <w:r>
              <w:rPr>
                <w:rFonts w:hint="default" w:ascii="Times New Roman" w:hAnsi="Times New Roman" w:cs="Times New Roman"/>
                <w:bCs/>
                <w:color w:val="000000"/>
                <w:sz w:val="24"/>
                <w:szCs w:val="24"/>
              </w:rPr>
              <w:t>项目</w:t>
            </w:r>
            <w:r>
              <w:rPr>
                <w:rFonts w:hint="default" w:ascii="Times New Roman" w:hAnsi="Times New Roman" w:cs="Times New Roman"/>
                <w:bCs/>
                <w:color w:val="000000"/>
                <w:sz w:val="24"/>
                <w:szCs w:val="24"/>
                <w:lang w:eastAsia="zh-CN"/>
              </w:rPr>
              <w:t>位于武汉长江大桥下游400m水域，</w:t>
            </w:r>
            <w:bookmarkEnd w:id="6"/>
            <w:r>
              <w:rPr>
                <w:rFonts w:hint="default" w:ascii="Times New Roman" w:hAnsi="Times New Roman" w:cs="Times New Roman"/>
                <w:bCs/>
                <w:color w:val="000000"/>
                <w:sz w:val="24"/>
                <w:szCs w:val="24"/>
                <w:lang w:eastAsia="zh-CN"/>
              </w:rPr>
              <w:t>见附图1。</w:t>
            </w:r>
          </w:p>
        </w:tc>
      </w:tr>
      <w:tr w14:paraId="686AD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77" w:hRule="atLeast"/>
        </w:trPr>
        <w:tc>
          <w:tcPr>
            <w:tcW w:w="9286" w:type="dxa"/>
            <w:gridSpan w:val="2"/>
          </w:tcPr>
          <w:p w14:paraId="3B4980A1">
            <w:pPr>
              <w:spacing w:line="360" w:lineRule="auto"/>
              <w:rPr>
                <w:rFonts w:hint="default" w:ascii="Times New Roman" w:hAnsi="Times New Roman" w:cs="Times New Roman"/>
                <w:b/>
                <w:sz w:val="24"/>
              </w:rPr>
            </w:pPr>
            <w:r>
              <w:rPr>
                <w:rFonts w:hint="default" w:ascii="Times New Roman" w:hAnsi="Times New Roman" w:cs="Times New Roman"/>
                <w:b/>
                <w:sz w:val="24"/>
              </w:rPr>
              <w:t>4.1 主要工程内容及规模</w:t>
            </w:r>
          </w:p>
          <w:p w14:paraId="2D503D08">
            <w:pPr>
              <w:pStyle w:val="86"/>
              <w:ind w:firstLine="480"/>
              <w:rPr>
                <w:rFonts w:hint="default" w:ascii="Times New Roman" w:hAnsi="Times New Roman" w:cs="Times New Roman"/>
                <w:bCs/>
                <w:color w:val="000000"/>
                <w:sz w:val="24"/>
              </w:rPr>
            </w:pPr>
            <w:bookmarkStart w:id="7" w:name="_Hlk55812343"/>
            <w:r>
              <w:rPr>
                <w:rFonts w:hint="default" w:ascii="Times New Roman" w:hAnsi="Times New Roman" w:cs="Times New Roman"/>
                <w:bCs/>
                <w:color w:val="000000"/>
                <w:sz w:val="24"/>
              </w:rPr>
              <w:t>本项目具体建设内容详见下表。</w:t>
            </w:r>
          </w:p>
          <w:p w14:paraId="4E1C82ED">
            <w:pPr>
              <w:pStyle w:val="89"/>
              <w:spacing w:before="0" w:after="0" w:line="360" w:lineRule="auto"/>
              <w:rPr>
                <w:rFonts w:hint="default" w:ascii="Times New Roman" w:hAnsi="Times New Roman" w:cs="Times New Roman"/>
                <w:b w:val="0"/>
                <w:color w:val="000000"/>
                <w:sz w:val="21"/>
                <w:szCs w:val="21"/>
              </w:rPr>
            </w:pPr>
            <w:bookmarkStart w:id="8" w:name="_Ref490643305"/>
            <w:r>
              <w:rPr>
                <w:rFonts w:hint="default" w:ascii="Times New Roman" w:hAnsi="Times New Roman" w:cs="Times New Roman"/>
                <w:b w:val="0"/>
                <w:color w:val="000000"/>
                <w:sz w:val="21"/>
                <w:szCs w:val="21"/>
              </w:rPr>
              <w:t>表4-1  项目主要建设内容一览表</w:t>
            </w:r>
            <w:bookmarkEnd w:id="8"/>
          </w:p>
          <w:bookmarkEnd w:id="7"/>
          <w:tbl>
            <w:tblPr>
              <w:tblStyle w:val="23"/>
              <w:tblW w:w="4997" w:type="pct"/>
              <w:tblInd w:w="0" w:type="dxa"/>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47"/>
              <w:gridCol w:w="885"/>
              <w:gridCol w:w="3426"/>
              <w:gridCol w:w="2280"/>
              <w:gridCol w:w="1727"/>
            </w:tblGrid>
            <w:tr w14:paraId="17548485">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12" w:type="pct"/>
                  <w:tcBorders>
                    <w:top w:val="single" w:color="auto" w:sz="12" w:space="0"/>
                    <w:bottom w:val="single" w:color="auto" w:sz="8" w:space="0"/>
                  </w:tcBorders>
                  <w:noWrap w:val="0"/>
                  <w:vAlign w:val="center"/>
                </w:tcPr>
                <w:p w14:paraId="5DA55E97">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工程类别</w:t>
                  </w:r>
                </w:p>
              </w:tc>
              <w:tc>
                <w:tcPr>
                  <w:tcW w:w="488" w:type="pct"/>
                  <w:tcBorders>
                    <w:top w:val="single" w:color="auto" w:sz="12" w:space="0"/>
                    <w:bottom w:val="single" w:color="auto" w:sz="12" w:space="0"/>
                  </w:tcBorders>
                  <w:noWrap w:val="0"/>
                  <w:vAlign w:val="center"/>
                </w:tcPr>
                <w:p w14:paraId="309C3D56">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建设内容</w:t>
                  </w:r>
                </w:p>
              </w:tc>
              <w:tc>
                <w:tcPr>
                  <w:tcW w:w="1889" w:type="pct"/>
                  <w:tcBorders>
                    <w:top w:val="single" w:color="auto" w:sz="12" w:space="0"/>
                    <w:bottom w:val="single" w:color="auto" w:sz="12" w:space="0"/>
                  </w:tcBorders>
                  <w:noWrap w:val="0"/>
                  <w:vAlign w:val="center"/>
                </w:tcPr>
                <w:p w14:paraId="54574E39">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lang w:eastAsia="zh-CN"/>
                    </w:rPr>
                    <w:t>环评</w:t>
                  </w:r>
                  <w:r>
                    <w:rPr>
                      <w:rFonts w:hint="default" w:ascii="Times New Roman" w:hAnsi="Times New Roman" w:cs="Times New Roman"/>
                      <w:sz w:val="18"/>
                      <w:szCs w:val="18"/>
                    </w:rPr>
                    <w:t>建设规模</w:t>
                  </w:r>
                </w:p>
              </w:tc>
              <w:tc>
                <w:tcPr>
                  <w:tcW w:w="1257" w:type="pct"/>
                  <w:tcBorders>
                    <w:top w:val="single" w:color="auto" w:sz="12" w:space="0"/>
                    <w:bottom w:val="single" w:color="auto" w:sz="12" w:space="0"/>
                  </w:tcBorders>
                  <w:noWrap w:val="0"/>
                  <w:vAlign w:val="center"/>
                </w:tcPr>
                <w:p w14:paraId="067F3E9A">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cs="Times New Roman"/>
                      <w:sz w:val="18"/>
                      <w:szCs w:val="18"/>
                      <w:lang w:eastAsia="zh-CN"/>
                    </w:rPr>
                    <w:t>实际建设规模</w:t>
                  </w:r>
                </w:p>
              </w:tc>
              <w:tc>
                <w:tcPr>
                  <w:tcW w:w="952" w:type="pct"/>
                  <w:tcBorders>
                    <w:top w:val="single" w:color="auto" w:sz="12" w:space="0"/>
                    <w:bottom w:val="single" w:color="auto" w:sz="12" w:space="0"/>
                  </w:tcBorders>
                  <w:noWrap w:val="0"/>
                  <w:vAlign w:val="center"/>
                </w:tcPr>
                <w:p w14:paraId="0741680B">
                  <w:pPr>
                    <w:adjustRightInd w:val="0"/>
                    <w:snapToGrid w:val="0"/>
                    <w:jc w:val="center"/>
                    <w:rPr>
                      <w:rFonts w:hint="default" w:ascii="Times New Roman" w:hAnsi="Times New Roman" w:cs="Times New Roman"/>
                      <w:sz w:val="18"/>
                      <w:szCs w:val="18"/>
                      <w:lang w:eastAsia="zh-CN"/>
                    </w:rPr>
                  </w:pPr>
                  <w:r>
                    <w:rPr>
                      <w:rFonts w:hint="default" w:ascii="Times New Roman" w:hAnsi="Times New Roman" w:cs="Times New Roman"/>
                      <w:sz w:val="18"/>
                      <w:szCs w:val="18"/>
                      <w:lang w:eastAsia="zh-CN"/>
                    </w:rPr>
                    <w:t>变动情况</w:t>
                  </w:r>
                </w:p>
              </w:tc>
            </w:tr>
            <w:tr w14:paraId="04CA5D71">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12" w:type="pct"/>
                  <w:noWrap w:val="0"/>
                  <w:vAlign w:val="center"/>
                </w:tcPr>
                <w:p w14:paraId="0D7E8EFA">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主体工程</w:t>
                  </w:r>
                </w:p>
              </w:tc>
              <w:tc>
                <w:tcPr>
                  <w:tcW w:w="488" w:type="pct"/>
                  <w:tcBorders>
                    <w:top w:val="single" w:color="auto" w:sz="4" w:space="0"/>
                  </w:tcBorders>
                  <w:noWrap w:val="0"/>
                  <w:vAlign w:val="center"/>
                </w:tcPr>
                <w:p w14:paraId="144A5152">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中华路码头</w:t>
                  </w:r>
                </w:p>
              </w:tc>
              <w:tc>
                <w:tcPr>
                  <w:tcW w:w="1889" w:type="pct"/>
                  <w:tcBorders>
                    <w:top w:val="single" w:color="auto" w:sz="4" w:space="0"/>
                  </w:tcBorders>
                  <w:noWrap w:val="0"/>
                  <w:vAlign w:val="center"/>
                </w:tcPr>
                <w:p w14:paraId="616696F4">
                  <w:p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现有中华路码头趸船，原红巷码头趸船、引桥等构筑物全部拆除更新改造，仅保留原中华路码头闸口处的售票房、办公室、变电所和引桥。码头提升改造后拟建8个泊位，由于区域内布置有丁家巷军用码头，为不影响丁家巷军用码头的使用，本工程泊位未连续布置（丁家巷军用码头上游布置1#～2#泊位，下游布置3#～8#泊位），共设置4艘104×28m（总长×型宽）趸船，配套建设钢引桥、提升楼、固定墩台、固定钢引桥、踏步及撑杆（钢管定位桩）消能系统、给排水管网等。</w:t>
                  </w:r>
                </w:p>
              </w:tc>
              <w:tc>
                <w:tcPr>
                  <w:tcW w:w="1257" w:type="pct"/>
                  <w:tcBorders>
                    <w:top w:val="single" w:color="auto" w:sz="4" w:space="0"/>
                  </w:tcBorders>
                  <w:noWrap w:val="0"/>
                  <w:vAlign w:val="center"/>
                </w:tcPr>
                <w:p w14:paraId="548ECBD5">
                  <w:pPr>
                    <w:adjustRightInd w:val="0"/>
                    <w:snapToGrid w:val="0"/>
                    <w:jc w:val="left"/>
                    <w:rPr>
                      <w:rFonts w:hint="default" w:ascii="Times New Roman" w:hAnsi="Times New Roman" w:eastAsia="宋体" w:cs="Times New Roman"/>
                      <w:sz w:val="18"/>
                      <w:szCs w:val="18"/>
                      <w:lang w:val="en-US" w:eastAsia="zh-CN"/>
                    </w:rPr>
                  </w:pPr>
                  <w:r>
                    <w:rPr>
                      <w:rFonts w:hint="default" w:ascii="Times New Roman" w:hAnsi="Times New Roman" w:cs="Times New Roman"/>
                      <w:sz w:val="18"/>
                      <w:szCs w:val="18"/>
                    </w:rPr>
                    <w:t>现有中华路码头趸船，原红巷码头趸船、引桥等构筑物全部拆除更新改造，仅保留原中华路码头闸口处的售票房、办公室、变电所和引桥。</w:t>
                  </w:r>
                  <w:r>
                    <w:rPr>
                      <w:rFonts w:hint="default" w:ascii="Times New Roman" w:hAnsi="Times New Roman" w:cs="Times New Roman"/>
                      <w:sz w:val="18"/>
                      <w:szCs w:val="18"/>
                      <w:lang w:eastAsia="zh-CN"/>
                    </w:rPr>
                    <w:t>由于保障筷子口泵站运行，</w:t>
                  </w:r>
                  <w:r>
                    <w:rPr>
                      <w:rFonts w:hint="default" w:ascii="Times New Roman" w:hAnsi="Times New Roman" w:cs="Times New Roman"/>
                      <w:sz w:val="18"/>
                      <w:szCs w:val="18"/>
                    </w:rPr>
                    <w:t>共设置</w:t>
                  </w:r>
                  <w:r>
                    <w:rPr>
                      <w:rFonts w:hint="default" w:ascii="Times New Roman" w:hAnsi="Times New Roman" w:cs="Times New Roman"/>
                      <w:sz w:val="18"/>
                      <w:szCs w:val="18"/>
                      <w:lang w:val="en-US" w:eastAsia="zh-CN"/>
                    </w:rPr>
                    <w:t>3</w:t>
                  </w:r>
                  <w:r>
                    <w:rPr>
                      <w:rFonts w:hint="default" w:ascii="Times New Roman" w:hAnsi="Times New Roman" w:cs="Times New Roman"/>
                      <w:sz w:val="18"/>
                      <w:szCs w:val="18"/>
                    </w:rPr>
                    <w:t>艘104×28m（总长×型宽）趸船，配套建设钢引桥、提升楼、固定墩台、固定钢引桥、踏步及撑杆（钢管定位桩）消能系统、给排水管网等</w:t>
                  </w:r>
                  <w:r>
                    <w:rPr>
                      <w:rFonts w:hint="default" w:ascii="Times New Roman" w:hAnsi="Times New Roman" w:cs="Times New Roman"/>
                      <w:sz w:val="18"/>
                      <w:szCs w:val="18"/>
                      <w:lang w:val="en-US" w:eastAsia="zh-CN"/>
                    </w:rPr>
                    <w:t>，泊位调整为6个</w:t>
                  </w:r>
                </w:p>
              </w:tc>
              <w:tc>
                <w:tcPr>
                  <w:tcW w:w="952" w:type="pct"/>
                  <w:tcBorders>
                    <w:top w:val="single" w:color="auto" w:sz="4" w:space="0"/>
                  </w:tcBorders>
                  <w:noWrap w:val="0"/>
                  <w:vAlign w:val="center"/>
                </w:tcPr>
                <w:p w14:paraId="01D5F4BB">
                  <w:pPr>
                    <w:adjustRightInd w:val="0"/>
                    <w:snapToGrid w:val="0"/>
                    <w:jc w:val="left"/>
                    <w:rPr>
                      <w:rFonts w:hint="default" w:ascii="Times New Roman" w:hAnsi="Times New Roman" w:eastAsia="宋体" w:cs="Times New Roman"/>
                      <w:sz w:val="18"/>
                      <w:szCs w:val="18"/>
                      <w:lang w:val="en-US" w:eastAsia="zh-CN"/>
                    </w:rPr>
                  </w:pPr>
                  <w:r>
                    <w:rPr>
                      <w:rFonts w:hint="default" w:ascii="Times New Roman" w:hAnsi="Times New Roman" w:cs="Times New Roman"/>
                      <w:sz w:val="18"/>
                      <w:szCs w:val="18"/>
                      <w:lang w:eastAsia="zh-CN"/>
                    </w:rPr>
                    <w:t>趸船由</w:t>
                  </w:r>
                  <w:r>
                    <w:rPr>
                      <w:rFonts w:hint="default" w:ascii="Times New Roman" w:hAnsi="Times New Roman" w:cs="Times New Roman"/>
                      <w:sz w:val="18"/>
                      <w:szCs w:val="18"/>
                      <w:lang w:val="en-US" w:eastAsia="zh-CN"/>
                    </w:rPr>
                    <w:t>4艘调整为3艘，泊位由8个调整为6个</w:t>
                  </w:r>
                </w:p>
              </w:tc>
            </w:tr>
            <w:tr w14:paraId="56D13A68">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64" w:hRule="atLeast"/>
              </w:trPr>
              <w:tc>
                <w:tcPr>
                  <w:tcW w:w="412" w:type="pct"/>
                  <w:vMerge w:val="restart"/>
                  <w:noWrap w:val="0"/>
                  <w:vAlign w:val="center"/>
                </w:tcPr>
                <w:p w14:paraId="67BC91AA">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公用工程</w:t>
                  </w:r>
                </w:p>
              </w:tc>
              <w:tc>
                <w:tcPr>
                  <w:tcW w:w="488" w:type="pct"/>
                  <w:noWrap w:val="0"/>
                  <w:vAlign w:val="center"/>
                </w:tcPr>
                <w:p w14:paraId="515372DC">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供水</w:t>
                  </w:r>
                </w:p>
              </w:tc>
              <w:tc>
                <w:tcPr>
                  <w:tcW w:w="1889" w:type="pct"/>
                  <w:noWrap w:val="0"/>
                  <w:vAlign w:val="center"/>
                </w:tcPr>
                <w:p w14:paraId="2E062AE9">
                  <w:p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本工程给水水源由市政管网供给，以临江大道市政给水管为水源。本工程给水管由市政给水管接入一根DN100给水管，接管点位于中华路路口处，交接点水压≥0.3MPa。</w:t>
                  </w:r>
                </w:p>
              </w:tc>
              <w:tc>
                <w:tcPr>
                  <w:tcW w:w="1257" w:type="pct"/>
                  <w:noWrap w:val="0"/>
                  <w:vAlign w:val="center"/>
                </w:tcPr>
                <w:p w14:paraId="6043BAA2">
                  <w:p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本工程给水水源由市政管网供给，以临江大道市政给水管为水源。本工程给水管由市政给水管接入一根DN100给水管，接管点位于中华路路口处，交接点水压≥0.3MPa。</w:t>
                  </w:r>
                </w:p>
              </w:tc>
              <w:tc>
                <w:tcPr>
                  <w:tcW w:w="952" w:type="pct"/>
                  <w:noWrap w:val="0"/>
                  <w:vAlign w:val="center"/>
                </w:tcPr>
                <w:p w14:paraId="779D38C6">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cs="Times New Roman"/>
                      <w:sz w:val="18"/>
                      <w:szCs w:val="18"/>
                      <w:lang w:eastAsia="zh-CN"/>
                    </w:rPr>
                    <w:t>与环评一致</w:t>
                  </w:r>
                </w:p>
              </w:tc>
            </w:tr>
            <w:tr w14:paraId="1377673B">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412" w:type="pct"/>
                  <w:vMerge w:val="continue"/>
                  <w:noWrap w:val="0"/>
                  <w:vAlign w:val="center"/>
                </w:tcPr>
                <w:p w14:paraId="7789B968">
                  <w:pPr>
                    <w:adjustRightInd w:val="0"/>
                    <w:snapToGrid w:val="0"/>
                    <w:jc w:val="center"/>
                    <w:rPr>
                      <w:rFonts w:hint="default" w:ascii="Times New Roman" w:hAnsi="Times New Roman" w:cs="Times New Roman"/>
                      <w:sz w:val="18"/>
                      <w:szCs w:val="18"/>
                    </w:rPr>
                  </w:pPr>
                </w:p>
              </w:tc>
              <w:tc>
                <w:tcPr>
                  <w:tcW w:w="488" w:type="pct"/>
                  <w:noWrap w:val="0"/>
                  <w:vAlign w:val="center"/>
                </w:tcPr>
                <w:p w14:paraId="6AC3CAD3">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排水</w:t>
                  </w:r>
                </w:p>
              </w:tc>
              <w:tc>
                <w:tcPr>
                  <w:tcW w:w="1889" w:type="pct"/>
                  <w:noWrap w:val="0"/>
                  <w:vAlign w:val="center"/>
                </w:tcPr>
                <w:p w14:paraId="63DFA386">
                  <w:p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项目排水雨污分流，污水由潜水排污泵泵送至市政污水管网，本项目污水管网拟沿提升楼、钢引桥隐秘布置，由于码头所在地迎水面无临江大道接管点，本项目污水管道，需从临江大道堤防顶部翻越后，就近接入临江大道市政污水管道。项目污水管道施工前，应向相关主管部门办理施工手续。</w:t>
                  </w:r>
                </w:p>
              </w:tc>
              <w:tc>
                <w:tcPr>
                  <w:tcW w:w="1257" w:type="pct"/>
                  <w:noWrap w:val="0"/>
                  <w:vAlign w:val="center"/>
                </w:tcPr>
                <w:p w14:paraId="312C373A">
                  <w:p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项目排水雨污分流，污水由潜水排污泵泵送至市政污水管网，本项目污水管网沿提升楼、钢引桥隐秘布置，从临江大道堤防顶部翻越后，就近接入临江大道市政污水管道。项目污水管道施工前，</w:t>
                  </w:r>
                  <w:r>
                    <w:rPr>
                      <w:rFonts w:hint="default" w:ascii="Times New Roman" w:hAnsi="Times New Roman" w:cs="Times New Roman"/>
                      <w:sz w:val="18"/>
                      <w:szCs w:val="18"/>
                      <w:lang w:eastAsia="zh-CN"/>
                    </w:rPr>
                    <w:t>已</w:t>
                  </w:r>
                  <w:r>
                    <w:rPr>
                      <w:rFonts w:hint="default" w:ascii="Times New Roman" w:hAnsi="Times New Roman" w:cs="Times New Roman"/>
                      <w:sz w:val="18"/>
                      <w:szCs w:val="18"/>
                    </w:rPr>
                    <w:t>办理</w:t>
                  </w:r>
                  <w:r>
                    <w:rPr>
                      <w:rFonts w:hint="default" w:ascii="Times New Roman" w:hAnsi="Times New Roman" w:cs="Times New Roman"/>
                      <w:sz w:val="18"/>
                      <w:szCs w:val="18"/>
                      <w:lang w:eastAsia="zh-CN"/>
                    </w:rPr>
                    <w:t>相关</w:t>
                  </w:r>
                  <w:r>
                    <w:rPr>
                      <w:rFonts w:hint="default" w:ascii="Times New Roman" w:hAnsi="Times New Roman" w:cs="Times New Roman"/>
                      <w:sz w:val="18"/>
                      <w:szCs w:val="18"/>
                    </w:rPr>
                    <w:t>施工手续。</w:t>
                  </w:r>
                </w:p>
              </w:tc>
              <w:tc>
                <w:tcPr>
                  <w:tcW w:w="952" w:type="pct"/>
                  <w:noWrap w:val="0"/>
                  <w:vAlign w:val="center"/>
                </w:tcPr>
                <w:p w14:paraId="014534D8">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lang w:eastAsia="zh-CN"/>
                    </w:rPr>
                    <w:t>与环评一致</w:t>
                  </w:r>
                </w:p>
              </w:tc>
            </w:tr>
            <w:tr w14:paraId="542EEAA2">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12" w:type="pct"/>
                  <w:vMerge w:val="continue"/>
                  <w:noWrap w:val="0"/>
                  <w:vAlign w:val="center"/>
                </w:tcPr>
                <w:p w14:paraId="48D22265">
                  <w:pPr>
                    <w:adjustRightInd w:val="0"/>
                    <w:snapToGrid w:val="0"/>
                    <w:jc w:val="center"/>
                    <w:rPr>
                      <w:rFonts w:hint="default" w:ascii="Times New Roman" w:hAnsi="Times New Roman" w:cs="Times New Roman"/>
                      <w:sz w:val="18"/>
                      <w:szCs w:val="18"/>
                    </w:rPr>
                  </w:pPr>
                </w:p>
              </w:tc>
              <w:tc>
                <w:tcPr>
                  <w:tcW w:w="488" w:type="pct"/>
                  <w:noWrap w:val="0"/>
                  <w:vAlign w:val="center"/>
                </w:tcPr>
                <w:p w14:paraId="3721064A">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供电</w:t>
                  </w:r>
                </w:p>
              </w:tc>
              <w:tc>
                <w:tcPr>
                  <w:tcW w:w="1889" w:type="pct"/>
                  <w:noWrap w:val="0"/>
                  <w:vAlign w:val="center"/>
                </w:tcPr>
                <w:p w14:paraId="56A0F8A4">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电源由岸上市政管网供给。</w:t>
                  </w:r>
                </w:p>
              </w:tc>
              <w:tc>
                <w:tcPr>
                  <w:tcW w:w="1257" w:type="pct"/>
                  <w:noWrap w:val="0"/>
                  <w:vAlign w:val="center"/>
                </w:tcPr>
                <w:p w14:paraId="34F4BF57">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电源由岸上市政管网供给</w:t>
                  </w:r>
                </w:p>
              </w:tc>
              <w:tc>
                <w:tcPr>
                  <w:tcW w:w="952" w:type="pct"/>
                  <w:noWrap w:val="0"/>
                  <w:vAlign w:val="center"/>
                </w:tcPr>
                <w:p w14:paraId="25113A12">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lang w:eastAsia="zh-CN"/>
                    </w:rPr>
                    <w:t>与环评一致</w:t>
                  </w:r>
                </w:p>
              </w:tc>
            </w:tr>
            <w:tr w14:paraId="372B9305">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3" w:hRule="atLeast"/>
              </w:trPr>
              <w:tc>
                <w:tcPr>
                  <w:tcW w:w="412" w:type="pct"/>
                  <w:vMerge w:val="restart"/>
                  <w:noWrap w:val="0"/>
                  <w:vAlign w:val="center"/>
                </w:tcPr>
                <w:p w14:paraId="4E58F3BC">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辅助工程</w:t>
                  </w:r>
                </w:p>
              </w:tc>
              <w:tc>
                <w:tcPr>
                  <w:tcW w:w="488" w:type="pct"/>
                  <w:noWrap w:val="0"/>
                  <w:vAlign w:val="center"/>
                </w:tcPr>
                <w:p w14:paraId="59F37929">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办公及生活设施</w:t>
                  </w:r>
                </w:p>
              </w:tc>
              <w:tc>
                <w:tcPr>
                  <w:tcW w:w="1889" w:type="pct"/>
                  <w:noWrap w:val="0"/>
                  <w:vAlign w:val="center"/>
                </w:tcPr>
                <w:p w14:paraId="11ECAC88">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项目不设厨房，每艘趸船均设有办公区域，和3间卫生间</w:t>
                  </w:r>
                </w:p>
              </w:tc>
              <w:tc>
                <w:tcPr>
                  <w:tcW w:w="1257" w:type="pct"/>
                  <w:noWrap w:val="0"/>
                  <w:vAlign w:val="center"/>
                </w:tcPr>
                <w:p w14:paraId="7BC78818">
                  <w:pPr>
                    <w:adjustRightInd w:val="0"/>
                    <w:snapToGrid w:val="0"/>
                    <w:jc w:val="center"/>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sz w:val="18"/>
                      <w:szCs w:val="18"/>
                    </w:rPr>
                    <w:t>项目不设厨房，每艘趸船均设有办公区域，和3间卫生间</w:t>
                  </w:r>
                </w:p>
              </w:tc>
              <w:tc>
                <w:tcPr>
                  <w:tcW w:w="952" w:type="pct"/>
                  <w:noWrap w:val="0"/>
                  <w:vAlign w:val="center"/>
                </w:tcPr>
                <w:p w14:paraId="7DD1B82B">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lang w:eastAsia="zh-CN"/>
                    </w:rPr>
                    <w:t>与环评一致</w:t>
                  </w:r>
                </w:p>
              </w:tc>
            </w:tr>
            <w:tr w14:paraId="21890A44">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12" w:type="pct"/>
                  <w:vMerge w:val="continue"/>
                  <w:noWrap w:val="0"/>
                  <w:vAlign w:val="center"/>
                </w:tcPr>
                <w:p w14:paraId="1FABB8E4">
                  <w:pPr>
                    <w:adjustRightInd w:val="0"/>
                    <w:snapToGrid w:val="0"/>
                    <w:jc w:val="center"/>
                    <w:rPr>
                      <w:rFonts w:hint="default" w:ascii="Times New Roman" w:hAnsi="Times New Roman" w:cs="Times New Roman"/>
                      <w:sz w:val="18"/>
                      <w:szCs w:val="18"/>
                    </w:rPr>
                  </w:pPr>
                </w:p>
              </w:tc>
              <w:tc>
                <w:tcPr>
                  <w:tcW w:w="488" w:type="pct"/>
                  <w:noWrap w:val="0"/>
                  <w:vAlign w:val="center"/>
                </w:tcPr>
                <w:p w14:paraId="37C6DD1D">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消防工程</w:t>
                  </w:r>
                </w:p>
              </w:tc>
              <w:tc>
                <w:tcPr>
                  <w:tcW w:w="1889" w:type="pct"/>
                  <w:noWrap w:val="0"/>
                  <w:vAlign w:val="center"/>
                </w:tcPr>
                <w:p w14:paraId="0A3AE4C2">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消防泵、消防栓、灭火器、可燃气体报警装置、围油栏、吸油毡等</w:t>
                  </w:r>
                </w:p>
              </w:tc>
              <w:tc>
                <w:tcPr>
                  <w:tcW w:w="1257" w:type="pct"/>
                  <w:noWrap w:val="0"/>
                  <w:vAlign w:val="center"/>
                </w:tcPr>
                <w:p w14:paraId="14984AC5">
                  <w:pPr>
                    <w:adjustRightInd w:val="0"/>
                    <w:snapToGrid w:val="0"/>
                    <w:jc w:val="center"/>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sz w:val="18"/>
                      <w:szCs w:val="18"/>
                    </w:rPr>
                    <w:t>消防泵、消防栓、灭火器、可燃气体报警装置、围油栏、吸油毡等</w:t>
                  </w:r>
                </w:p>
              </w:tc>
              <w:tc>
                <w:tcPr>
                  <w:tcW w:w="952" w:type="pct"/>
                  <w:noWrap w:val="0"/>
                  <w:vAlign w:val="center"/>
                </w:tcPr>
                <w:p w14:paraId="59EB9A4B">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lang w:eastAsia="zh-CN"/>
                    </w:rPr>
                    <w:t>与环评一致</w:t>
                  </w:r>
                </w:p>
              </w:tc>
            </w:tr>
            <w:tr w14:paraId="4E4A7913">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21" w:hRule="atLeast"/>
              </w:trPr>
              <w:tc>
                <w:tcPr>
                  <w:tcW w:w="412" w:type="pct"/>
                  <w:vMerge w:val="restart"/>
                  <w:noWrap w:val="0"/>
                  <w:vAlign w:val="center"/>
                </w:tcPr>
                <w:p w14:paraId="4FF29864">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环保工程</w:t>
                  </w:r>
                </w:p>
              </w:tc>
              <w:tc>
                <w:tcPr>
                  <w:tcW w:w="488" w:type="pct"/>
                  <w:noWrap w:val="0"/>
                  <w:vAlign w:val="center"/>
                </w:tcPr>
                <w:p w14:paraId="57472251">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污水处理</w:t>
                  </w:r>
                </w:p>
              </w:tc>
              <w:tc>
                <w:tcPr>
                  <w:tcW w:w="1889" w:type="pct"/>
                  <w:noWrap w:val="0"/>
                  <w:vAlign w:val="center"/>
                </w:tcPr>
                <w:p w14:paraId="4B4CFAD3">
                  <w:pPr>
                    <w:adjustRightInd w:val="0"/>
                    <w:snapToGrid w:val="0"/>
                    <w:contextualSpacing/>
                    <w:jc w:val="left"/>
                    <w:rPr>
                      <w:rFonts w:hint="default" w:ascii="Times New Roman" w:hAnsi="Times New Roman" w:eastAsia="宋体" w:cs="Times New Roman"/>
                      <w:kern w:val="0"/>
                      <w:sz w:val="18"/>
                      <w:szCs w:val="18"/>
                    </w:rPr>
                  </w:pPr>
                  <w:r>
                    <w:rPr>
                      <w:rFonts w:hint="default" w:ascii="Times New Roman" w:hAnsi="Times New Roman" w:eastAsia="宋体" w:cs="Times New Roman"/>
                      <w:kern w:val="0"/>
                      <w:sz w:val="18"/>
                      <w:szCs w:val="18"/>
                    </w:rPr>
                    <w:t>项目共设置</w:t>
                  </w:r>
                  <w:r>
                    <w:rPr>
                      <w:rFonts w:hint="default" w:ascii="Times New Roman" w:hAnsi="Times New Roman" w:eastAsia="宋体" w:cs="Times New Roman"/>
                      <w:kern w:val="0"/>
                      <w:sz w:val="18"/>
                      <w:szCs w:val="18"/>
                      <w:lang w:val="en-US" w:eastAsia="zh-CN"/>
                    </w:rPr>
                    <w:t>4</w:t>
                  </w:r>
                  <w:r>
                    <w:rPr>
                      <w:rFonts w:hint="default" w:ascii="Times New Roman" w:hAnsi="Times New Roman" w:eastAsia="宋体" w:cs="Times New Roman"/>
                      <w:kern w:val="0"/>
                      <w:sz w:val="18"/>
                      <w:szCs w:val="18"/>
                    </w:rPr>
                    <w:t>艘趸船，每艘趸船配备3间卫生间，其中2间设置于员工休息区，一间设置于趸船甲板上供旅客使用，详见项目趸船平面布置图（附图5）。</w:t>
                  </w:r>
                </w:p>
                <w:p w14:paraId="5815F302">
                  <w:pPr>
                    <w:adjustRightInd w:val="0"/>
                    <w:snapToGrid w:val="0"/>
                    <w:contextualSpacing/>
                    <w:jc w:val="left"/>
                    <w:rPr>
                      <w:rFonts w:hint="default" w:ascii="Times New Roman" w:hAnsi="Times New Roman" w:eastAsia="宋体" w:cs="Times New Roman"/>
                      <w:kern w:val="0"/>
                      <w:sz w:val="18"/>
                      <w:szCs w:val="18"/>
                    </w:rPr>
                  </w:pPr>
                  <w:r>
                    <w:rPr>
                      <w:rFonts w:hint="default" w:ascii="Times New Roman" w:hAnsi="Times New Roman" w:eastAsia="宋体" w:cs="Times New Roman"/>
                      <w:kern w:val="0"/>
                      <w:sz w:val="18"/>
                      <w:szCs w:val="18"/>
                    </w:rPr>
                    <w:t>单艘趸船未处理生活污水舱容积为200m³，每艘设置两台污水接驳泵（流量5m</w:t>
                  </w:r>
                  <w:r>
                    <w:rPr>
                      <w:rFonts w:hint="default" w:ascii="Times New Roman" w:hAnsi="Times New Roman" w:eastAsia="宋体" w:cs="Times New Roman"/>
                      <w:kern w:val="0"/>
                      <w:sz w:val="18"/>
                      <w:szCs w:val="18"/>
                      <w:vertAlign w:val="superscript"/>
                    </w:rPr>
                    <w:t>3</w:t>
                  </w:r>
                  <w:r>
                    <w:rPr>
                      <w:rFonts w:hint="default" w:ascii="Times New Roman" w:hAnsi="Times New Roman" w:eastAsia="宋体" w:cs="Times New Roman"/>
                      <w:kern w:val="0"/>
                      <w:sz w:val="18"/>
                      <w:szCs w:val="18"/>
                    </w:rPr>
                    <w:t>/h,扬程0.1MPa电动卧式粉碎泵，一用一备）用于收集生活污水，生活污水经污水处理装置处理后排入已处理污水舱，已处理污水舱容积为50m³，每艘趸船均设两台污水排放泵（流量21m</w:t>
                  </w:r>
                  <w:r>
                    <w:rPr>
                      <w:rFonts w:hint="default" w:ascii="Times New Roman" w:hAnsi="Times New Roman" w:eastAsia="宋体" w:cs="Times New Roman"/>
                      <w:kern w:val="0"/>
                      <w:sz w:val="18"/>
                      <w:szCs w:val="18"/>
                      <w:vertAlign w:val="superscript"/>
                    </w:rPr>
                    <w:t>3</w:t>
                  </w:r>
                  <w:r>
                    <w:rPr>
                      <w:rFonts w:hint="default" w:ascii="Times New Roman" w:hAnsi="Times New Roman" w:eastAsia="宋体" w:cs="Times New Roman"/>
                      <w:kern w:val="0"/>
                      <w:sz w:val="18"/>
                      <w:szCs w:val="18"/>
                    </w:rPr>
                    <w:t>/h，扬程0.21MPa电动卧式离心泵，一用一备）用于排放已处理污水，处理后的污水由潜水排污泵泵送至市政污水管网。单艘趸船生活污水处理装置处理能力为</w:t>
                  </w:r>
                  <w:r>
                    <w:rPr>
                      <w:rFonts w:hint="default" w:ascii="Times New Roman" w:hAnsi="Times New Roman" w:eastAsia="宋体" w:cs="Times New Roman"/>
                      <w:kern w:val="0"/>
                      <w:sz w:val="18"/>
                      <w:szCs w:val="18"/>
                      <w:lang w:val="en-US" w:eastAsia="zh-CN"/>
                    </w:rPr>
                    <w:t>8</w:t>
                  </w:r>
                  <w:r>
                    <w:rPr>
                      <w:rFonts w:hint="default" w:ascii="Times New Roman" w:hAnsi="Times New Roman" w:eastAsia="宋体" w:cs="Times New Roman"/>
                      <w:kern w:val="0"/>
                      <w:sz w:val="18"/>
                      <w:szCs w:val="18"/>
                    </w:rPr>
                    <w:t>0m³/d，污水处理工艺为</w:t>
                  </w:r>
                  <w:r>
                    <w:rPr>
                      <w:rFonts w:hint="default" w:ascii="Times New Roman" w:hAnsi="Times New Roman" w:eastAsia="宋体" w:cs="Times New Roman"/>
                      <w:kern w:val="0"/>
                      <w:sz w:val="18"/>
                      <w:szCs w:val="18"/>
                      <w:lang w:eastAsia="zh-CN"/>
                    </w:rPr>
                    <w:t>曝气</w:t>
                  </w:r>
                  <w:r>
                    <w:rPr>
                      <w:rFonts w:hint="default" w:ascii="Times New Roman" w:hAnsi="Times New Roman" w:eastAsia="宋体" w:cs="Times New Roman"/>
                      <w:kern w:val="0"/>
                      <w:sz w:val="18"/>
                      <w:szCs w:val="18"/>
                    </w:rPr>
                    <w:t>+</w:t>
                  </w:r>
                  <w:r>
                    <w:rPr>
                      <w:rFonts w:hint="default" w:ascii="Times New Roman" w:hAnsi="Times New Roman" w:eastAsia="宋体" w:cs="Times New Roman"/>
                      <w:kern w:val="0"/>
                      <w:sz w:val="18"/>
                      <w:szCs w:val="18"/>
                      <w:lang w:eastAsia="zh-CN"/>
                    </w:rPr>
                    <w:t>紫外线消毒</w:t>
                  </w:r>
                  <w:r>
                    <w:rPr>
                      <w:rFonts w:hint="default" w:ascii="Times New Roman" w:hAnsi="Times New Roman" w:eastAsia="宋体" w:cs="Times New Roman"/>
                      <w:kern w:val="0"/>
                      <w:sz w:val="18"/>
                      <w:szCs w:val="18"/>
                    </w:rPr>
                    <w:t>处理</w:t>
                  </w:r>
                  <w:r>
                    <w:rPr>
                      <w:rFonts w:hint="default" w:ascii="Times New Roman" w:hAnsi="Times New Roman" w:eastAsia="宋体" w:cs="Times New Roman"/>
                      <w:kern w:val="0"/>
                      <w:sz w:val="18"/>
                      <w:szCs w:val="18"/>
                      <w:lang w:eastAsia="zh-CN"/>
                    </w:rPr>
                    <w:t>（若工艺改变，需重新报批环评）</w:t>
                  </w:r>
                  <w:r>
                    <w:rPr>
                      <w:rFonts w:hint="default" w:ascii="Times New Roman" w:hAnsi="Times New Roman" w:eastAsia="宋体" w:cs="Times New Roman"/>
                      <w:kern w:val="0"/>
                      <w:sz w:val="18"/>
                      <w:szCs w:val="18"/>
                    </w:rPr>
                    <w:t>，污水水质满足《污水综合排放标准》（GB8978-1996）三级标准要求，污水由潜水排污泵泵送至市政污水管网。</w:t>
                  </w:r>
                </w:p>
                <w:p w14:paraId="65EB752D">
                  <w:pPr>
                    <w:adjustRightInd w:val="0"/>
                    <w:snapToGrid w:val="0"/>
                    <w:contextualSpacing/>
                    <w:jc w:val="left"/>
                    <w:rPr>
                      <w:rFonts w:hint="default" w:ascii="Times New Roman" w:hAnsi="Times New Roman" w:eastAsia="宋体" w:cs="Times New Roman"/>
                      <w:lang w:val="en-US" w:eastAsia="zh-CN"/>
                    </w:rPr>
                  </w:pPr>
                  <w:r>
                    <w:rPr>
                      <w:rFonts w:hint="default" w:ascii="Times New Roman" w:hAnsi="Times New Roman" w:eastAsia="宋体" w:cs="Times New Roman"/>
                      <w:color w:val="auto"/>
                      <w:kern w:val="0"/>
                      <w:sz w:val="18"/>
                      <w:szCs w:val="18"/>
                      <w:lang w:val="en-US" w:eastAsia="zh-CN" w:bidi="ar-SA"/>
                    </w:rPr>
                    <w:t>舱底油污水：本项目趸船无动力，自身不产生舱底油污水，但本项目趸船设置污油箱（200m³）用于存放旅游及轮渡船舶产生的舱底油污水，经污油箱暂存后定期交由武汉长喆船舶技术有限公司的油污水接收船接收处理，转移联单详见附件，长喆公司营业执照及武汉市港航局备案回执详见附件。</w:t>
                  </w:r>
                </w:p>
              </w:tc>
              <w:tc>
                <w:tcPr>
                  <w:tcW w:w="1257" w:type="pct"/>
                  <w:noWrap w:val="0"/>
                  <w:vAlign w:val="center"/>
                </w:tcPr>
                <w:p w14:paraId="71F93CBF">
                  <w:pPr>
                    <w:adjustRightInd w:val="0"/>
                    <w:snapToGrid w:val="0"/>
                    <w:contextualSpacing/>
                    <w:jc w:val="left"/>
                    <w:rPr>
                      <w:rFonts w:hint="default" w:ascii="Times New Roman" w:hAnsi="Times New Roman" w:cs="Times New Roman"/>
                      <w:kern w:val="0"/>
                      <w:sz w:val="18"/>
                      <w:szCs w:val="18"/>
                      <w:lang w:eastAsia="zh-CN"/>
                    </w:rPr>
                  </w:pPr>
                  <w:r>
                    <w:rPr>
                      <w:rFonts w:hint="default" w:ascii="Times New Roman" w:hAnsi="Times New Roman" w:eastAsia="宋体" w:cs="Times New Roman"/>
                      <w:kern w:val="0"/>
                      <w:sz w:val="18"/>
                      <w:szCs w:val="18"/>
                    </w:rPr>
                    <w:t>单艘趸船未处理生活污水舱容积为200m³，每艘设置两台污水接驳泵（流量5m</w:t>
                  </w:r>
                  <w:r>
                    <w:rPr>
                      <w:rFonts w:hint="default" w:ascii="Times New Roman" w:hAnsi="Times New Roman" w:eastAsia="宋体" w:cs="Times New Roman"/>
                      <w:kern w:val="0"/>
                      <w:sz w:val="18"/>
                      <w:szCs w:val="18"/>
                      <w:vertAlign w:val="superscript"/>
                    </w:rPr>
                    <w:t>3</w:t>
                  </w:r>
                  <w:r>
                    <w:rPr>
                      <w:rFonts w:hint="default" w:ascii="Times New Roman" w:hAnsi="Times New Roman" w:eastAsia="宋体" w:cs="Times New Roman"/>
                      <w:kern w:val="0"/>
                      <w:sz w:val="18"/>
                      <w:szCs w:val="18"/>
                    </w:rPr>
                    <w:t>/h,扬程0.1MPa电动卧式粉碎泵，一用一备）用于收集生活污水，生活污水经污水处理装置处理后排入已处理污水舱，已处理污水舱容积为50m³，每艘趸船均设两台污水排放泵（流量21m</w:t>
                  </w:r>
                  <w:r>
                    <w:rPr>
                      <w:rFonts w:hint="default" w:ascii="Times New Roman" w:hAnsi="Times New Roman" w:eastAsia="宋体" w:cs="Times New Roman"/>
                      <w:kern w:val="0"/>
                      <w:sz w:val="18"/>
                      <w:szCs w:val="18"/>
                      <w:vertAlign w:val="superscript"/>
                    </w:rPr>
                    <w:t>3</w:t>
                  </w:r>
                  <w:r>
                    <w:rPr>
                      <w:rFonts w:hint="default" w:ascii="Times New Roman" w:hAnsi="Times New Roman" w:eastAsia="宋体" w:cs="Times New Roman"/>
                      <w:kern w:val="0"/>
                      <w:sz w:val="18"/>
                      <w:szCs w:val="18"/>
                    </w:rPr>
                    <w:t>/h，扬程0.21MPa电动卧式离心泵，一用一备）用于排放已处理污水，处理后的污水由潜水排污泵泵送至市政污水管网。单艘趸船生活污水处理装置处理能力为</w:t>
                  </w:r>
                  <w:r>
                    <w:rPr>
                      <w:rFonts w:hint="default" w:ascii="Times New Roman" w:hAnsi="Times New Roman" w:eastAsia="宋体" w:cs="Times New Roman"/>
                      <w:kern w:val="0"/>
                      <w:sz w:val="18"/>
                      <w:szCs w:val="18"/>
                      <w:lang w:val="en-US" w:eastAsia="zh-CN"/>
                    </w:rPr>
                    <w:t>8</w:t>
                  </w:r>
                  <w:r>
                    <w:rPr>
                      <w:rFonts w:hint="default" w:ascii="Times New Roman" w:hAnsi="Times New Roman" w:eastAsia="宋体" w:cs="Times New Roman"/>
                      <w:kern w:val="0"/>
                      <w:sz w:val="18"/>
                      <w:szCs w:val="18"/>
                    </w:rPr>
                    <w:t>0m³/d，污水处理工艺为</w:t>
                  </w:r>
                  <w:r>
                    <w:rPr>
                      <w:rFonts w:hint="default" w:ascii="Times New Roman" w:hAnsi="Times New Roman" w:eastAsia="宋体" w:cs="Times New Roman"/>
                      <w:kern w:val="0"/>
                      <w:sz w:val="18"/>
                      <w:szCs w:val="18"/>
                      <w:lang w:eastAsia="zh-CN"/>
                    </w:rPr>
                    <w:t>曝气</w:t>
                  </w:r>
                  <w:r>
                    <w:rPr>
                      <w:rFonts w:hint="default" w:ascii="Times New Roman" w:hAnsi="Times New Roman" w:eastAsia="宋体" w:cs="Times New Roman"/>
                      <w:kern w:val="0"/>
                      <w:sz w:val="18"/>
                      <w:szCs w:val="18"/>
                    </w:rPr>
                    <w:t>+</w:t>
                  </w:r>
                  <w:r>
                    <w:rPr>
                      <w:rFonts w:hint="default" w:ascii="Times New Roman" w:hAnsi="Times New Roman" w:eastAsia="宋体" w:cs="Times New Roman"/>
                      <w:kern w:val="0"/>
                      <w:sz w:val="18"/>
                      <w:szCs w:val="18"/>
                      <w:lang w:eastAsia="zh-CN"/>
                    </w:rPr>
                    <w:t>紫外线消毒</w:t>
                  </w:r>
                  <w:r>
                    <w:rPr>
                      <w:rFonts w:hint="default" w:ascii="Times New Roman" w:hAnsi="Times New Roman" w:eastAsia="宋体" w:cs="Times New Roman"/>
                      <w:kern w:val="0"/>
                      <w:sz w:val="18"/>
                      <w:szCs w:val="18"/>
                    </w:rPr>
                    <w:t>处理，污水水质满足《污水综合排放标准》（GB8978-1996）三级标准要求</w:t>
                  </w:r>
                  <w:r>
                    <w:rPr>
                      <w:rFonts w:hint="default" w:ascii="Times New Roman" w:hAnsi="Times New Roman" w:cs="Times New Roman"/>
                      <w:kern w:val="0"/>
                      <w:sz w:val="18"/>
                      <w:szCs w:val="18"/>
                      <w:lang w:eastAsia="zh-CN"/>
                    </w:rPr>
                    <w:t>和《污水排入城镇下水道水质标准》</w:t>
                  </w:r>
                </w:p>
                <w:p w14:paraId="7AA4DB69">
                  <w:pPr>
                    <w:adjustRightInd w:val="0"/>
                    <w:snapToGrid w:val="0"/>
                    <w:contextualSpacing/>
                    <w:jc w:val="left"/>
                    <w:rPr>
                      <w:rFonts w:hint="default" w:ascii="Times New Roman" w:hAnsi="Times New Roman" w:eastAsia="宋体" w:cs="Times New Roman"/>
                      <w:kern w:val="0"/>
                      <w:sz w:val="18"/>
                      <w:szCs w:val="18"/>
                    </w:rPr>
                  </w:pPr>
                  <w:r>
                    <w:rPr>
                      <w:rFonts w:hint="default" w:ascii="Times New Roman" w:hAnsi="Times New Roman" w:cs="Times New Roman"/>
                      <w:kern w:val="0"/>
                      <w:sz w:val="18"/>
                      <w:szCs w:val="18"/>
                      <w:lang w:eastAsia="zh-CN"/>
                    </w:rPr>
                    <w:t>（GB/T31962-2015）表1中B级标准</w:t>
                  </w:r>
                  <w:r>
                    <w:rPr>
                      <w:rFonts w:hint="default" w:ascii="Times New Roman" w:hAnsi="Times New Roman" w:eastAsia="宋体" w:cs="Times New Roman"/>
                      <w:kern w:val="0"/>
                      <w:sz w:val="18"/>
                      <w:szCs w:val="18"/>
                    </w:rPr>
                    <w:t>，污水由潜水排污泵泵送至市政污水管网。</w:t>
                  </w:r>
                </w:p>
                <w:p w14:paraId="64677CDA">
                  <w:pPr>
                    <w:adjustRightInd w:val="0"/>
                    <w:snapToGrid w:val="0"/>
                    <w:contextualSpacing/>
                    <w:jc w:val="left"/>
                    <w:rPr>
                      <w:rFonts w:hint="default"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kern w:val="0"/>
                      <w:sz w:val="18"/>
                      <w:szCs w:val="18"/>
                      <w:lang w:val="en-US" w:eastAsia="zh-CN" w:bidi="ar-SA"/>
                    </w:rPr>
                    <w:t>旅游及轮渡船舶产生的舱底油污水，经污油箱暂存后定期交由武汉发顺船舶保洁服务有限公司的油污水接收船接收处理</w:t>
                  </w:r>
                  <w:r>
                    <w:rPr>
                      <w:rFonts w:hint="default" w:ascii="Times New Roman" w:hAnsi="Times New Roman" w:cs="Times New Roman"/>
                      <w:color w:val="auto"/>
                      <w:kern w:val="0"/>
                      <w:sz w:val="18"/>
                      <w:szCs w:val="18"/>
                      <w:lang w:val="en-US" w:eastAsia="zh-CN" w:bidi="ar-SA"/>
                    </w:rPr>
                    <w:t>，合同及备案回执详见附件6</w:t>
                  </w:r>
                </w:p>
              </w:tc>
              <w:tc>
                <w:tcPr>
                  <w:tcW w:w="952" w:type="pct"/>
                  <w:noWrap w:val="0"/>
                  <w:vAlign w:val="center"/>
                </w:tcPr>
                <w:p w14:paraId="438CF15E">
                  <w:pPr>
                    <w:pStyle w:val="90"/>
                    <w:rPr>
                      <w:rFonts w:hint="default" w:ascii="Times New Roman" w:hAnsi="Times New Roman" w:eastAsia="宋体" w:cs="Times New Roman"/>
                      <w:color w:val="auto"/>
                      <w:kern w:val="0"/>
                      <w:sz w:val="18"/>
                      <w:szCs w:val="18"/>
                      <w:lang w:val="en-US" w:eastAsia="zh-CN" w:bidi="ar-SA"/>
                    </w:rPr>
                  </w:pPr>
                  <w:r>
                    <w:rPr>
                      <w:rFonts w:hint="default" w:ascii="Times New Roman" w:hAnsi="Times New Roman" w:cs="Times New Roman"/>
                      <w:sz w:val="18"/>
                      <w:szCs w:val="18"/>
                      <w:lang w:eastAsia="zh-CN"/>
                    </w:rPr>
                    <w:t>与环评一致</w:t>
                  </w:r>
                </w:p>
              </w:tc>
            </w:tr>
            <w:tr w14:paraId="25EFC169">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12" w:type="pct"/>
                  <w:vMerge w:val="continue"/>
                  <w:noWrap w:val="0"/>
                  <w:vAlign w:val="center"/>
                </w:tcPr>
                <w:p w14:paraId="163AA044">
                  <w:pPr>
                    <w:adjustRightInd w:val="0"/>
                    <w:snapToGrid w:val="0"/>
                    <w:jc w:val="center"/>
                    <w:rPr>
                      <w:rFonts w:hint="default" w:ascii="Times New Roman" w:hAnsi="Times New Roman" w:cs="Times New Roman"/>
                      <w:sz w:val="18"/>
                      <w:szCs w:val="18"/>
                    </w:rPr>
                  </w:pPr>
                </w:p>
              </w:tc>
              <w:tc>
                <w:tcPr>
                  <w:tcW w:w="488" w:type="pct"/>
                  <w:noWrap w:val="0"/>
                  <w:vAlign w:val="center"/>
                </w:tcPr>
                <w:p w14:paraId="642EE4CF">
                  <w:pPr>
                    <w:adjustRightInd w:val="0"/>
                    <w:snapToGrid w:val="0"/>
                    <w:jc w:val="center"/>
                    <w:rPr>
                      <w:rFonts w:hint="default" w:ascii="Times New Roman" w:hAnsi="Times New Roman" w:cs="Times New Roman"/>
                      <w:sz w:val="18"/>
                      <w:szCs w:val="18"/>
                      <w:highlight w:val="yellow"/>
                    </w:rPr>
                  </w:pPr>
                  <w:r>
                    <w:rPr>
                      <w:rFonts w:hint="default" w:ascii="Times New Roman" w:hAnsi="Times New Roman" w:cs="Times New Roman"/>
                      <w:sz w:val="18"/>
                      <w:szCs w:val="18"/>
                    </w:rPr>
                    <w:t>废气处理</w:t>
                  </w:r>
                </w:p>
              </w:tc>
              <w:tc>
                <w:tcPr>
                  <w:tcW w:w="1889" w:type="pct"/>
                  <w:noWrap w:val="0"/>
                  <w:vAlign w:val="center"/>
                </w:tcPr>
                <w:p w14:paraId="7B23613B">
                  <w:pPr>
                    <w:adjustRightInd w:val="0"/>
                    <w:snapToGrid w:val="0"/>
                    <w:contextualSpacing/>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由于该项目设置在长江边，环境空旷有利于废气的扩散，且柴油挥发性很小，因而对周围大气环境影响较小。</w:t>
                  </w:r>
                </w:p>
              </w:tc>
              <w:tc>
                <w:tcPr>
                  <w:tcW w:w="1257" w:type="pct"/>
                  <w:noWrap w:val="0"/>
                  <w:vAlign w:val="center"/>
                </w:tcPr>
                <w:p w14:paraId="624E517D">
                  <w:pPr>
                    <w:adjustRightInd w:val="0"/>
                    <w:snapToGrid w:val="0"/>
                    <w:contextualSpacing/>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项目设置在长江边，环境空旷有利于废气的扩散，且柴油挥发性很小，因而对周围大气环境影响较小。</w:t>
                  </w:r>
                </w:p>
              </w:tc>
              <w:tc>
                <w:tcPr>
                  <w:tcW w:w="952" w:type="pct"/>
                  <w:noWrap w:val="0"/>
                  <w:vAlign w:val="center"/>
                </w:tcPr>
                <w:p w14:paraId="4E1C6F8A">
                  <w:pPr>
                    <w:adjustRightInd w:val="0"/>
                    <w:snapToGrid w:val="0"/>
                    <w:contextualSpacing/>
                    <w:jc w:val="left"/>
                    <w:rPr>
                      <w:rFonts w:hint="default" w:ascii="Times New Roman" w:hAnsi="Times New Roman" w:cs="Times New Roman"/>
                      <w:kern w:val="0"/>
                      <w:sz w:val="18"/>
                      <w:szCs w:val="18"/>
                    </w:rPr>
                  </w:pPr>
                  <w:r>
                    <w:rPr>
                      <w:rFonts w:hint="default" w:ascii="Times New Roman" w:hAnsi="Times New Roman" w:cs="Times New Roman"/>
                      <w:sz w:val="18"/>
                      <w:szCs w:val="18"/>
                      <w:lang w:eastAsia="zh-CN"/>
                    </w:rPr>
                    <w:t>与环评一致</w:t>
                  </w:r>
                </w:p>
              </w:tc>
            </w:tr>
            <w:tr w14:paraId="4CF19F59">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7" w:hRule="atLeast"/>
              </w:trPr>
              <w:tc>
                <w:tcPr>
                  <w:tcW w:w="412" w:type="pct"/>
                  <w:vMerge w:val="continue"/>
                  <w:noWrap w:val="0"/>
                  <w:vAlign w:val="center"/>
                </w:tcPr>
                <w:p w14:paraId="69F6C2C4">
                  <w:pPr>
                    <w:adjustRightInd w:val="0"/>
                    <w:snapToGrid w:val="0"/>
                    <w:jc w:val="center"/>
                    <w:rPr>
                      <w:rFonts w:hint="default" w:ascii="Times New Roman" w:hAnsi="Times New Roman" w:cs="Times New Roman"/>
                      <w:sz w:val="18"/>
                      <w:szCs w:val="18"/>
                    </w:rPr>
                  </w:pPr>
                </w:p>
              </w:tc>
              <w:tc>
                <w:tcPr>
                  <w:tcW w:w="488" w:type="pct"/>
                  <w:noWrap w:val="0"/>
                  <w:vAlign w:val="center"/>
                </w:tcPr>
                <w:p w14:paraId="2F6F90CC">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噪声处理</w:t>
                  </w:r>
                </w:p>
              </w:tc>
              <w:tc>
                <w:tcPr>
                  <w:tcW w:w="1889" w:type="pct"/>
                  <w:noWrap w:val="0"/>
                  <w:vAlign w:val="center"/>
                </w:tcPr>
                <w:p w14:paraId="0E7BF2C4">
                  <w:pPr>
                    <w:contextualSpacing/>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隔声、减振等</w:t>
                  </w:r>
                </w:p>
              </w:tc>
              <w:tc>
                <w:tcPr>
                  <w:tcW w:w="1257" w:type="pct"/>
                  <w:noWrap w:val="0"/>
                  <w:vAlign w:val="center"/>
                </w:tcPr>
                <w:p w14:paraId="5D5092C6">
                  <w:pPr>
                    <w:contextualSpacing/>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隔声、减振</w:t>
                  </w:r>
                </w:p>
              </w:tc>
              <w:tc>
                <w:tcPr>
                  <w:tcW w:w="952" w:type="pct"/>
                  <w:noWrap w:val="0"/>
                  <w:vAlign w:val="center"/>
                </w:tcPr>
                <w:p w14:paraId="4B24E184">
                  <w:pPr>
                    <w:contextualSpacing/>
                    <w:jc w:val="left"/>
                    <w:rPr>
                      <w:rFonts w:hint="default" w:ascii="Times New Roman" w:hAnsi="Times New Roman" w:cs="Times New Roman"/>
                      <w:kern w:val="0"/>
                      <w:sz w:val="18"/>
                      <w:szCs w:val="18"/>
                    </w:rPr>
                  </w:pPr>
                  <w:r>
                    <w:rPr>
                      <w:rFonts w:hint="default" w:ascii="Times New Roman" w:hAnsi="Times New Roman" w:cs="Times New Roman"/>
                      <w:sz w:val="18"/>
                      <w:szCs w:val="18"/>
                      <w:lang w:eastAsia="zh-CN"/>
                    </w:rPr>
                    <w:t>与环评一致</w:t>
                  </w:r>
                </w:p>
              </w:tc>
            </w:tr>
            <w:tr w14:paraId="1760A5BC">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12" w:type="pct"/>
                  <w:vMerge w:val="continue"/>
                  <w:noWrap w:val="0"/>
                  <w:vAlign w:val="center"/>
                </w:tcPr>
                <w:p w14:paraId="5BF9AB5D">
                  <w:pPr>
                    <w:adjustRightInd w:val="0"/>
                    <w:snapToGrid w:val="0"/>
                    <w:jc w:val="center"/>
                    <w:rPr>
                      <w:rFonts w:hint="default" w:ascii="Times New Roman" w:hAnsi="Times New Roman" w:cs="Times New Roman"/>
                      <w:sz w:val="18"/>
                      <w:szCs w:val="18"/>
                    </w:rPr>
                  </w:pPr>
                </w:p>
              </w:tc>
              <w:tc>
                <w:tcPr>
                  <w:tcW w:w="488" w:type="pct"/>
                  <w:noWrap w:val="0"/>
                  <w:vAlign w:val="center"/>
                </w:tcPr>
                <w:p w14:paraId="537BBFEC">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固废处理</w:t>
                  </w:r>
                </w:p>
              </w:tc>
              <w:tc>
                <w:tcPr>
                  <w:tcW w:w="1889" w:type="pct"/>
                  <w:noWrap w:val="0"/>
                  <w:vAlign w:val="center"/>
                </w:tcPr>
                <w:p w14:paraId="79A633E0">
                  <w:pPr>
                    <w:autoSpaceDE w:val="0"/>
                    <w:autoSpaceDN w:val="0"/>
                    <w:adjustRightInd w:val="0"/>
                    <w:snapToGrid w:val="0"/>
                    <w:contextualSpacing/>
                    <w:jc w:val="left"/>
                    <w:rPr>
                      <w:rFonts w:hint="default" w:ascii="Times New Roman" w:hAnsi="Times New Roman" w:cs="Times New Roman"/>
                      <w:sz w:val="18"/>
                      <w:szCs w:val="18"/>
                    </w:rPr>
                  </w:pPr>
                  <w:r>
                    <w:rPr>
                      <w:rFonts w:hint="default" w:ascii="Times New Roman" w:hAnsi="Times New Roman" w:cs="Times New Roman"/>
                      <w:sz w:val="18"/>
                      <w:szCs w:val="18"/>
                    </w:rPr>
                    <w:t>码头工作人员和游客的生活垃圾</w:t>
                  </w:r>
                  <w:r>
                    <w:rPr>
                      <w:rFonts w:hint="default" w:ascii="Times New Roman" w:hAnsi="Times New Roman" w:cs="Times New Roman"/>
                      <w:sz w:val="18"/>
                      <w:szCs w:val="18"/>
                      <w:lang w:eastAsia="zh-CN"/>
                    </w:rPr>
                    <w:t>（含清洁过程中产生的废布拖）</w:t>
                  </w:r>
                  <w:r>
                    <w:rPr>
                      <w:rFonts w:hint="default" w:ascii="Times New Roman" w:hAnsi="Times New Roman" w:cs="Times New Roman"/>
                      <w:sz w:val="18"/>
                      <w:szCs w:val="18"/>
                    </w:rPr>
                    <w:t>，应定时进行清扫，</w:t>
                  </w:r>
                  <w:r>
                    <w:rPr>
                      <w:rFonts w:hint="default" w:ascii="Times New Roman" w:hAnsi="Times New Roman" w:cs="Times New Roman"/>
                      <w:sz w:val="18"/>
                      <w:szCs w:val="18"/>
                      <w:lang w:eastAsia="zh-CN"/>
                    </w:rPr>
                    <w:t>项目</w:t>
                  </w:r>
                  <w:r>
                    <w:rPr>
                      <w:rFonts w:hint="default" w:ascii="Times New Roman" w:hAnsi="Times New Roman" w:cs="Times New Roman"/>
                      <w:sz w:val="18"/>
                      <w:szCs w:val="18"/>
                    </w:rPr>
                    <w:t>办公区及趸船公区均设置垃圾收集设施，集中收集后送当地环卫部门处理。到港客轮固废经船上自带的垃圾收集设施统一收集，由环卫部门进行处理</w:t>
                  </w:r>
                  <w:r>
                    <w:rPr>
                      <w:rFonts w:hint="default" w:ascii="Times New Roman" w:hAnsi="Times New Roman" w:cs="Times New Roman"/>
                      <w:sz w:val="18"/>
                      <w:szCs w:val="18"/>
                      <w:lang w:eastAsia="zh-CN"/>
                    </w:rPr>
                    <w:t>。</w:t>
                  </w:r>
                </w:p>
              </w:tc>
              <w:tc>
                <w:tcPr>
                  <w:tcW w:w="1257" w:type="pct"/>
                  <w:noWrap w:val="0"/>
                  <w:vAlign w:val="center"/>
                </w:tcPr>
                <w:p w14:paraId="083BEC52">
                  <w:pPr>
                    <w:autoSpaceDE w:val="0"/>
                    <w:autoSpaceDN w:val="0"/>
                    <w:adjustRightInd w:val="0"/>
                    <w:snapToGrid w:val="0"/>
                    <w:contextualSpacing/>
                    <w:jc w:val="left"/>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sz w:val="18"/>
                      <w:szCs w:val="18"/>
                    </w:rPr>
                    <w:t>码头工作人员和游客的生活垃圾</w:t>
                  </w:r>
                  <w:r>
                    <w:rPr>
                      <w:rFonts w:hint="default" w:ascii="Times New Roman" w:hAnsi="Times New Roman" w:cs="Times New Roman"/>
                      <w:sz w:val="18"/>
                      <w:szCs w:val="18"/>
                      <w:lang w:eastAsia="zh-CN"/>
                    </w:rPr>
                    <w:t>（含清洁过程中产生的废布拖）</w:t>
                  </w:r>
                  <w:r>
                    <w:rPr>
                      <w:rFonts w:hint="default" w:ascii="Times New Roman" w:hAnsi="Times New Roman" w:cs="Times New Roman"/>
                      <w:sz w:val="18"/>
                      <w:szCs w:val="18"/>
                    </w:rPr>
                    <w:t>，应定时进行清扫，</w:t>
                  </w:r>
                  <w:r>
                    <w:rPr>
                      <w:rFonts w:hint="default" w:ascii="Times New Roman" w:hAnsi="Times New Roman" w:cs="Times New Roman"/>
                      <w:sz w:val="18"/>
                      <w:szCs w:val="18"/>
                      <w:lang w:eastAsia="zh-CN"/>
                    </w:rPr>
                    <w:t>项目</w:t>
                  </w:r>
                  <w:r>
                    <w:rPr>
                      <w:rFonts w:hint="default" w:ascii="Times New Roman" w:hAnsi="Times New Roman" w:cs="Times New Roman"/>
                      <w:sz w:val="18"/>
                      <w:szCs w:val="18"/>
                    </w:rPr>
                    <w:t>办公区及趸船公区均设置垃圾收集设施，集中收集后送当地环卫部门处理。到港客轮固废经船上自带的垃圾收集设施统一收集，由环卫部门进行处理</w:t>
                  </w:r>
                  <w:r>
                    <w:rPr>
                      <w:rFonts w:hint="default" w:ascii="Times New Roman" w:hAnsi="Times New Roman" w:cs="Times New Roman"/>
                      <w:sz w:val="18"/>
                      <w:szCs w:val="18"/>
                      <w:lang w:eastAsia="zh-CN"/>
                    </w:rPr>
                    <w:t>。</w:t>
                  </w:r>
                </w:p>
              </w:tc>
              <w:tc>
                <w:tcPr>
                  <w:tcW w:w="952" w:type="pct"/>
                  <w:noWrap w:val="0"/>
                  <w:vAlign w:val="center"/>
                </w:tcPr>
                <w:p w14:paraId="3BF0272B">
                  <w:pPr>
                    <w:autoSpaceDE w:val="0"/>
                    <w:autoSpaceDN w:val="0"/>
                    <w:adjustRightInd w:val="0"/>
                    <w:snapToGrid w:val="0"/>
                    <w:contextualSpacing/>
                    <w:jc w:val="left"/>
                    <w:rPr>
                      <w:rFonts w:hint="default" w:ascii="Times New Roman" w:hAnsi="Times New Roman" w:cs="Times New Roman"/>
                      <w:sz w:val="18"/>
                      <w:szCs w:val="18"/>
                    </w:rPr>
                  </w:pPr>
                  <w:r>
                    <w:rPr>
                      <w:rFonts w:hint="default" w:ascii="Times New Roman" w:hAnsi="Times New Roman" w:cs="Times New Roman"/>
                      <w:sz w:val="18"/>
                      <w:szCs w:val="18"/>
                      <w:lang w:eastAsia="zh-CN"/>
                    </w:rPr>
                    <w:t>与环评一致</w:t>
                  </w:r>
                </w:p>
              </w:tc>
            </w:tr>
            <w:tr w14:paraId="70279787">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12" w:type="pct"/>
                  <w:vMerge w:val="continue"/>
                  <w:noWrap w:val="0"/>
                  <w:vAlign w:val="center"/>
                </w:tcPr>
                <w:p w14:paraId="42F96374">
                  <w:pPr>
                    <w:adjustRightInd w:val="0"/>
                    <w:snapToGrid w:val="0"/>
                    <w:jc w:val="center"/>
                    <w:rPr>
                      <w:rFonts w:hint="default" w:ascii="Times New Roman" w:hAnsi="Times New Roman" w:cs="Times New Roman"/>
                      <w:sz w:val="18"/>
                      <w:szCs w:val="18"/>
                    </w:rPr>
                  </w:pPr>
                </w:p>
              </w:tc>
              <w:tc>
                <w:tcPr>
                  <w:tcW w:w="488" w:type="pct"/>
                  <w:noWrap w:val="0"/>
                  <w:vAlign w:val="center"/>
                </w:tcPr>
                <w:p w14:paraId="7ED01E22">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环境风险</w:t>
                  </w:r>
                </w:p>
              </w:tc>
              <w:tc>
                <w:tcPr>
                  <w:tcW w:w="1889" w:type="pct"/>
                  <w:noWrap w:val="0"/>
                  <w:vAlign w:val="center"/>
                </w:tcPr>
                <w:p w14:paraId="214061A4">
                  <w:pPr>
                    <w:autoSpaceDE w:val="0"/>
                    <w:autoSpaceDN w:val="0"/>
                    <w:adjustRightInd w:val="0"/>
                    <w:snapToGrid w:val="0"/>
                    <w:contextualSpacing/>
                    <w:jc w:val="center"/>
                    <w:rPr>
                      <w:rFonts w:hint="default" w:ascii="Times New Roman" w:hAnsi="Times New Roman" w:cs="Times New Roman"/>
                      <w:sz w:val="18"/>
                      <w:szCs w:val="18"/>
                    </w:rPr>
                  </w:pPr>
                  <w:r>
                    <w:rPr>
                      <w:rFonts w:hint="default" w:ascii="Times New Roman" w:hAnsi="Times New Roman" w:cs="Times New Roman"/>
                      <w:sz w:val="18"/>
                      <w:szCs w:val="18"/>
                    </w:rPr>
                    <w:t>项目码头在所有建筑物及趸船内根据建筑物火灾危险性等级和火灾种类按《建筑灭火器配置设计规范》要求设置灭火器具。灭火器的布置应考虑灭火器最大保护距离的要求，布置在明显与易于取用的地方，以辅助扑灭建筑物内初期火灾。</w:t>
                  </w:r>
                </w:p>
              </w:tc>
              <w:tc>
                <w:tcPr>
                  <w:tcW w:w="1257" w:type="pct"/>
                  <w:noWrap w:val="0"/>
                  <w:vAlign w:val="center"/>
                </w:tcPr>
                <w:p w14:paraId="2377FDA0">
                  <w:pPr>
                    <w:autoSpaceDE w:val="0"/>
                    <w:autoSpaceDN w:val="0"/>
                    <w:adjustRightInd w:val="0"/>
                    <w:snapToGrid w:val="0"/>
                    <w:contextualSpacing/>
                    <w:jc w:val="center"/>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sz w:val="18"/>
                      <w:szCs w:val="18"/>
                    </w:rPr>
                    <w:t>项目码头在所有建筑物及趸船内根据建筑物火灾危险性等级和火灾种类按《建筑灭火器配置设计规范》要求设置灭火器具。灭火器的布置应考虑灭火器最大保护距离的要求，布置在明显与易于取用的地方，以辅助扑灭建筑物内初期火灾。</w:t>
                  </w:r>
                </w:p>
              </w:tc>
              <w:tc>
                <w:tcPr>
                  <w:tcW w:w="952" w:type="pct"/>
                  <w:noWrap w:val="0"/>
                  <w:vAlign w:val="center"/>
                </w:tcPr>
                <w:p w14:paraId="156FED5E">
                  <w:pPr>
                    <w:autoSpaceDE w:val="0"/>
                    <w:autoSpaceDN w:val="0"/>
                    <w:adjustRightInd w:val="0"/>
                    <w:snapToGrid w:val="0"/>
                    <w:contextualSpacing/>
                    <w:jc w:val="center"/>
                    <w:rPr>
                      <w:rFonts w:hint="default" w:ascii="Times New Roman" w:hAnsi="Times New Roman" w:cs="Times New Roman"/>
                      <w:sz w:val="18"/>
                      <w:szCs w:val="18"/>
                    </w:rPr>
                  </w:pPr>
                  <w:r>
                    <w:rPr>
                      <w:rFonts w:hint="default" w:ascii="Times New Roman" w:hAnsi="Times New Roman" w:cs="Times New Roman"/>
                      <w:sz w:val="18"/>
                      <w:szCs w:val="18"/>
                      <w:lang w:eastAsia="zh-CN"/>
                    </w:rPr>
                    <w:t>与环评一致</w:t>
                  </w:r>
                </w:p>
              </w:tc>
            </w:tr>
            <w:tr w14:paraId="7A5A78AC">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12" w:type="pct"/>
                  <w:vMerge w:val="restart"/>
                  <w:noWrap w:val="0"/>
                  <w:vAlign w:val="center"/>
                </w:tcPr>
                <w:p w14:paraId="2306DB0C">
                  <w:p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依托工程</w:t>
                  </w:r>
                </w:p>
              </w:tc>
              <w:tc>
                <w:tcPr>
                  <w:tcW w:w="2377" w:type="pct"/>
                  <w:gridSpan w:val="2"/>
                  <w:noWrap w:val="0"/>
                  <w:vAlign w:val="center"/>
                </w:tcPr>
                <w:p w14:paraId="5E62B3F7">
                  <w:pPr>
                    <w:autoSpaceDE w:val="0"/>
                    <w:autoSpaceDN w:val="0"/>
                    <w:adjustRightInd w:val="0"/>
                    <w:contextualSpacing/>
                    <w:jc w:val="center"/>
                    <w:rPr>
                      <w:rFonts w:hint="default" w:ascii="Times New Roman" w:hAnsi="Times New Roman" w:cs="Times New Roman"/>
                      <w:sz w:val="18"/>
                      <w:szCs w:val="18"/>
                    </w:rPr>
                  </w:pPr>
                  <w:r>
                    <w:rPr>
                      <w:rFonts w:hint="default" w:ascii="Times New Roman" w:hAnsi="Times New Roman" w:cs="Times New Roman"/>
                      <w:sz w:val="18"/>
                      <w:szCs w:val="18"/>
                    </w:rPr>
                    <w:t>市政供电管网</w:t>
                  </w:r>
                </w:p>
              </w:tc>
              <w:tc>
                <w:tcPr>
                  <w:tcW w:w="1257" w:type="pct"/>
                  <w:noWrap w:val="0"/>
                  <w:vAlign w:val="center"/>
                </w:tcPr>
                <w:p w14:paraId="1BB52DB7">
                  <w:pPr>
                    <w:autoSpaceDE w:val="0"/>
                    <w:autoSpaceDN w:val="0"/>
                    <w:adjustRightInd w:val="0"/>
                    <w:contextualSpacing/>
                    <w:jc w:val="center"/>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sz w:val="18"/>
                      <w:szCs w:val="18"/>
                    </w:rPr>
                    <w:t>市政供电管网</w:t>
                  </w:r>
                </w:p>
              </w:tc>
              <w:tc>
                <w:tcPr>
                  <w:tcW w:w="952" w:type="pct"/>
                  <w:noWrap w:val="0"/>
                  <w:vAlign w:val="center"/>
                </w:tcPr>
                <w:p w14:paraId="065E333C">
                  <w:pPr>
                    <w:autoSpaceDE w:val="0"/>
                    <w:autoSpaceDN w:val="0"/>
                    <w:adjustRightInd w:val="0"/>
                    <w:contextualSpacing/>
                    <w:jc w:val="center"/>
                    <w:rPr>
                      <w:rFonts w:hint="default" w:ascii="Times New Roman" w:hAnsi="Times New Roman" w:cs="Times New Roman"/>
                      <w:sz w:val="18"/>
                      <w:szCs w:val="18"/>
                    </w:rPr>
                  </w:pPr>
                  <w:r>
                    <w:rPr>
                      <w:rFonts w:hint="default" w:ascii="Times New Roman" w:hAnsi="Times New Roman" w:cs="Times New Roman"/>
                      <w:sz w:val="18"/>
                      <w:szCs w:val="18"/>
                      <w:lang w:eastAsia="zh-CN"/>
                    </w:rPr>
                    <w:t>与环评一致</w:t>
                  </w:r>
                </w:p>
              </w:tc>
            </w:tr>
            <w:tr w14:paraId="413B439C">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412" w:type="pct"/>
                  <w:vMerge w:val="continue"/>
                  <w:tcBorders>
                    <w:bottom w:val="single" w:color="auto" w:sz="12" w:space="0"/>
                  </w:tcBorders>
                  <w:noWrap w:val="0"/>
                  <w:vAlign w:val="center"/>
                </w:tcPr>
                <w:p w14:paraId="79D6173D">
                  <w:pPr>
                    <w:adjustRightInd w:val="0"/>
                    <w:snapToGrid w:val="0"/>
                    <w:jc w:val="center"/>
                    <w:rPr>
                      <w:rFonts w:hint="default" w:ascii="Times New Roman" w:hAnsi="Times New Roman" w:cs="Times New Roman"/>
                      <w:sz w:val="18"/>
                      <w:szCs w:val="18"/>
                    </w:rPr>
                  </w:pPr>
                </w:p>
              </w:tc>
              <w:tc>
                <w:tcPr>
                  <w:tcW w:w="2377" w:type="pct"/>
                  <w:gridSpan w:val="2"/>
                  <w:tcBorders>
                    <w:bottom w:val="single" w:color="auto" w:sz="12" w:space="0"/>
                  </w:tcBorders>
                  <w:noWrap w:val="0"/>
                  <w:vAlign w:val="center"/>
                </w:tcPr>
                <w:p w14:paraId="2CE8E20D">
                  <w:pPr>
                    <w:autoSpaceDE w:val="0"/>
                    <w:autoSpaceDN w:val="0"/>
                    <w:adjustRightInd w:val="0"/>
                    <w:contextualSpacing/>
                    <w:jc w:val="center"/>
                    <w:rPr>
                      <w:rFonts w:hint="default" w:ascii="Times New Roman" w:hAnsi="Times New Roman" w:cs="Times New Roman"/>
                      <w:sz w:val="18"/>
                      <w:szCs w:val="18"/>
                    </w:rPr>
                  </w:pPr>
                  <w:r>
                    <w:rPr>
                      <w:rFonts w:hint="default" w:ascii="Times New Roman" w:hAnsi="Times New Roman" w:cs="Times New Roman"/>
                      <w:sz w:val="18"/>
                      <w:szCs w:val="18"/>
                    </w:rPr>
                    <w:t>市政垃圾收集系统</w:t>
                  </w:r>
                </w:p>
              </w:tc>
              <w:tc>
                <w:tcPr>
                  <w:tcW w:w="1257" w:type="pct"/>
                  <w:tcBorders>
                    <w:bottom w:val="single" w:color="auto" w:sz="12" w:space="0"/>
                  </w:tcBorders>
                  <w:noWrap w:val="0"/>
                  <w:vAlign w:val="center"/>
                </w:tcPr>
                <w:p w14:paraId="4F7C91DE">
                  <w:pPr>
                    <w:autoSpaceDE w:val="0"/>
                    <w:autoSpaceDN w:val="0"/>
                    <w:adjustRightInd w:val="0"/>
                    <w:contextualSpacing/>
                    <w:jc w:val="center"/>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sz w:val="18"/>
                      <w:szCs w:val="18"/>
                    </w:rPr>
                    <w:t>市政垃圾收集系统</w:t>
                  </w:r>
                </w:p>
              </w:tc>
              <w:tc>
                <w:tcPr>
                  <w:tcW w:w="952" w:type="pct"/>
                  <w:tcBorders>
                    <w:bottom w:val="single" w:color="auto" w:sz="12" w:space="0"/>
                  </w:tcBorders>
                  <w:noWrap w:val="0"/>
                  <w:vAlign w:val="center"/>
                </w:tcPr>
                <w:p w14:paraId="634B1B97">
                  <w:pPr>
                    <w:autoSpaceDE w:val="0"/>
                    <w:autoSpaceDN w:val="0"/>
                    <w:adjustRightInd w:val="0"/>
                    <w:contextualSpacing/>
                    <w:jc w:val="center"/>
                    <w:rPr>
                      <w:rFonts w:hint="default" w:ascii="Times New Roman" w:hAnsi="Times New Roman" w:cs="Times New Roman"/>
                      <w:sz w:val="18"/>
                      <w:szCs w:val="18"/>
                    </w:rPr>
                  </w:pPr>
                  <w:r>
                    <w:rPr>
                      <w:rFonts w:hint="default" w:ascii="Times New Roman" w:hAnsi="Times New Roman" w:cs="Times New Roman"/>
                      <w:sz w:val="18"/>
                      <w:szCs w:val="18"/>
                      <w:lang w:eastAsia="zh-CN"/>
                    </w:rPr>
                    <w:t>与环评一致</w:t>
                  </w:r>
                </w:p>
              </w:tc>
            </w:tr>
          </w:tbl>
          <w:p w14:paraId="0206EF41">
            <w:pPr>
              <w:jc w:val="center"/>
              <w:rPr>
                <w:rFonts w:hint="default" w:ascii="Times New Roman" w:hAnsi="Times New Roman" w:eastAsia="黑体" w:cs="Times New Roman"/>
              </w:rPr>
            </w:pPr>
            <w:r>
              <w:rPr>
                <w:rFonts w:hint="default" w:ascii="Times New Roman" w:hAnsi="Times New Roman" w:eastAsia="黑体" w:cs="Times New Roman"/>
              </w:rPr>
              <w:t>表4-2  项目设计主要船型一览表</w:t>
            </w:r>
          </w:p>
          <w:tbl>
            <w:tblPr>
              <w:tblStyle w:val="23"/>
              <w:tblW w:w="4989" w:type="pct"/>
              <w:jc w:val="center"/>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Layout w:type="autofit"/>
              <w:tblCellMar>
                <w:top w:w="0" w:type="dxa"/>
                <w:left w:w="108" w:type="dxa"/>
                <w:bottom w:w="0" w:type="dxa"/>
                <w:right w:w="108" w:type="dxa"/>
              </w:tblCellMar>
            </w:tblPr>
            <w:tblGrid>
              <w:gridCol w:w="1562"/>
              <w:gridCol w:w="1491"/>
              <w:gridCol w:w="1217"/>
              <w:gridCol w:w="1253"/>
              <w:gridCol w:w="1144"/>
              <w:gridCol w:w="2368"/>
            </w:tblGrid>
            <w:tr w14:paraId="012EC774">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jc w:val="center"/>
              </w:trPr>
              <w:tc>
                <w:tcPr>
                  <w:tcW w:w="864" w:type="pct"/>
                  <w:vMerge w:val="restart"/>
                  <w:tcBorders>
                    <w:top w:val="single" w:color="auto" w:sz="12" w:space="0"/>
                    <w:bottom w:val="single" w:color="auto" w:sz="12" w:space="0"/>
                  </w:tcBorders>
                  <w:noWrap w:val="0"/>
                  <w:vAlign w:val="center"/>
                </w:tcPr>
                <w:p w14:paraId="1F917060">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船型</w:t>
                  </w:r>
                </w:p>
              </w:tc>
              <w:tc>
                <w:tcPr>
                  <w:tcW w:w="825" w:type="pct"/>
                  <w:tcBorders>
                    <w:top w:val="single" w:color="auto" w:sz="12" w:space="0"/>
                    <w:bottom w:val="single" w:color="auto" w:sz="2" w:space="0"/>
                  </w:tcBorders>
                  <w:noWrap w:val="0"/>
                  <w:vAlign w:val="center"/>
                </w:tcPr>
                <w:p w14:paraId="76E89C09">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船型分级</w:t>
                  </w:r>
                </w:p>
              </w:tc>
              <w:tc>
                <w:tcPr>
                  <w:tcW w:w="1999" w:type="pct"/>
                  <w:gridSpan w:val="3"/>
                  <w:tcBorders>
                    <w:top w:val="single" w:color="auto" w:sz="12" w:space="0"/>
                    <w:bottom w:val="single" w:color="auto" w:sz="2" w:space="0"/>
                  </w:tcBorders>
                  <w:noWrap w:val="0"/>
                  <w:vAlign w:val="center"/>
                </w:tcPr>
                <w:p w14:paraId="248DFEEE">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主 尺 度(m)</w:t>
                  </w:r>
                </w:p>
              </w:tc>
              <w:tc>
                <w:tcPr>
                  <w:tcW w:w="1310" w:type="pct"/>
                  <w:vMerge w:val="restart"/>
                  <w:tcBorders>
                    <w:top w:val="single" w:color="auto" w:sz="12" w:space="0"/>
                    <w:right w:val="nil"/>
                  </w:tcBorders>
                  <w:noWrap w:val="0"/>
                  <w:vAlign w:val="center"/>
                </w:tcPr>
                <w:p w14:paraId="4D2125A3">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备注</w:t>
                  </w:r>
                </w:p>
              </w:tc>
            </w:tr>
            <w:tr w14:paraId="74BF4FDD">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jc w:val="center"/>
              </w:trPr>
              <w:tc>
                <w:tcPr>
                  <w:tcW w:w="864" w:type="pct"/>
                  <w:vMerge w:val="continue"/>
                  <w:tcBorders>
                    <w:top w:val="single" w:color="auto" w:sz="12" w:space="0"/>
                    <w:left w:val="nil"/>
                    <w:bottom w:val="single" w:color="auto" w:sz="12" w:space="0"/>
                  </w:tcBorders>
                  <w:noWrap w:val="0"/>
                  <w:vAlign w:val="center"/>
                </w:tcPr>
                <w:p w14:paraId="1F2927FE">
                  <w:pPr>
                    <w:pStyle w:val="97"/>
                    <w:spacing w:before="0" w:after="0"/>
                    <w:rPr>
                      <w:rFonts w:hint="default" w:ascii="Times New Roman" w:hAnsi="Times New Roman" w:eastAsia="宋体" w:cs="Times New Roman"/>
                      <w:color w:val="000000"/>
                      <w:sz w:val="18"/>
                      <w:szCs w:val="18"/>
                    </w:rPr>
                  </w:pPr>
                </w:p>
              </w:tc>
              <w:tc>
                <w:tcPr>
                  <w:tcW w:w="825" w:type="pct"/>
                  <w:tcBorders>
                    <w:top w:val="single" w:color="auto" w:sz="2" w:space="0"/>
                    <w:bottom w:val="single" w:color="auto" w:sz="12" w:space="0"/>
                  </w:tcBorders>
                  <w:noWrap w:val="0"/>
                  <w:vAlign w:val="center"/>
                </w:tcPr>
                <w:p w14:paraId="02281947">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载客量</w:t>
                  </w:r>
                </w:p>
                <w:p w14:paraId="46601095">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（客位）</w:t>
                  </w:r>
                </w:p>
              </w:tc>
              <w:tc>
                <w:tcPr>
                  <w:tcW w:w="673" w:type="pct"/>
                  <w:tcBorders>
                    <w:top w:val="single" w:color="auto" w:sz="2" w:space="0"/>
                    <w:bottom w:val="single" w:color="auto" w:sz="12" w:space="0"/>
                  </w:tcBorders>
                  <w:noWrap w:val="0"/>
                  <w:vAlign w:val="center"/>
                </w:tcPr>
                <w:p w14:paraId="070EBF87">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总长</w:t>
                  </w:r>
                </w:p>
              </w:tc>
              <w:tc>
                <w:tcPr>
                  <w:tcW w:w="693" w:type="pct"/>
                  <w:tcBorders>
                    <w:top w:val="single" w:color="auto" w:sz="2" w:space="0"/>
                    <w:bottom w:val="single" w:color="auto" w:sz="12" w:space="0"/>
                  </w:tcBorders>
                  <w:noWrap w:val="0"/>
                  <w:vAlign w:val="center"/>
                </w:tcPr>
                <w:p w14:paraId="0CF063E4">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型宽</w:t>
                  </w:r>
                </w:p>
              </w:tc>
              <w:tc>
                <w:tcPr>
                  <w:tcW w:w="633" w:type="pct"/>
                  <w:tcBorders>
                    <w:top w:val="single" w:color="auto" w:sz="2" w:space="0"/>
                    <w:bottom w:val="single" w:color="auto" w:sz="12" w:space="0"/>
                  </w:tcBorders>
                  <w:noWrap w:val="0"/>
                  <w:vAlign w:val="center"/>
                </w:tcPr>
                <w:p w14:paraId="56DCDFC4">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吃水</w:t>
                  </w:r>
                </w:p>
              </w:tc>
              <w:tc>
                <w:tcPr>
                  <w:tcW w:w="1310" w:type="pct"/>
                  <w:vMerge w:val="continue"/>
                  <w:tcBorders>
                    <w:bottom w:val="single" w:color="auto" w:sz="12" w:space="0"/>
                    <w:right w:val="nil"/>
                  </w:tcBorders>
                  <w:noWrap w:val="0"/>
                  <w:vAlign w:val="center"/>
                </w:tcPr>
                <w:p w14:paraId="61E4A86D">
                  <w:pPr>
                    <w:pStyle w:val="97"/>
                    <w:spacing w:before="0" w:after="0"/>
                    <w:rPr>
                      <w:rFonts w:hint="default" w:ascii="Times New Roman" w:hAnsi="Times New Roman" w:eastAsia="宋体" w:cs="Times New Roman"/>
                      <w:color w:val="000000"/>
                      <w:sz w:val="18"/>
                      <w:szCs w:val="18"/>
                    </w:rPr>
                  </w:pPr>
                </w:p>
              </w:tc>
            </w:tr>
            <w:tr w14:paraId="298FC962">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jc w:val="center"/>
              </w:trPr>
              <w:tc>
                <w:tcPr>
                  <w:tcW w:w="864" w:type="pct"/>
                  <w:vMerge w:val="restart"/>
                  <w:tcBorders>
                    <w:top w:val="single" w:color="auto" w:sz="12" w:space="0"/>
                    <w:left w:val="nil"/>
                    <w:bottom w:val="single" w:color="auto" w:sz="12" w:space="0"/>
                  </w:tcBorders>
                  <w:noWrap w:val="0"/>
                  <w:vAlign w:val="center"/>
                </w:tcPr>
                <w:p w14:paraId="17259792">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游船船型</w:t>
                  </w:r>
                </w:p>
              </w:tc>
              <w:tc>
                <w:tcPr>
                  <w:tcW w:w="825" w:type="pct"/>
                  <w:tcBorders>
                    <w:top w:val="single" w:color="auto" w:sz="12" w:space="0"/>
                  </w:tcBorders>
                  <w:noWrap w:val="0"/>
                  <w:vAlign w:val="center"/>
                </w:tcPr>
                <w:p w14:paraId="67031006">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500客位</w:t>
                  </w:r>
                </w:p>
              </w:tc>
              <w:tc>
                <w:tcPr>
                  <w:tcW w:w="673" w:type="pct"/>
                  <w:tcBorders>
                    <w:top w:val="single" w:color="auto" w:sz="12" w:space="0"/>
                  </w:tcBorders>
                  <w:noWrap w:val="0"/>
                  <w:vAlign w:val="center"/>
                </w:tcPr>
                <w:p w14:paraId="55486741">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57</w:t>
                  </w:r>
                </w:p>
              </w:tc>
              <w:tc>
                <w:tcPr>
                  <w:tcW w:w="693" w:type="pct"/>
                  <w:tcBorders>
                    <w:top w:val="single" w:color="auto" w:sz="12" w:space="0"/>
                  </w:tcBorders>
                  <w:noWrap w:val="0"/>
                  <w:vAlign w:val="center"/>
                </w:tcPr>
                <w:p w14:paraId="6586DF62">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16</w:t>
                  </w:r>
                </w:p>
              </w:tc>
              <w:tc>
                <w:tcPr>
                  <w:tcW w:w="633" w:type="pct"/>
                  <w:tcBorders>
                    <w:top w:val="single" w:color="auto" w:sz="12" w:space="0"/>
                  </w:tcBorders>
                  <w:noWrap w:val="0"/>
                  <w:vAlign w:val="center"/>
                </w:tcPr>
                <w:p w14:paraId="713EAD6A">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2.2</w:t>
                  </w:r>
                </w:p>
              </w:tc>
              <w:tc>
                <w:tcPr>
                  <w:tcW w:w="1310" w:type="pct"/>
                  <w:tcBorders>
                    <w:top w:val="single" w:color="auto" w:sz="12" w:space="0"/>
                    <w:right w:val="nil"/>
                  </w:tcBorders>
                  <w:noWrap w:val="0"/>
                  <w:vAlign w:val="center"/>
                </w:tcPr>
                <w:p w14:paraId="5E25B9D3">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 xml:space="preserve">主要设计船型 </w:t>
                  </w:r>
                </w:p>
              </w:tc>
            </w:tr>
            <w:tr w14:paraId="3035474F">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jc w:val="center"/>
              </w:trPr>
              <w:tc>
                <w:tcPr>
                  <w:tcW w:w="864" w:type="pct"/>
                  <w:vMerge w:val="continue"/>
                  <w:tcBorders>
                    <w:top w:val="single" w:color="auto" w:sz="12" w:space="0"/>
                    <w:left w:val="nil"/>
                    <w:bottom w:val="single" w:color="auto" w:sz="12" w:space="0"/>
                  </w:tcBorders>
                  <w:noWrap w:val="0"/>
                  <w:vAlign w:val="center"/>
                </w:tcPr>
                <w:p w14:paraId="69CB27A2">
                  <w:pPr>
                    <w:pStyle w:val="97"/>
                    <w:spacing w:before="0" w:after="0"/>
                    <w:rPr>
                      <w:rFonts w:hint="default" w:ascii="Times New Roman" w:hAnsi="Times New Roman" w:eastAsia="宋体" w:cs="Times New Roman"/>
                      <w:color w:val="000000"/>
                      <w:sz w:val="18"/>
                      <w:szCs w:val="18"/>
                    </w:rPr>
                  </w:pPr>
                </w:p>
              </w:tc>
              <w:tc>
                <w:tcPr>
                  <w:tcW w:w="825" w:type="pct"/>
                  <w:noWrap w:val="0"/>
                  <w:vAlign w:val="center"/>
                </w:tcPr>
                <w:p w14:paraId="03C2524C">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100客位</w:t>
                  </w:r>
                </w:p>
              </w:tc>
              <w:tc>
                <w:tcPr>
                  <w:tcW w:w="673" w:type="pct"/>
                  <w:noWrap w:val="0"/>
                  <w:vAlign w:val="center"/>
                </w:tcPr>
                <w:p w14:paraId="4037A731">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46.55</w:t>
                  </w:r>
                </w:p>
              </w:tc>
              <w:tc>
                <w:tcPr>
                  <w:tcW w:w="693" w:type="pct"/>
                  <w:noWrap w:val="0"/>
                  <w:vAlign w:val="center"/>
                </w:tcPr>
                <w:p w14:paraId="268B94DE">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9</w:t>
                  </w:r>
                </w:p>
              </w:tc>
              <w:tc>
                <w:tcPr>
                  <w:tcW w:w="633" w:type="pct"/>
                  <w:noWrap w:val="0"/>
                  <w:vAlign w:val="center"/>
                </w:tcPr>
                <w:p w14:paraId="565FFA6B">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2.0</w:t>
                  </w:r>
                </w:p>
              </w:tc>
              <w:tc>
                <w:tcPr>
                  <w:tcW w:w="1310" w:type="pct"/>
                  <w:tcBorders>
                    <w:right w:val="nil"/>
                  </w:tcBorders>
                  <w:noWrap w:val="0"/>
                  <w:vAlign w:val="center"/>
                </w:tcPr>
                <w:p w14:paraId="7850A33A">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 xml:space="preserve">主要设计船型 </w:t>
                  </w:r>
                </w:p>
              </w:tc>
            </w:tr>
            <w:tr w14:paraId="24BB8FA5">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jc w:val="center"/>
              </w:trPr>
              <w:tc>
                <w:tcPr>
                  <w:tcW w:w="864" w:type="pct"/>
                  <w:vMerge w:val="continue"/>
                  <w:tcBorders>
                    <w:top w:val="single" w:color="auto" w:sz="12" w:space="0"/>
                    <w:left w:val="nil"/>
                    <w:bottom w:val="single" w:color="auto" w:sz="12" w:space="0"/>
                  </w:tcBorders>
                  <w:noWrap w:val="0"/>
                  <w:vAlign w:val="center"/>
                </w:tcPr>
                <w:p w14:paraId="286F7018">
                  <w:pPr>
                    <w:pStyle w:val="97"/>
                    <w:spacing w:before="0" w:after="0"/>
                    <w:rPr>
                      <w:rFonts w:hint="default" w:ascii="Times New Roman" w:hAnsi="Times New Roman" w:eastAsia="宋体" w:cs="Times New Roman"/>
                      <w:color w:val="000000"/>
                      <w:sz w:val="18"/>
                      <w:szCs w:val="18"/>
                    </w:rPr>
                  </w:pPr>
                </w:p>
              </w:tc>
              <w:tc>
                <w:tcPr>
                  <w:tcW w:w="825" w:type="pct"/>
                  <w:noWrap w:val="0"/>
                  <w:vAlign w:val="center"/>
                </w:tcPr>
                <w:p w14:paraId="42ADFD05">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400客位</w:t>
                  </w:r>
                </w:p>
              </w:tc>
              <w:tc>
                <w:tcPr>
                  <w:tcW w:w="673" w:type="pct"/>
                  <w:noWrap w:val="0"/>
                  <w:vAlign w:val="center"/>
                </w:tcPr>
                <w:p w14:paraId="3877AE31">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62.7</w:t>
                  </w:r>
                </w:p>
              </w:tc>
              <w:tc>
                <w:tcPr>
                  <w:tcW w:w="693" w:type="pct"/>
                  <w:noWrap w:val="0"/>
                  <w:vAlign w:val="center"/>
                </w:tcPr>
                <w:p w14:paraId="2CE7E975">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10.8</w:t>
                  </w:r>
                </w:p>
              </w:tc>
              <w:tc>
                <w:tcPr>
                  <w:tcW w:w="633" w:type="pct"/>
                  <w:noWrap w:val="0"/>
                  <w:vAlign w:val="center"/>
                </w:tcPr>
                <w:p w14:paraId="24274396">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1.5</w:t>
                  </w:r>
                </w:p>
              </w:tc>
              <w:tc>
                <w:tcPr>
                  <w:tcW w:w="1310" w:type="pct"/>
                  <w:tcBorders>
                    <w:right w:val="nil"/>
                  </w:tcBorders>
                  <w:noWrap w:val="0"/>
                  <w:vAlign w:val="center"/>
                </w:tcPr>
                <w:p w14:paraId="2556E0DF">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兼顾船型</w:t>
                  </w:r>
                </w:p>
              </w:tc>
            </w:tr>
            <w:tr w14:paraId="68421D4A">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jc w:val="center"/>
              </w:trPr>
              <w:tc>
                <w:tcPr>
                  <w:tcW w:w="864" w:type="pct"/>
                  <w:vMerge w:val="restart"/>
                  <w:tcBorders>
                    <w:top w:val="single" w:color="auto" w:sz="12" w:space="0"/>
                    <w:left w:val="nil"/>
                  </w:tcBorders>
                  <w:noWrap w:val="0"/>
                  <w:vAlign w:val="center"/>
                </w:tcPr>
                <w:p w14:paraId="1ED35297">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轮渡船型</w:t>
                  </w:r>
                </w:p>
              </w:tc>
              <w:tc>
                <w:tcPr>
                  <w:tcW w:w="825" w:type="pct"/>
                  <w:noWrap w:val="0"/>
                  <w:vAlign w:val="center"/>
                </w:tcPr>
                <w:p w14:paraId="1F511685">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800人</w:t>
                  </w:r>
                </w:p>
              </w:tc>
              <w:tc>
                <w:tcPr>
                  <w:tcW w:w="673" w:type="pct"/>
                  <w:noWrap w:val="0"/>
                  <w:vAlign w:val="center"/>
                </w:tcPr>
                <w:p w14:paraId="26E41BA4">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46.55</w:t>
                  </w:r>
                </w:p>
              </w:tc>
              <w:tc>
                <w:tcPr>
                  <w:tcW w:w="693" w:type="pct"/>
                  <w:noWrap w:val="0"/>
                  <w:vAlign w:val="center"/>
                </w:tcPr>
                <w:p w14:paraId="2F1D5A62">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9</w:t>
                  </w:r>
                </w:p>
              </w:tc>
              <w:tc>
                <w:tcPr>
                  <w:tcW w:w="633" w:type="pct"/>
                  <w:noWrap w:val="0"/>
                  <w:vAlign w:val="center"/>
                </w:tcPr>
                <w:p w14:paraId="767A2EC3">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2.0</w:t>
                  </w:r>
                </w:p>
              </w:tc>
              <w:tc>
                <w:tcPr>
                  <w:tcW w:w="1310" w:type="pct"/>
                  <w:tcBorders>
                    <w:right w:val="nil"/>
                  </w:tcBorders>
                  <w:noWrap w:val="0"/>
                  <w:vAlign w:val="center"/>
                </w:tcPr>
                <w:p w14:paraId="5B8FF759">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 xml:space="preserve">主要设计船型 </w:t>
                  </w:r>
                </w:p>
              </w:tc>
            </w:tr>
            <w:tr w14:paraId="57B195E0">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jc w:val="center"/>
              </w:trPr>
              <w:tc>
                <w:tcPr>
                  <w:tcW w:w="864" w:type="pct"/>
                  <w:vMerge w:val="continue"/>
                  <w:tcBorders>
                    <w:left w:val="nil"/>
                    <w:bottom w:val="single" w:color="auto" w:sz="12" w:space="0"/>
                  </w:tcBorders>
                  <w:noWrap w:val="0"/>
                  <w:vAlign w:val="center"/>
                </w:tcPr>
                <w:p w14:paraId="6778E9DE">
                  <w:pPr>
                    <w:pStyle w:val="97"/>
                    <w:spacing w:before="0" w:after="0"/>
                    <w:rPr>
                      <w:rFonts w:hint="default" w:ascii="Times New Roman" w:hAnsi="Times New Roman" w:eastAsia="宋体" w:cs="Times New Roman"/>
                      <w:color w:val="000000"/>
                      <w:sz w:val="18"/>
                      <w:szCs w:val="18"/>
                    </w:rPr>
                  </w:pPr>
                </w:p>
              </w:tc>
              <w:tc>
                <w:tcPr>
                  <w:tcW w:w="825" w:type="pct"/>
                  <w:tcBorders>
                    <w:bottom w:val="single" w:color="auto" w:sz="12" w:space="0"/>
                  </w:tcBorders>
                  <w:noWrap w:val="0"/>
                  <w:vAlign w:val="center"/>
                </w:tcPr>
                <w:p w14:paraId="1DBC9EB5">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400人</w:t>
                  </w:r>
                </w:p>
              </w:tc>
              <w:tc>
                <w:tcPr>
                  <w:tcW w:w="673" w:type="pct"/>
                  <w:tcBorders>
                    <w:bottom w:val="single" w:color="auto" w:sz="12" w:space="0"/>
                  </w:tcBorders>
                  <w:noWrap w:val="0"/>
                  <w:vAlign w:val="center"/>
                </w:tcPr>
                <w:p w14:paraId="3227880E">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 xml:space="preserve">36.00 </w:t>
                  </w:r>
                </w:p>
              </w:tc>
              <w:tc>
                <w:tcPr>
                  <w:tcW w:w="693" w:type="pct"/>
                  <w:tcBorders>
                    <w:bottom w:val="single" w:color="auto" w:sz="12" w:space="0"/>
                  </w:tcBorders>
                  <w:noWrap w:val="0"/>
                  <w:vAlign w:val="center"/>
                </w:tcPr>
                <w:p w14:paraId="717DBA46">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 xml:space="preserve">7.80 </w:t>
                  </w:r>
                </w:p>
              </w:tc>
              <w:tc>
                <w:tcPr>
                  <w:tcW w:w="633" w:type="pct"/>
                  <w:tcBorders>
                    <w:bottom w:val="single" w:color="auto" w:sz="12" w:space="0"/>
                  </w:tcBorders>
                  <w:noWrap w:val="0"/>
                  <w:vAlign w:val="center"/>
                </w:tcPr>
                <w:p w14:paraId="3824CDC7">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 xml:space="preserve">1.90 </w:t>
                  </w:r>
                </w:p>
              </w:tc>
              <w:tc>
                <w:tcPr>
                  <w:tcW w:w="1310" w:type="pct"/>
                  <w:tcBorders>
                    <w:bottom w:val="single" w:color="auto" w:sz="12" w:space="0"/>
                    <w:right w:val="nil"/>
                  </w:tcBorders>
                  <w:noWrap w:val="0"/>
                  <w:vAlign w:val="center"/>
                </w:tcPr>
                <w:p w14:paraId="5F37BD84">
                  <w:pPr>
                    <w:pStyle w:val="97"/>
                    <w:spacing w:before="0" w:after="0"/>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兼顾船型</w:t>
                  </w:r>
                </w:p>
              </w:tc>
            </w:tr>
          </w:tbl>
          <w:p w14:paraId="5C9C30D8">
            <w:pPr>
              <w:spacing w:line="440" w:lineRule="exact"/>
              <w:rPr>
                <w:rFonts w:hint="default" w:ascii="Times New Roman" w:hAnsi="Times New Roman" w:cs="Times New Roman"/>
                <w:b/>
                <w:sz w:val="24"/>
              </w:rPr>
            </w:pPr>
            <w:r>
              <w:rPr>
                <w:rFonts w:hint="default" w:ascii="Times New Roman" w:hAnsi="Times New Roman" w:cs="Times New Roman"/>
                <w:b/>
                <w:sz w:val="24"/>
              </w:rPr>
              <w:t>4.3总平面布置</w:t>
            </w:r>
          </w:p>
          <w:p w14:paraId="322B82F5">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 xml:space="preserve">（1）水域布置 </w:t>
            </w:r>
          </w:p>
          <w:p w14:paraId="3FFED959">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码头前沿线采用顺岸式布置，位于-1m 等高线附近，与水流流向基本平行，从上游到下游依次为 1#～</w:t>
            </w:r>
            <w:r>
              <w:rPr>
                <w:rFonts w:hint="default" w:ascii="Times New Roman" w:hAnsi="Times New Roman" w:cs="Times New Roman"/>
                <w:bCs/>
                <w:color w:val="000000"/>
                <w:sz w:val="24"/>
                <w:lang w:val="en-US" w:eastAsia="zh-CN"/>
              </w:rPr>
              <w:t>6</w:t>
            </w:r>
            <w:r>
              <w:rPr>
                <w:rFonts w:hint="default" w:ascii="Times New Roman" w:hAnsi="Times New Roman" w:cs="Times New Roman"/>
                <w:bCs/>
                <w:color w:val="000000"/>
                <w:sz w:val="24"/>
              </w:rPr>
              <w:t xml:space="preserve">#泊位。每 2 个泊位前沿布置 1 艘104×28m（长×宽）的钢质趸船，每艘趸船均采用内、外八字锚、领水锚及尾锚定位。 </w:t>
            </w:r>
          </w:p>
          <w:p w14:paraId="10AC927F">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1#～2#泊位共用 1 艘趸船，用 1 艘新趸船替换原2艘老旧趸船，利用原中华路码头的引桥与岸连接，无新建接岸设施。3#～4#泊位共用 1 艘趸船，通过平面呈“之”字形 1 条接岸引桥与红巷码头闸口相连，以满足旅客上下坡度要求，接岸引桥总长 146.7 m，宽 10 m。5#～6#泊位</w:t>
            </w:r>
            <w:r>
              <w:rPr>
                <w:rFonts w:hint="default" w:ascii="Times New Roman" w:hAnsi="Times New Roman" w:cs="Times New Roman"/>
                <w:bCs/>
                <w:color w:val="000000"/>
                <w:sz w:val="24"/>
                <w:lang w:eastAsia="zh-CN"/>
              </w:rPr>
              <w:t>通过连接桥与</w:t>
            </w:r>
            <w:r>
              <w:rPr>
                <w:rFonts w:hint="default" w:ascii="Times New Roman" w:hAnsi="Times New Roman" w:cs="Times New Roman"/>
                <w:bCs/>
                <w:color w:val="000000"/>
                <w:sz w:val="24"/>
                <w:lang w:val="en-US" w:eastAsia="zh-CN"/>
              </w:rPr>
              <w:t>3#-4#泊位连接，</w:t>
            </w:r>
            <w:r>
              <w:rPr>
                <w:rFonts w:hint="default" w:ascii="Times New Roman" w:hAnsi="Times New Roman" w:cs="Times New Roman"/>
                <w:bCs/>
                <w:color w:val="000000"/>
                <w:sz w:val="24"/>
              </w:rPr>
              <w:t>接岸布置和数量与 3#～4#泊位相同，与中山路大堤口江滩广场相连。</w:t>
            </w:r>
          </w:p>
          <w:p w14:paraId="4539C290">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 xml:space="preserve"> （2）陆域布置 </w:t>
            </w:r>
          </w:p>
          <w:p w14:paraId="613A2AF5">
            <w:pPr>
              <w:pStyle w:val="86"/>
              <w:ind w:firstLine="480"/>
              <w:rPr>
                <w:rFonts w:hint="default" w:ascii="Times New Roman" w:hAnsi="Times New Roman" w:cs="Times New Roman"/>
                <w:color w:val="000000"/>
                <w:sz w:val="24"/>
                <w:szCs w:val="28"/>
                <w:lang w:bidi="ar"/>
              </w:rPr>
            </w:pPr>
            <w:r>
              <w:rPr>
                <w:rFonts w:hint="default" w:ascii="Times New Roman" w:hAnsi="Times New Roman" w:cs="Times New Roman"/>
                <w:bCs/>
                <w:color w:val="000000"/>
                <w:sz w:val="24"/>
              </w:rPr>
              <w:t>1#～2#泊位利用原中华路码头的1条引桥，码头为斜坡码头。3#～4#泊位的1条“之”字形引桥通过1榀钢引桥（48×10×4m，长×宽×高）、提升平台（20.5×19.0，长×宽）、1榀钢引桥（48×10×4m，长×宽×高）、固定承台（13.5×12.0，长×宽）、架空斜坡道（长16.2m、宽10m）与岸上红巷码头闸口相连（按从水至陆顺序）。5#～6#泊位的接岸结构与3#～4#泊位相同，与岸侧武昌江滩广场相连</w:t>
            </w:r>
            <w:r>
              <w:rPr>
                <w:rFonts w:hint="default" w:ascii="Times New Roman" w:hAnsi="Times New Roman" w:cs="Times New Roman"/>
                <w:color w:val="000000"/>
                <w:sz w:val="24"/>
                <w:szCs w:val="28"/>
                <w:lang w:bidi="ar"/>
              </w:rPr>
              <w:t>。</w:t>
            </w:r>
          </w:p>
          <w:p w14:paraId="7A6B3585">
            <w:pPr>
              <w:pStyle w:val="86"/>
              <w:ind w:firstLine="480"/>
              <w:rPr>
                <w:rFonts w:hint="default" w:ascii="Times New Roman" w:hAnsi="Times New Roman" w:cs="Times New Roman"/>
                <w:color w:val="000000"/>
                <w:sz w:val="24"/>
                <w:szCs w:val="28"/>
                <w:lang w:bidi="ar"/>
              </w:rPr>
            </w:pPr>
          </w:p>
          <w:p w14:paraId="43F396D4">
            <w:pPr>
              <w:pStyle w:val="86"/>
              <w:ind w:firstLine="480"/>
              <w:rPr>
                <w:rFonts w:hint="default" w:ascii="Times New Roman" w:hAnsi="Times New Roman" w:cs="Times New Roman"/>
                <w:color w:val="000000"/>
                <w:sz w:val="24"/>
                <w:szCs w:val="28"/>
                <w:lang w:bidi="ar"/>
              </w:rPr>
            </w:pPr>
          </w:p>
          <w:p w14:paraId="2D8EF86A">
            <w:pPr>
              <w:pStyle w:val="86"/>
              <w:ind w:firstLine="480"/>
              <w:rPr>
                <w:rFonts w:hint="default" w:ascii="Times New Roman" w:hAnsi="Times New Roman" w:cs="Times New Roman"/>
                <w:color w:val="000000"/>
                <w:sz w:val="24"/>
                <w:szCs w:val="28"/>
                <w:lang w:bidi="ar"/>
              </w:rPr>
            </w:pPr>
          </w:p>
          <w:p w14:paraId="4C0C339D">
            <w:pPr>
              <w:pStyle w:val="86"/>
              <w:ind w:firstLine="480"/>
              <w:rPr>
                <w:rFonts w:hint="default" w:ascii="Times New Roman" w:hAnsi="Times New Roman" w:cs="Times New Roman"/>
                <w:color w:val="000000"/>
                <w:sz w:val="24"/>
                <w:szCs w:val="28"/>
                <w:lang w:bidi="ar"/>
              </w:rPr>
            </w:pPr>
          </w:p>
          <w:p w14:paraId="1F9556D1">
            <w:pPr>
              <w:pStyle w:val="86"/>
              <w:ind w:firstLine="480"/>
              <w:rPr>
                <w:rFonts w:hint="default" w:ascii="Times New Roman" w:hAnsi="Times New Roman" w:cs="Times New Roman"/>
                <w:color w:val="000000"/>
                <w:sz w:val="24"/>
                <w:szCs w:val="28"/>
                <w:lang w:bidi="ar"/>
              </w:rPr>
            </w:pPr>
          </w:p>
          <w:p w14:paraId="55A2270F">
            <w:pPr>
              <w:pStyle w:val="86"/>
              <w:ind w:firstLine="0" w:firstLineChars="0"/>
              <w:jc w:val="center"/>
              <w:rPr>
                <w:rFonts w:hint="default" w:ascii="Times New Roman" w:hAnsi="Times New Roman" w:cs="Times New Roman"/>
                <w:color w:val="000000"/>
                <w:sz w:val="24"/>
                <w:szCs w:val="28"/>
                <w:lang w:bidi="ar"/>
              </w:rPr>
            </w:pPr>
            <w:r>
              <w:rPr>
                <w:rFonts w:hint="default" w:ascii="Times New Roman" w:hAnsi="Times New Roman" w:eastAsia="宋体" w:cs="Times New Roman"/>
                <w:sz w:val="24"/>
                <w:szCs w:val="24"/>
              </w:rPr>
              <w:drawing>
                <wp:inline distT="0" distB="0" distL="114300" distR="114300">
                  <wp:extent cx="5524500" cy="3451225"/>
                  <wp:effectExtent l="0" t="0" r="0" b="15875"/>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9"/>
                          <a:stretch>
                            <a:fillRect/>
                          </a:stretch>
                        </pic:blipFill>
                        <pic:spPr>
                          <a:xfrm>
                            <a:off x="0" y="0"/>
                            <a:ext cx="5524500" cy="3451225"/>
                          </a:xfrm>
                          <a:prstGeom prst="rect">
                            <a:avLst/>
                          </a:prstGeom>
                          <a:noFill/>
                          <a:ln w="9525">
                            <a:noFill/>
                          </a:ln>
                        </pic:spPr>
                      </pic:pic>
                    </a:graphicData>
                  </a:graphic>
                </wp:inline>
              </w:drawing>
            </w:r>
          </w:p>
          <w:p w14:paraId="0F9260EE">
            <w:pPr>
              <w:jc w:val="center"/>
              <w:rPr>
                <w:rFonts w:hint="default" w:ascii="Times New Roman" w:hAnsi="Times New Roman" w:eastAsia="黑体" w:cs="Times New Roman"/>
                <w:color w:val="000000"/>
              </w:rPr>
            </w:pPr>
            <w:r>
              <w:rPr>
                <w:rFonts w:hint="default" w:ascii="Times New Roman" w:hAnsi="Times New Roman" w:eastAsia="黑体" w:cs="Times New Roman"/>
                <w:color w:val="000000"/>
              </w:rPr>
              <w:t>图4-1   本项目总体平面布置图</w:t>
            </w:r>
          </w:p>
          <w:p w14:paraId="310CDB67">
            <w:pPr>
              <w:spacing w:line="440" w:lineRule="exact"/>
              <w:rPr>
                <w:rFonts w:hint="default" w:ascii="Times New Roman" w:hAnsi="Times New Roman" w:cs="Times New Roman"/>
                <w:b/>
                <w:sz w:val="24"/>
              </w:rPr>
            </w:pPr>
            <w:r>
              <w:rPr>
                <w:rFonts w:hint="default" w:ascii="Times New Roman" w:hAnsi="Times New Roman" w:cs="Times New Roman"/>
                <w:b/>
                <w:sz w:val="24"/>
              </w:rPr>
              <w:t>4.4水工建筑物</w:t>
            </w:r>
          </w:p>
          <w:p w14:paraId="5C4FBDE5">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lang w:eastAsia="zh-CN"/>
              </w:rPr>
              <w:t>项目</w:t>
            </w:r>
            <w:r>
              <w:rPr>
                <w:rFonts w:hint="default" w:ascii="Times New Roman" w:hAnsi="Times New Roman" w:cs="Times New Roman"/>
                <w:bCs/>
                <w:color w:val="000000"/>
                <w:sz w:val="24"/>
              </w:rPr>
              <w:t>工程水工建筑物主要由钢质趸船、引桥（含钢引桥、提升平台、固定承台、架空斜坡道）、消能系统、系缆墩等组成。根据码头地形、地质及水文等自然条件，结合总平面布置及工艺使用要求，水工建筑物方案如下：</w:t>
            </w:r>
          </w:p>
          <w:p w14:paraId="30A58F11">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1#～2#泊位利用原中华路码头的1条引桥，码头为斜坡码头。3#～4#泊位的1条“之”字形引桥通过1榀钢引桥（48×10×4m，长×宽×高）、提升平台（20.5×19.0，长×宽）、1榀钢引桥（48×10×4m，长×宽×高）、固定承台（13.5×12.0，长×宽）、架空斜坡道（长16.2m、宽10m）与岸上红巷码头闸口相连（按从水至陆顺序）。5#～6#泊位的接岸结构与3#～4#泊位相同。</w:t>
            </w:r>
          </w:p>
          <w:p w14:paraId="1C012C30">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在每艘趸船的岸侧距上下游端部10m处各布设一套撑杆消能设施。撑杆消能设施由钢撑杆、撑杆墩等构成。钢撑杆长47m，截面宽1.5m，高1.5m，撑杆顶部设有栏杆；每座撑杆墩平台尺度为5.0×5.0m。在每艘趸船的两侧布置系缆墩供趸船系缆，其中1#趸船两侧分布5#、6#系缆墩。2#~</w:t>
            </w:r>
            <w:r>
              <w:rPr>
                <w:rFonts w:hint="default" w:ascii="Times New Roman" w:hAnsi="Times New Roman" w:cs="Times New Roman"/>
                <w:bCs/>
                <w:color w:val="000000"/>
                <w:sz w:val="24"/>
                <w:lang w:val="en-US" w:eastAsia="zh-CN"/>
              </w:rPr>
              <w:t>3</w:t>
            </w:r>
            <w:r>
              <w:rPr>
                <w:rFonts w:hint="default" w:ascii="Times New Roman" w:hAnsi="Times New Roman" w:cs="Times New Roman"/>
                <w:bCs/>
                <w:color w:val="000000"/>
                <w:sz w:val="24"/>
              </w:rPr>
              <w:t>#趸船自上游向下游分别为1#～4#系缆墩。</w:t>
            </w:r>
          </w:p>
          <w:p w14:paraId="56DB1438">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1#和4#系缆墩平面尺度为6.0×6.0m，2#、3#、5#、6#系缆墩平面尺度为6.0×10.0m（顺水流方向×垂直水流方向）。</w:t>
            </w:r>
          </w:p>
          <w:p w14:paraId="51C81E51">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1）钢质趸船</w:t>
            </w:r>
          </w:p>
          <w:p w14:paraId="6E53422D">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1#～8#泊位每2个泊位前沿布置1艘104×28m（长×宽）的钢质趸船。</w:t>
            </w:r>
          </w:p>
          <w:p w14:paraId="6869DD7C">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2）钢引桥</w:t>
            </w:r>
          </w:p>
          <w:p w14:paraId="4D4029A9">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拆除原中华路码头引桥，其余新建码头引桥中的1#和2#钢引桥均为平行弦桁架式结构，尺度为48×10×4m（长×宽×高）。</w:t>
            </w:r>
          </w:p>
          <w:p w14:paraId="052657D7">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3）提升平台</w:t>
            </w:r>
          </w:p>
          <w:p w14:paraId="1638E6E4">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提升平台上部结构为框架式，共设4根立柱；下部基础采用桩基墩式结构，墩台长20.5m，宽19.0m，顶高程为17.6m，厚度为2m，桩基采用9根φ1500mm钻孔灌注桩。</w:t>
            </w:r>
          </w:p>
          <w:p w14:paraId="59B1A171">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4）固定承台</w:t>
            </w:r>
          </w:p>
          <w:p w14:paraId="4DB6040A">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固定承台为桩基墩式结构，承台长13.5m，宽12.0m，顶高程为25.5m，厚度为2.2m，桩基采用6根φ1000mm钻孔灌注桩。</w:t>
            </w:r>
          </w:p>
          <w:p w14:paraId="6EEFCB80">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5）架空斜坡道</w:t>
            </w:r>
          </w:p>
          <w:p w14:paraId="2EE63B89">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架空斜坡道采用梁板式结构，上部结构由现浇纵梁和现浇面板组成。</w:t>
            </w:r>
          </w:p>
          <w:p w14:paraId="52C00B84">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6）撑杆消能系统</w:t>
            </w:r>
          </w:p>
          <w:p w14:paraId="4B7174FE">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撑杆消能设施由钢撑杆、撑杆墩等构成。撑杆墩采用高桩墩台结构，每个撑杆墩平台尺度为5.0×5.0m，桩基采用4根φ1200mm灌注型嵌岩桩，上部结构为现浇钢筋砼实体墩。钢撑杆长47m，截面宽1.5m，高1.5m。</w:t>
            </w:r>
          </w:p>
          <w:p w14:paraId="3681CC13">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7）系缆墩</w:t>
            </w:r>
          </w:p>
          <w:p w14:paraId="0C067D0E">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系缆墩采用高桩墩台结构，1#和4#系缆墩平面尺度为6.0×6.0m， 桩基采用4根φ1500mm灌注型嵌岩桩；2#和3#系缆墩平面尺度为6.0×10.0m（顺水流方向×垂直水流方向），桩基采用6根φ1500mm灌注型嵌岩桩。</w:t>
            </w:r>
          </w:p>
          <w:p w14:paraId="08B45A7C">
            <w:pPr>
              <w:pStyle w:val="86"/>
              <w:ind w:firstLine="0" w:firstLineChars="0"/>
              <w:rPr>
                <w:rFonts w:hint="default" w:ascii="Times New Roman" w:hAnsi="Times New Roman" w:cs="Times New Roman"/>
                <w:b/>
                <w:sz w:val="24"/>
              </w:rPr>
            </w:pPr>
            <w:r>
              <w:rPr>
                <w:rFonts w:hint="default" w:ascii="Times New Roman" w:hAnsi="Times New Roman" w:cs="Times New Roman"/>
                <w:b/>
                <w:sz w:val="24"/>
              </w:rPr>
              <w:t>4.5 项目陆域占地情况</w:t>
            </w:r>
          </w:p>
          <w:p w14:paraId="6AADC64A">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（1）临时占地</w:t>
            </w:r>
          </w:p>
          <w:p w14:paraId="1D31061B">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项目施工期不提供施工人员住宿，工作人员租住于周边社区民房中，故临时占地主要包括临时施工材料和设备存放地、临时沉淀池区域</w:t>
            </w:r>
            <w:r>
              <w:rPr>
                <w:rFonts w:hint="default" w:ascii="Times New Roman" w:hAnsi="Times New Roman" w:cs="Times New Roman"/>
                <w:bCs/>
                <w:color w:val="000000"/>
                <w:sz w:val="24"/>
                <w:lang w:eastAsia="zh-CN"/>
              </w:rPr>
              <w:t>，施工完成后全部恢复原样</w:t>
            </w:r>
            <w:r>
              <w:rPr>
                <w:rFonts w:hint="default" w:ascii="Times New Roman" w:hAnsi="Times New Roman" w:cs="Times New Roman"/>
                <w:bCs/>
                <w:color w:val="000000"/>
                <w:sz w:val="24"/>
              </w:rPr>
              <w:t>。</w:t>
            </w:r>
          </w:p>
          <w:p w14:paraId="2CCDC2E4">
            <w:pPr>
              <w:pStyle w:val="86"/>
              <w:ind w:firstLine="480"/>
              <w:rPr>
                <w:rFonts w:hint="default" w:ascii="Times New Roman" w:hAnsi="Times New Roman" w:cs="Times New Roman"/>
                <w:bCs/>
                <w:color w:val="000000"/>
                <w:sz w:val="24"/>
              </w:rPr>
            </w:pPr>
            <w:r>
              <w:rPr>
                <w:rFonts w:hint="default" w:ascii="Times New Roman" w:hAnsi="Times New Roman" w:cs="Times New Roman"/>
                <w:bCs/>
                <w:color w:val="000000"/>
                <w:sz w:val="24"/>
              </w:rPr>
              <w:t>（2）永久占地</w:t>
            </w:r>
          </w:p>
          <w:p w14:paraId="53ED983C">
            <w:pPr>
              <w:spacing w:line="440" w:lineRule="exact"/>
              <w:ind w:firstLine="480" w:firstLineChars="200"/>
              <w:rPr>
                <w:rFonts w:hint="default" w:ascii="Times New Roman" w:hAnsi="Times New Roman" w:eastAsia="宋体" w:cs="Times New Roman"/>
                <w:bCs/>
                <w:color w:val="000000"/>
                <w:sz w:val="24"/>
                <w:lang w:eastAsia="zh-CN"/>
              </w:rPr>
            </w:pPr>
            <w:r>
              <w:rPr>
                <w:rFonts w:hint="default" w:ascii="Times New Roman" w:hAnsi="Times New Roman" w:cs="Times New Roman"/>
                <w:bCs/>
                <w:color w:val="000000"/>
                <w:sz w:val="24"/>
              </w:rPr>
              <w:t>本项目的永久占地主要为沉锤、地牛、斜坡道、平台和管线等设施施工占用的土地，</w:t>
            </w:r>
            <w:r>
              <w:rPr>
                <w:rFonts w:hint="default" w:ascii="Times New Roman" w:hAnsi="Times New Roman" w:cs="Times New Roman"/>
                <w:bCs/>
                <w:color w:val="000000"/>
                <w:sz w:val="24"/>
                <w:lang w:eastAsia="zh-CN"/>
              </w:rPr>
              <w:t>均位于项目用地红线内。</w:t>
            </w:r>
          </w:p>
          <w:p w14:paraId="5D650379">
            <w:pPr>
              <w:spacing w:line="440" w:lineRule="exact"/>
              <w:rPr>
                <w:rFonts w:hint="default" w:ascii="Times New Roman" w:hAnsi="Times New Roman" w:cs="Times New Roman"/>
                <w:b/>
                <w:sz w:val="24"/>
              </w:rPr>
            </w:pPr>
            <w:r>
              <w:rPr>
                <w:rFonts w:hint="default" w:ascii="Times New Roman" w:hAnsi="Times New Roman" w:cs="Times New Roman"/>
                <w:b/>
                <w:sz w:val="24"/>
              </w:rPr>
              <w:t>4.7工艺流程及产污环节</w:t>
            </w:r>
          </w:p>
          <w:p w14:paraId="2EA0C3C1">
            <w:pPr>
              <w:spacing w:line="440" w:lineRule="exact"/>
              <w:rPr>
                <w:rFonts w:hint="default" w:ascii="Times New Roman" w:hAnsi="Times New Roman" w:cs="Times New Roman"/>
                <w:b/>
                <w:sz w:val="24"/>
              </w:rPr>
            </w:pPr>
            <w:r>
              <w:rPr>
                <w:rFonts w:hint="default" w:ascii="Times New Roman" w:hAnsi="Times New Roman" w:cs="Times New Roman"/>
                <w:b/>
                <w:sz w:val="24"/>
              </w:rPr>
              <w:t>4.7.1工艺流程</w:t>
            </w:r>
          </w:p>
          <w:p w14:paraId="76229A75">
            <w:pPr>
              <w:pStyle w:val="96"/>
              <w:spacing w:line="360" w:lineRule="auto"/>
              <w:rPr>
                <w:rFonts w:hint="default" w:ascii="Times New Roman" w:hAnsi="Times New Roman" w:cs="Times New Roman"/>
                <w:color w:val="000000"/>
                <w:sz w:val="24"/>
              </w:rPr>
            </w:pPr>
            <w:r>
              <w:rPr>
                <w:rFonts w:hint="default" w:ascii="Times New Roman" w:hAnsi="Times New Roman" w:cs="Times New Roman"/>
                <w:color w:val="000000"/>
                <w:sz w:val="24"/>
              </w:rPr>
              <w:t>（1）工艺流程</w:t>
            </w:r>
          </w:p>
          <w:p w14:paraId="1A8639D1">
            <w:pPr>
              <w:pStyle w:val="96"/>
              <w:spacing w:line="360" w:lineRule="auto"/>
              <w:rPr>
                <w:rFonts w:hint="default" w:ascii="Times New Roman" w:hAnsi="Times New Roman" w:cs="Times New Roman"/>
                <w:color w:val="000000"/>
                <w:sz w:val="24"/>
              </w:rPr>
            </w:pPr>
            <w:r>
              <w:rPr>
                <w:rFonts w:hint="default" w:ascii="Times New Roman" w:hAnsi="Times New Roman" w:cs="Times New Roman"/>
                <w:color w:val="000000"/>
                <w:sz w:val="24"/>
              </w:rPr>
              <w:t>根据本工程的施工工程量和工程特点，合理选择施工设备和机具。本工程拟采用的主要设备有专用钻机、方驳、水上起重船、砼搅拌及输送设备等，本工程主要施工工艺如下：</w:t>
            </w:r>
          </w:p>
          <w:p w14:paraId="263BAA6C">
            <w:pPr>
              <w:pStyle w:val="96"/>
              <w:spacing w:line="360" w:lineRule="auto"/>
              <w:rPr>
                <w:rFonts w:hint="default" w:ascii="Times New Roman" w:hAnsi="Times New Roman" w:cs="Times New Roman"/>
                <w:color w:val="000000"/>
                <w:sz w:val="24"/>
              </w:rPr>
            </w:pPr>
            <w:r>
              <w:rPr>
                <w:rFonts w:hint="default" w:ascii="Times New Roman" w:hAnsi="Times New Roman" w:cs="Times New Roman"/>
                <w:color w:val="000000"/>
                <w:sz w:val="24"/>
              </w:rPr>
              <w:t>施工准备→桩基施工（其中涉水桩为4）→现浇盖梁、承台→预制T型梁制安→迭合面板制安→提升楼施工→钢引桥制作→趸船就位→钢引桥安装→安装附属设施→竣工验收</w:t>
            </w:r>
          </w:p>
          <w:p w14:paraId="13A52DC6">
            <w:pPr>
              <w:pStyle w:val="96"/>
              <w:spacing w:line="360" w:lineRule="auto"/>
              <w:rPr>
                <w:rFonts w:hint="default" w:ascii="Times New Roman" w:hAnsi="Times New Roman" w:cs="Times New Roman"/>
                <w:color w:val="000000"/>
                <w:sz w:val="24"/>
              </w:rPr>
            </w:pPr>
            <w:r>
              <w:rPr>
                <w:rFonts w:hint="default" w:ascii="Times New Roman" w:hAnsi="Times New Roman" w:cs="Times New Roman"/>
                <w:color w:val="000000"/>
                <w:sz w:val="24"/>
              </w:rPr>
              <w:t>（2）主要施工方法</w:t>
            </w:r>
          </w:p>
          <w:p w14:paraId="09A587F3">
            <w:pPr>
              <w:pStyle w:val="96"/>
              <w:spacing w:line="360" w:lineRule="auto"/>
              <w:rPr>
                <w:rFonts w:hint="default" w:ascii="Times New Roman" w:hAnsi="Times New Roman" w:cs="Times New Roman"/>
                <w:color w:val="000000"/>
                <w:sz w:val="24"/>
              </w:rPr>
            </w:pPr>
            <w:r>
              <w:rPr>
                <w:rFonts w:hint="default" w:ascii="Times New Roman" w:hAnsi="Times New Roman" w:cs="Times New Roman"/>
                <w:color w:val="000000"/>
                <w:sz w:val="24"/>
              </w:rPr>
              <w:t>①水上施打钢管桩：采用专业打桩船施打，将多根桩联结后形成水上工作平台，项目不存在港池疏浚。</w:t>
            </w:r>
          </w:p>
          <w:p w14:paraId="77BF1E99">
            <w:pPr>
              <w:pStyle w:val="96"/>
              <w:spacing w:line="360" w:lineRule="auto"/>
              <w:rPr>
                <w:rFonts w:hint="default" w:ascii="Times New Roman" w:hAnsi="Times New Roman" w:cs="Times New Roman"/>
                <w:color w:val="000000"/>
                <w:sz w:val="24"/>
              </w:rPr>
            </w:pPr>
            <w:r>
              <w:rPr>
                <w:rFonts w:hint="default" w:ascii="Times New Roman" w:hAnsi="Times New Roman" w:cs="Times New Roman"/>
                <w:color w:val="000000"/>
                <w:sz w:val="24"/>
              </w:rPr>
              <w:t>②钻孔灌注桩：尽量安排在枯水期施工，以减少钻孔平台的搭设，节省投资。根据当地地质资料和现场实际情况，选择合适的钻机进行钻孔施工。</w:t>
            </w:r>
          </w:p>
          <w:p w14:paraId="54349DC9">
            <w:pPr>
              <w:pStyle w:val="96"/>
              <w:spacing w:line="360" w:lineRule="auto"/>
              <w:rPr>
                <w:rFonts w:hint="default" w:ascii="Times New Roman" w:hAnsi="Times New Roman" w:cs="Times New Roman"/>
                <w:color w:val="000000"/>
                <w:sz w:val="24"/>
              </w:rPr>
            </w:pPr>
            <w:r>
              <w:rPr>
                <w:rFonts w:hint="default" w:ascii="Times New Roman" w:hAnsi="Times New Roman" w:cs="Times New Roman"/>
                <w:color w:val="000000"/>
                <w:sz w:val="24"/>
              </w:rPr>
              <w:t>③钢引桥制安：预制厂制作，驳运至施工现场，采用浮吊，直接在水上进行现场安装。</w:t>
            </w:r>
          </w:p>
          <w:p w14:paraId="1881F1DB">
            <w:pPr>
              <w:pStyle w:val="96"/>
              <w:spacing w:line="360" w:lineRule="auto"/>
              <w:rPr>
                <w:rFonts w:hint="default" w:ascii="Times New Roman" w:hAnsi="Times New Roman" w:cs="Times New Roman"/>
                <w:color w:val="000000"/>
                <w:sz w:val="24"/>
              </w:rPr>
            </w:pPr>
            <w:r>
              <w:rPr>
                <w:rFonts w:hint="default" w:ascii="Times New Roman" w:hAnsi="Times New Roman" w:cs="Times New Roman"/>
                <w:color w:val="000000"/>
                <w:sz w:val="24"/>
              </w:rPr>
              <w:t>④预制构件制安：在预制厂预制，驳运至施工安装，按照从江侧往岸侧推进的方式进行，要求安装一跨、成型一跨，尽早形成码头工作面，便于后续工序的流水作业。</w:t>
            </w:r>
          </w:p>
          <w:p w14:paraId="23E489F1">
            <w:pPr>
              <w:pStyle w:val="96"/>
              <w:spacing w:line="360" w:lineRule="auto"/>
              <w:rPr>
                <w:rFonts w:hint="default" w:ascii="Times New Roman" w:hAnsi="Times New Roman" w:cs="Times New Roman"/>
                <w:color w:val="000000"/>
              </w:rPr>
            </w:pPr>
            <w:r>
              <w:rPr>
                <w:rFonts w:hint="default" w:ascii="Times New Roman" w:hAnsi="Times New Roman" w:cs="Times New Roman"/>
                <w:color w:val="000000"/>
                <w:sz w:val="24"/>
              </w:rPr>
              <w:t>⑤现浇构件：采用陆上联动线，陆上运输，现浇工艺</w:t>
            </w:r>
            <w:r>
              <w:rPr>
                <w:rFonts w:hint="default" w:ascii="Times New Roman" w:hAnsi="Times New Roman" w:cs="Times New Roman"/>
                <w:color w:val="000000"/>
              </w:rPr>
              <w:t>。</w:t>
            </w:r>
          </w:p>
          <w:p w14:paraId="54E385BE">
            <w:pPr>
              <w:spacing w:line="440" w:lineRule="exact"/>
              <w:rPr>
                <w:rFonts w:hint="default" w:ascii="Times New Roman" w:hAnsi="Times New Roman" w:cs="Times New Roman"/>
                <w:b/>
                <w:sz w:val="24"/>
              </w:rPr>
            </w:pPr>
            <w:r>
              <w:rPr>
                <w:rFonts w:hint="default" w:ascii="Times New Roman" w:hAnsi="Times New Roman" w:cs="Times New Roman"/>
                <w:b/>
                <w:sz w:val="24"/>
              </w:rPr>
              <w:t>4.7.2</w:t>
            </w:r>
            <w:r>
              <w:rPr>
                <w:rFonts w:hint="default" w:ascii="Times New Roman" w:hAnsi="Times New Roman" w:eastAsia="黑体" w:cs="Times New Roman"/>
                <w:b/>
                <w:color w:val="000000"/>
                <w:spacing w:val="6"/>
                <w:kern w:val="0"/>
                <w:sz w:val="24"/>
                <w:szCs w:val="20"/>
              </w:rPr>
              <w:t>产污环节</w:t>
            </w:r>
          </w:p>
          <w:p w14:paraId="1909291F">
            <w:pPr>
              <w:pBdr>
                <w:left w:val="single" w:color="auto" w:sz="4" w:space="4"/>
                <w:right w:val="single" w:color="auto" w:sz="4" w:space="4"/>
              </w:pBdr>
              <w:spacing w:line="360" w:lineRule="auto"/>
              <w:ind w:firstLine="480" w:firstLineChars="200"/>
              <w:rPr>
                <w:rFonts w:hint="default" w:ascii="Times New Roman" w:hAnsi="Times New Roman" w:cs="Times New Roman"/>
                <w:kern w:val="0"/>
                <w:sz w:val="24"/>
              </w:rPr>
            </w:pPr>
            <w:r>
              <w:rPr>
                <w:rFonts w:hint="default" w:ascii="Times New Roman" w:hAnsi="Times New Roman" w:cs="Times New Roman"/>
                <w:kern w:val="0"/>
                <w:sz w:val="24"/>
              </w:rPr>
              <w:t>项目施工期及运营期产污环节见下表。</w:t>
            </w:r>
          </w:p>
          <w:p w14:paraId="3B868DD6">
            <w:pPr>
              <w:pStyle w:val="89"/>
              <w:spacing w:before="0" w:after="0" w:line="360" w:lineRule="auto"/>
              <w:rPr>
                <w:rFonts w:hint="default" w:ascii="Times New Roman" w:hAnsi="Times New Roman" w:cs="Times New Roman"/>
                <w:b w:val="0"/>
                <w:color w:val="000000"/>
                <w:sz w:val="21"/>
                <w:szCs w:val="21"/>
                <w:lang w:val="zh-CN"/>
              </w:rPr>
            </w:pPr>
            <w:r>
              <w:rPr>
                <w:rFonts w:hint="default" w:ascii="Times New Roman" w:hAnsi="Times New Roman" w:cs="Times New Roman"/>
                <w:b w:val="0"/>
                <w:color w:val="000000"/>
                <w:sz w:val="21"/>
                <w:szCs w:val="21"/>
              </w:rPr>
              <w:t>表4-8  项目施工期及运营期产污明细一览表</w:t>
            </w:r>
          </w:p>
          <w:tbl>
            <w:tblPr>
              <w:tblStyle w:val="23"/>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99"/>
              <w:gridCol w:w="1455"/>
              <w:gridCol w:w="1328"/>
              <w:gridCol w:w="1288"/>
              <w:gridCol w:w="2242"/>
              <w:gridCol w:w="1653"/>
            </w:tblGrid>
            <w:tr w14:paraId="570854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06" w:type="pct"/>
                  <w:tcBorders>
                    <w:top w:val="single" w:color="auto" w:sz="12" w:space="0"/>
                    <w:left w:val="nil"/>
                    <w:bottom w:val="single" w:color="auto" w:sz="12" w:space="0"/>
                    <w:right w:val="single" w:color="auto" w:sz="4" w:space="0"/>
                  </w:tcBorders>
                  <w:noWrap w:val="0"/>
                  <w:vAlign w:val="center"/>
                </w:tcPr>
                <w:p w14:paraId="2BCA3E99">
                  <w:pPr>
                    <w:adjustRightInd w:val="0"/>
                    <w:snapToGrid w:val="0"/>
                    <w:jc w:val="center"/>
                    <w:rPr>
                      <w:rFonts w:hint="default" w:ascii="Times New Roman" w:hAnsi="Times New Roman" w:cs="Times New Roman"/>
                      <w:b/>
                      <w:kern w:val="0"/>
                      <w:sz w:val="18"/>
                      <w:szCs w:val="18"/>
                    </w:rPr>
                  </w:pPr>
                  <w:r>
                    <w:rPr>
                      <w:rFonts w:hint="default" w:ascii="Times New Roman" w:hAnsi="Times New Roman" w:cs="Times New Roman"/>
                      <w:b/>
                      <w:kern w:val="0"/>
                      <w:sz w:val="18"/>
                      <w:szCs w:val="18"/>
                    </w:rPr>
                    <w:t>污染类别</w:t>
                  </w:r>
                </w:p>
              </w:tc>
              <w:tc>
                <w:tcPr>
                  <w:tcW w:w="802" w:type="pct"/>
                  <w:tcBorders>
                    <w:top w:val="single" w:color="auto" w:sz="12" w:space="0"/>
                    <w:left w:val="single" w:color="auto" w:sz="4" w:space="0"/>
                    <w:bottom w:val="single" w:color="auto" w:sz="12" w:space="0"/>
                    <w:right w:val="single" w:color="auto" w:sz="4" w:space="0"/>
                  </w:tcBorders>
                  <w:noWrap w:val="0"/>
                  <w:vAlign w:val="center"/>
                </w:tcPr>
                <w:p w14:paraId="42F22306">
                  <w:pPr>
                    <w:adjustRightInd w:val="0"/>
                    <w:snapToGrid w:val="0"/>
                    <w:jc w:val="center"/>
                    <w:rPr>
                      <w:rFonts w:hint="default" w:ascii="Times New Roman" w:hAnsi="Times New Roman" w:cs="Times New Roman"/>
                      <w:b/>
                      <w:kern w:val="0"/>
                      <w:sz w:val="18"/>
                      <w:szCs w:val="18"/>
                    </w:rPr>
                  </w:pPr>
                  <w:r>
                    <w:rPr>
                      <w:rFonts w:hint="default" w:ascii="Times New Roman" w:hAnsi="Times New Roman" w:cs="Times New Roman"/>
                      <w:b/>
                      <w:kern w:val="0"/>
                      <w:sz w:val="18"/>
                      <w:szCs w:val="18"/>
                    </w:rPr>
                    <w:t>污染源分布</w:t>
                  </w:r>
                </w:p>
              </w:tc>
              <w:tc>
                <w:tcPr>
                  <w:tcW w:w="732" w:type="pct"/>
                  <w:tcBorders>
                    <w:top w:val="single" w:color="auto" w:sz="12" w:space="0"/>
                    <w:left w:val="single" w:color="auto" w:sz="4" w:space="0"/>
                    <w:bottom w:val="single" w:color="auto" w:sz="12" w:space="0"/>
                    <w:right w:val="single" w:color="auto" w:sz="4" w:space="0"/>
                  </w:tcBorders>
                  <w:noWrap w:val="0"/>
                  <w:vAlign w:val="center"/>
                </w:tcPr>
                <w:p w14:paraId="5532C849">
                  <w:pPr>
                    <w:adjustRightInd w:val="0"/>
                    <w:snapToGrid w:val="0"/>
                    <w:jc w:val="center"/>
                    <w:rPr>
                      <w:rFonts w:hint="default" w:ascii="Times New Roman" w:hAnsi="Times New Roman" w:cs="Times New Roman"/>
                      <w:b/>
                      <w:kern w:val="0"/>
                      <w:sz w:val="18"/>
                      <w:szCs w:val="18"/>
                    </w:rPr>
                  </w:pPr>
                  <w:r>
                    <w:rPr>
                      <w:rFonts w:hint="default" w:ascii="Times New Roman" w:hAnsi="Times New Roman" w:cs="Times New Roman"/>
                      <w:b/>
                      <w:kern w:val="0"/>
                      <w:sz w:val="18"/>
                      <w:szCs w:val="18"/>
                    </w:rPr>
                    <w:t>污染因子</w:t>
                  </w:r>
                </w:p>
              </w:tc>
              <w:tc>
                <w:tcPr>
                  <w:tcW w:w="710" w:type="pct"/>
                  <w:tcBorders>
                    <w:top w:val="single" w:color="auto" w:sz="12" w:space="0"/>
                    <w:left w:val="single" w:color="auto" w:sz="4" w:space="0"/>
                    <w:bottom w:val="single" w:color="auto" w:sz="12" w:space="0"/>
                    <w:right w:val="single" w:color="auto" w:sz="4" w:space="0"/>
                  </w:tcBorders>
                  <w:noWrap w:val="0"/>
                  <w:vAlign w:val="center"/>
                </w:tcPr>
                <w:p w14:paraId="1734D2B1">
                  <w:pPr>
                    <w:adjustRightInd w:val="0"/>
                    <w:snapToGrid w:val="0"/>
                    <w:jc w:val="center"/>
                    <w:rPr>
                      <w:rFonts w:hint="default" w:ascii="Times New Roman" w:hAnsi="Times New Roman" w:cs="Times New Roman"/>
                      <w:b/>
                      <w:kern w:val="0"/>
                      <w:sz w:val="18"/>
                      <w:szCs w:val="18"/>
                    </w:rPr>
                  </w:pPr>
                  <w:r>
                    <w:rPr>
                      <w:rFonts w:hint="default" w:ascii="Times New Roman" w:hAnsi="Times New Roman" w:cs="Times New Roman"/>
                      <w:b/>
                      <w:kern w:val="0"/>
                      <w:sz w:val="18"/>
                      <w:szCs w:val="18"/>
                    </w:rPr>
                    <w:t>排放形式</w:t>
                  </w:r>
                </w:p>
              </w:tc>
              <w:tc>
                <w:tcPr>
                  <w:tcW w:w="1236" w:type="pct"/>
                  <w:tcBorders>
                    <w:top w:val="single" w:color="auto" w:sz="12" w:space="0"/>
                    <w:left w:val="single" w:color="auto" w:sz="4" w:space="0"/>
                    <w:bottom w:val="single" w:color="auto" w:sz="12" w:space="0"/>
                    <w:right w:val="nil"/>
                  </w:tcBorders>
                  <w:noWrap w:val="0"/>
                  <w:vAlign w:val="center"/>
                </w:tcPr>
                <w:p w14:paraId="7ECBBADA">
                  <w:pPr>
                    <w:adjustRightInd w:val="0"/>
                    <w:snapToGrid w:val="0"/>
                    <w:jc w:val="center"/>
                    <w:rPr>
                      <w:rFonts w:hint="default" w:ascii="Times New Roman" w:hAnsi="Times New Roman" w:cs="Times New Roman"/>
                      <w:b/>
                      <w:kern w:val="0"/>
                      <w:sz w:val="18"/>
                      <w:szCs w:val="18"/>
                    </w:rPr>
                  </w:pPr>
                  <w:r>
                    <w:rPr>
                      <w:rFonts w:hint="default" w:ascii="Times New Roman" w:hAnsi="Times New Roman" w:cs="Times New Roman"/>
                      <w:b/>
                      <w:bCs/>
                      <w:sz w:val="18"/>
                      <w:szCs w:val="18"/>
                    </w:rPr>
                    <w:t>治理措施及排放方式</w:t>
                  </w:r>
                </w:p>
              </w:tc>
              <w:tc>
                <w:tcPr>
                  <w:tcW w:w="911" w:type="pct"/>
                  <w:tcBorders>
                    <w:top w:val="single" w:color="auto" w:sz="12" w:space="0"/>
                    <w:left w:val="single" w:color="auto" w:sz="4" w:space="0"/>
                    <w:bottom w:val="single" w:color="auto" w:sz="12" w:space="0"/>
                    <w:right w:val="nil"/>
                  </w:tcBorders>
                  <w:noWrap w:val="0"/>
                  <w:vAlign w:val="center"/>
                </w:tcPr>
                <w:p w14:paraId="5EB2B674">
                  <w:pPr>
                    <w:adjustRightInd w:val="0"/>
                    <w:snapToGrid w:val="0"/>
                    <w:jc w:val="center"/>
                    <w:rPr>
                      <w:rFonts w:hint="default" w:ascii="Times New Roman" w:hAnsi="Times New Roman" w:eastAsia="宋体" w:cs="Times New Roman"/>
                      <w:b/>
                      <w:bCs/>
                      <w:sz w:val="18"/>
                      <w:szCs w:val="18"/>
                      <w:lang w:eastAsia="zh-CN"/>
                    </w:rPr>
                  </w:pPr>
                  <w:r>
                    <w:rPr>
                      <w:rFonts w:hint="default" w:ascii="Times New Roman" w:hAnsi="Times New Roman" w:cs="Times New Roman"/>
                      <w:b/>
                      <w:bCs/>
                      <w:sz w:val="18"/>
                      <w:szCs w:val="18"/>
                      <w:lang w:eastAsia="zh-CN"/>
                    </w:rPr>
                    <w:t>备注</w:t>
                  </w:r>
                </w:p>
              </w:tc>
            </w:tr>
            <w:tr w14:paraId="7949DF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06" w:type="pct"/>
                  <w:vMerge w:val="restart"/>
                  <w:noWrap w:val="0"/>
                  <w:vAlign w:val="center"/>
                </w:tcPr>
                <w:p w14:paraId="37536E63">
                  <w:pPr>
                    <w:adjustRightInd w:val="0"/>
                    <w:snapToGrid w:val="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废气</w:t>
                  </w:r>
                </w:p>
              </w:tc>
              <w:tc>
                <w:tcPr>
                  <w:tcW w:w="802" w:type="pct"/>
                  <w:tcBorders>
                    <w:bottom w:val="single" w:color="000000" w:sz="2" w:space="0"/>
                  </w:tcBorders>
                  <w:noWrap w:val="0"/>
                  <w:vAlign w:val="center"/>
                </w:tcPr>
                <w:p w14:paraId="57C46A29">
                  <w:pPr>
                    <w:adjustRightInd w:val="0"/>
                    <w:snapToGrid w:val="0"/>
                    <w:jc w:val="center"/>
                    <w:rPr>
                      <w:rFonts w:hint="default" w:ascii="Times New Roman" w:hAnsi="Times New Roman" w:cs="Times New Roman"/>
                      <w:sz w:val="18"/>
                      <w:szCs w:val="18"/>
                      <w:lang w:eastAsia="zh-CN"/>
                    </w:rPr>
                  </w:pPr>
                  <w:r>
                    <w:rPr>
                      <w:rFonts w:hint="default" w:ascii="Times New Roman" w:hAnsi="Times New Roman" w:cs="Times New Roman"/>
                      <w:sz w:val="18"/>
                      <w:szCs w:val="18"/>
                      <w:lang w:eastAsia="zh-CN"/>
                    </w:rPr>
                    <w:t>施工扬尘</w:t>
                  </w:r>
                </w:p>
              </w:tc>
              <w:tc>
                <w:tcPr>
                  <w:tcW w:w="732" w:type="pct"/>
                  <w:noWrap w:val="0"/>
                  <w:vAlign w:val="center"/>
                </w:tcPr>
                <w:p w14:paraId="78FEB48C">
                  <w:pPr>
                    <w:adjustRightInd w:val="0"/>
                    <w:snapToGrid w:val="0"/>
                    <w:jc w:val="center"/>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颗粒物</w:t>
                  </w:r>
                </w:p>
              </w:tc>
              <w:tc>
                <w:tcPr>
                  <w:tcW w:w="710" w:type="pct"/>
                  <w:noWrap w:val="0"/>
                  <w:vAlign w:val="center"/>
                </w:tcPr>
                <w:p w14:paraId="404B3DC8">
                  <w:pPr>
                    <w:adjustRightInd w:val="0"/>
                    <w:snapToGrid w:val="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无组织</w:t>
                  </w:r>
                </w:p>
              </w:tc>
              <w:tc>
                <w:tcPr>
                  <w:tcW w:w="1236" w:type="pct"/>
                  <w:noWrap w:val="0"/>
                  <w:vAlign w:val="center"/>
                </w:tcPr>
                <w:p w14:paraId="06DFBDD5">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洒水抑尘</w:t>
                  </w:r>
                </w:p>
              </w:tc>
              <w:tc>
                <w:tcPr>
                  <w:tcW w:w="911" w:type="pct"/>
                  <w:vMerge w:val="restart"/>
                  <w:noWrap w:val="0"/>
                  <w:vAlign w:val="center"/>
                </w:tcPr>
                <w:p w14:paraId="0F6346DA">
                  <w:pPr>
                    <w:adjustRightInd w:val="0"/>
                    <w:snapToGrid w:val="0"/>
                    <w:jc w:val="center"/>
                    <w:rPr>
                      <w:rFonts w:hint="default" w:ascii="Times New Roman" w:hAnsi="Times New Roman" w:cs="Times New Roman"/>
                      <w:bCs/>
                      <w:sz w:val="18"/>
                      <w:szCs w:val="18"/>
                      <w:lang w:eastAsia="zh-CN"/>
                    </w:rPr>
                  </w:pPr>
                  <w:r>
                    <w:rPr>
                      <w:rFonts w:hint="default" w:ascii="Times New Roman" w:hAnsi="Times New Roman" w:cs="Times New Roman"/>
                      <w:bCs/>
                      <w:sz w:val="18"/>
                      <w:szCs w:val="18"/>
                      <w:lang w:eastAsia="zh-CN"/>
                    </w:rPr>
                    <w:t>施工期</w:t>
                  </w:r>
                </w:p>
              </w:tc>
            </w:tr>
            <w:tr w14:paraId="3CB372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06" w:type="pct"/>
                  <w:vMerge w:val="continue"/>
                  <w:noWrap w:val="0"/>
                  <w:vAlign w:val="center"/>
                </w:tcPr>
                <w:p w14:paraId="65FD04FD">
                  <w:pPr>
                    <w:adjustRightInd w:val="0"/>
                    <w:snapToGrid w:val="0"/>
                    <w:jc w:val="center"/>
                    <w:rPr>
                      <w:rFonts w:hint="default" w:ascii="Times New Roman" w:hAnsi="Times New Roman" w:cs="Times New Roman"/>
                      <w:kern w:val="0"/>
                      <w:sz w:val="18"/>
                      <w:szCs w:val="18"/>
                    </w:rPr>
                  </w:pPr>
                </w:p>
              </w:tc>
              <w:tc>
                <w:tcPr>
                  <w:tcW w:w="802" w:type="pct"/>
                  <w:tcBorders>
                    <w:bottom w:val="single" w:color="000000" w:sz="2" w:space="0"/>
                  </w:tcBorders>
                  <w:noWrap w:val="0"/>
                  <w:vAlign w:val="center"/>
                </w:tcPr>
                <w:p w14:paraId="0A1D2D86">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燃油机械废气</w:t>
                  </w:r>
                </w:p>
              </w:tc>
              <w:tc>
                <w:tcPr>
                  <w:tcW w:w="732" w:type="pct"/>
                  <w:noWrap w:val="0"/>
                  <w:vAlign w:val="center"/>
                </w:tcPr>
                <w:p w14:paraId="5F4AD938">
                  <w:pPr>
                    <w:adjustRightInd w:val="0"/>
                    <w:snapToGrid w:val="0"/>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CO、HC等</w:t>
                  </w:r>
                </w:p>
              </w:tc>
              <w:tc>
                <w:tcPr>
                  <w:tcW w:w="710" w:type="pct"/>
                  <w:noWrap w:val="0"/>
                  <w:vAlign w:val="center"/>
                </w:tcPr>
                <w:p w14:paraId="4093B2AE">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无组织</w:t>
                  </w:r>
                </w:p>
              </w:tc>
              <w:tc>
                <w:tcPr>
                  <w:tcW w:w="1236" w:type="pct"/>
                  <w:noWrap w:val="0"/>
                  <w:vAlign w:val="center"/>
                </w:tcPr>
                <w:p w14:paraId="06E98109">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val="en-US" w:eastAsia="zh-CN"/>
                    </w:rPr>
                    <w:t>采取使用符合国家标准要求的施工机械并定期检修</w:t>
                  </w:r>
                </w:p>
              </w:tc>
              <w:tc>
                <w:tcPr>
                  <w:tcW w:w="911" w:type="pct"/>
                  <w:vMerge w:val="continue"/>
                  <w:noWrap w:val="0"/>
                  <w:vAlign w:val="center"/>
                </w:tcPr>
                <w:p w14:paraId="46BB543E">
                  <w:pPr>
                    <w:adjustRightInd w:val="0"/>
                    <w:snapToGrid w:val="0"/>
                    <w:jc w:val="center"/>
                    <w:rPr>
                      <w:rFonts w:hint="default" w:ascii="Times New Roman" w:hAnsi="Times New Roman" w:cs="Times New Roman"/>
                      <w:bCs/>
                      <w:sz w:val="18"/>
                      <w:szCs w:val="18"/>
                      <w:lang w:eastAsia="zh-CN"/>
                    </w:rPr>
                  </w:pPr>
                </w:p>
              </w:tc>
            </w:tr>
            <w:tr w14:paraId="29386E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06" w:type="pct"/>
                  <w:vMerge w:val="continue"/>
                  <w:noWrap w:val="0"/>
                  <w:vAlign w:val="center"/>
                </w:tcPr>
                <w:p w14:paraId="4DB819AF">
                  <w:pPr>
                    <w:adjustRightInd w:val="0"/>
                    <w:snapToGrid w:val="0"/>
                    <w:jc w:val="center"/>
                    <w:rPr>
                      <w:rFonts w:hint="default" w:ascii="Times New Roman" w:hAnsi="Times New Roman" w:cs="Times New Roman"/>
                      <w:kern w:val="0"/>
                      <w:sz w:val="18"/>
                      <w:szCs w:val="18"/>
                    </w:rPr>
                  </w:pPr>
                </w:p>
              </w:tc>
              <w:tc>
                <w:tcPr>
                  <w:tcW w:w="802" w:type="pct"/>
                  <w:tcBorders>
                    <w:bottom w:val="single" w:color="000000" w:sz="2" w:space="0"/>
                  </w:tcBorders>
                  <w:noWrap w:val="0"/>
                  <w:vAlign w:val="center"/>
                </w:tcPr>
                <w:p w14:paraId="1D63E66D">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cs="Times New Roman"/>
                      <w:sz w:val="18"/>
                      <w:szCs w:val="18"/>
                      <w:lang w:eastAsia="zh-CN"/>
                    </w:rPr>
                    <w:t>污水处理装置</w:t>
                  </w:r>
                </w:p>
              </w:tc>
              <w:tc>
                <w:tcPr>
                  <w:tcW w:w="732" w:type="pct"/>
                  <w:noWrap w:val="0"/>
                  <w:vAlign w:val="center"/>
                </w:tcPr>
                <w:p w14:paraId="3F3BCEF9">
                  <w:pPr>
                    <w:adjustRightInd w:val="0"/>
                    <w:snapToGrid w:val="0"/>
                    <w:jc w:val="center"/>
                    <w:rPr>
                      <w:rFonts w:hint="default" w:ascii="Times New Roman" w:hAnsi="Times New Roman" w:eastAsia="宋体" w:cs="Times New Roman"/>
                      <w:sz w:val="18"/>
                      <w:szCs w:val="18"/>
                      <w:lang w:val="en-US" w:eastAsia="zh-CN"/>
                    </w:rPr>
                  </w:pPr>
                  <w:r>
                    <w:rPr>
                      <w:rFonts w:hint="default" w:ascii="Times New Roman" w:hAnsi="Times New Roman" w:cs="Times New Roman"/>
                      <w:sz w:val="18"/>
                      <w:szCs w:val="18"/>
                      <w:lang w:val="en-US" w:eastAsia="zh-CN"/>
                    </w:rPr>
                    <w:t>硫化氢、氨</w:t>
                  </w:r>
                </w:p>
              </w:tc>
              <w:tc>
                <w:tcPr>
                  <w:tcW w:w="710" w:type="pct"/>
                  <w:noWrap w:val="0"/>
                  <w:vAlign w:val="center"/>
                </w:tcPr>
                <w:p w14:paraId="616846C3">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无组织</w:t>
                  </w:r>
                </w:p>
              </w:tc>
              <w:tc>
                <w:tcPr>
                  <w:tcW w:w="1236" w:type="pct"/>
                  <w:noWrap w:val="0"/>
                  <w:vAlign w:val="center"/>
                </w:tcPr>
                <w:p w14:paraId="44BE360B">
                  <w:pPr>
                    <w:adjustRightInd w:val="0"/>
                    <w:snapToGrid w:val="0"/>
                    <w:jc w:val="center"/>
                    <w:rPr>
                      <w:rFonts w:hint="default" w:ascii="Times New Roman" w:hAnsi="Times New Roman" w:eastAsia="宋体" w:cs="Times New Roman"/>
                      <w:sz w:val="18"/>
                      <w:szCs w:val="18"/>
                      <w:lang w:val="en-US" w:eastAsia="zh-CN"/>
                    </w:rPr>
                  </w:pPr>
                  <w:r>
                    <w:rPr>
                      <w:rFonts w:hint="default" w:ascii="Times New Roman" w:hAnsi="Times New Roman" w:cs="Times New Roman"/>
                      <w:sz w:val="18"/>
                      <w:szCs w:val="18"/>
                      <w:lang w:val="en-US" w:eastAsia="zh-CN"/>
                    </w:rPr>
                    <w:t>自然扩散</w:t>
                  </w:r>
                </w:p>
              </w:tc>
              <w:tc>
                <w:tcPr>
                  <w:tcW w:w="911" w:type="pct"/>
                  <w:vMerge w:val="restart"/>
                  <w:noWrap w:val="0"/>
                  <w:vAlign w:val="center"/>
                </w:tcPr>
                <w:p w14:paraId="74C2071F">
                  <w:pPr>
                    <w:adjustRightInd w:val="0"/>
                    <w:snapToGrid w:val="0"/>
                    <w:jc w:val="center"/>
                    <w:rPr>
                      <w:rFonts w:hint="default" w:ascii="Times New Roman" w:hAnsi="Times New Roman" w:cs="Times New Roman"/>
                      <w:bCs/>
                      <w:sz w:val="18"/>
                      <w:szCs w:val="18"/>
                      <w:lang w:eastAsia="zh-CN"/>
                    </w:rPr>
                  </w:pPr>
                  <w:r>
                    <w:rPr>
                      <w:rFonts w:hint="default" w:ascii="Times New Roman" w:hAnsi="Times New Roman" w:cs="Times New Roman"/>
                      <w:bCs/>
                      <w:sz w:val="18"/>
                      <w:szCs w:val="18"/>
                      <w:lang w:eastAsia="zh-CN"/>
                    </w:rPr>
                    <w:t>运营期</w:t>
                  </w:r>
                </w:p>
              </w:tc>
            </w:tr>
            <w:tr w14:paraId="21D2DE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06" w:type="pct"/>
                  <w:vMerge w:val="continue"/>
                  <w:noWrap w:val="0"/>
                  <w:vAlign w:val="center"/>
                </w:tcPr>
                <w:p w14:paraId="19785ECC">
                  <w:pPr>
                    <w:adjustRightInd w:val="0"/>
                    <w:snapToGrid w:val="0"/>
                    <w:jc w:val="center"/>
                    <w:rPr>
                      <w:rFonts w:hint="default" w:ascii="Times New Roman" w:hAnsi="Times New Roman" w:cs="Times New Roman"/>
                      <w:kern w:val="0"/>
                      <w:sz w:val="18"/>
                      <w:szCs w:val="18"/>
                    </w:rPr>
                  </w:pPr>
                </w:p>
              </w:tc>
              <w:tc>
                <w:tcPr>
                  <w:tcW w:w="802" w:type="pct"/>
                  <w:tcBorders>
                    <w:bottom w:val="single" w:color="000000" w:sz="2" w:space="0"/>
                  </w:tcBorders>
                  <w:noWrap w:val="0"/>
                  <w:vAlign w:val="center"/>
                </w:tcPr>
                <w:p w14:paraId="038C0BD0">
                  <w:pPr>
                    <w:adjustRightInd w:val="0"/>
                    <w:snapToGrid w:val="0"/>
                    <w:jc w:val="center"/>
                    <w:rPr>
                      <w:rFonts w:hint="default" w:ascii="Times New Roman" w:hAnsi="Times New Roman" w:cs="Times New Roman"/>
                      <w:sz w:val="18"/>
                      <w:szCs w:val="18"/>
                      <w:lang w:eastAsia="zh-CN"/>
                    </w:rPr>
                  </w:pPr>
                  <w:r>
                    <w:rPr>
                      <w:rFonts w:hint="default" w:ascii="Times New Roman" w:hAnsi="Times New Roman" w:cs="Times New Roman"/>
                      <w:sz w:val="18"/>
                      <w:szCs w:val="18"/>
                      <w:lang w:eastAsia="zh-CN"/>
                    </w:rPr>
                    <w:t>船舶辅机废气</w:t>
                  </w:r>
                </w:p>
              </w:tc>
              <w:tc>
                <w:tcPr>
                  <w:tcW w:w="732" w:type="pct"/>
                  <w:noWrap w:val="0"/>
                  <w:vAlign w:val="center"/>
                </w:tcPr>
                <w:p w14:paraId="18303A8E">
                  <w:pPr>
                    <w:adjustRightInd w:val="0"/>
                    <w:snapToGrid w:val="0"/>
                    <w:jc w:val="center"/>
                    <w:rPr>
                      <w:rFonts w:hint="default" w:ascii="Times New Roman" w:hAnsi="Times New Roman" w:cs="Times New Roman"/>
                      <w:sz w:val="18"/>
                      <w:szCs w:val="18"/>
                      <w:lang w:val="en-US" w:eastAsia="zh-CN"/>
                    </w:rPr>
                  </w:pPr>
                  <w:r>
                    <w:rPr>
                      <w:rFonts w:hint="default" w:ascii="Times New Roman" w:hAnsi="Times New Roman" w:eastAsia="宋体" w:cs="Times New Roman"/>
                      <w:sz w:val="18"/>
                      <w:szCs w:val="18"/>
                      <w:lang w:val="en-US" w:eastAsia="zh-CN"/>
                    </w:rPr>
                    <w:t>CO、HC等</w:t>
                  </w:r>
                </w:p>
              </w:tc>
              <w:tc>
                <w:tcPr>
                  <w:tcW w:w="710" w:type="pct"/>
                  <w:noWrap w:val="0"/>
                  <w:vAlign w:val="center"/>
                </w:tcPr>
                <w:p w14:paraId="7CB5A9A4">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无组织</w:t>
                  </w:r>
                </w:p>
              </w:tc>
              <w:tc>
                <w:tcPr>
                  <w:tcW w:w="1236" w:type="pct"/>
                  <w:noWrap w:val="0"/>
                  <w:vAlign w:val="center"/>
                </w:tcPr>
                <w:p w14:paraId="05E76982">
                  <w:pPr>
                    <w:adjustRightInd w:val="0"/>
                    <w:snapToGrid w:val="0"/>
                    <w:jc w:val="center"/>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自然扩散</w:t>
                  </w:r>
                </w:p>
              </w:tc>
              <w:tc>
                <w:tcPr>
                  <w:tcW w:w="911" w:type="pct"/>
                  <w:vMerge w:val="continue"/>
                  <w:noWrap w:val="0"/>
                  <w:vAlign w:val="center"/>
                </w:tcPr>
                <w:p w14:paraId="5A113E43">
                  <w:pPr>
                    <w:adjustRightInd w:val="0"/>
                    <w:snapToGrid w:val="0"/>
                    <w:jc w:val="center"/>
                    <w:rPr>
                      <w:rFonts w:hint="default" w:ascii="Times New Roman" w:hAnsi="Times New Roman" w:cs="Times New Roman"/>
                      <w:bCs/>
                      <w:sz w:val="18"/>
                      <w:szCs w:val="18"/>
                      <w:lang w:eastAsia="zh-CN"/>
                    </w:rPr>
                  </w:pPr>
                </w:p>
              </w:tc>
            </w:tr>
            <w:tr w14:paraId="177A62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06" w:type="pct"/>
                  <w:vMerge w:val="restart"/>
                  <w:noWrap w:val="0"/>
                  <w:vAlign w:val="center"/>
                </w:tcPr>
                <w:p w14:paraId="7ECBBA6E">
                  <w:pPr>
                    <w:adjustRightInd w:val="0"/>
                    <w:snapToGrid w:val="0"/>
                    <w:jc w:val="center"/>
                    <w:rPr>
                      <w:rFonts w:hint="default" w:ascii="Times New Roman" w:hAnsi="Times New Roman" w:eastAsia="宋体" w:cs="Times New Roman"/>
                      <w:kern w:val="0"/>
                      <w:sz w:val="18"/>
                      <w:szCs w:val="18"/>
                      <w:lang w:eastAsia="zh-CN"/>
                    </w:rPr>
                  </w:pPr>
                  <w:r>
                    <w:rPr>
                      <w:rFonts w:hint="default" w:ascii="Times New Roman" w:hAnsi="Times New Roman" w:cs="Times New Roman"/>
                      <w:kern w:val="0"/>
                      <w:sz w:val="18"/>
                      <w:szCs w:val="18"/>
                      <w:lang w:eastAsia="zh-CN"/>
                    </w:rPr>
                    <w:t>废水</w:t>
                  </w:r>
                </w:p>
              </w:tc>
              <w:tc>
                <w:tcPr>
                  <w:tcW w:w="802" w:type="pct"/>
                  <w:noWrap w:val="0"/>
                  <w:vAlign w:val="center"/>
                </w:tcPr>
                <w:p w14:paraId="3DD2D1C0">
                  <w:pPr>
                    <w:adjustRightInd w:val="0"/>
                    <w:snapToGrid w:val="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生活污水</w:t>
                  </w:r>
                </w:p>
              </w:tc>
              <w:tc>
                <w:tcPr>
                  <w:tcW w:w="732" w:type="pct"/>
                  <w:noWrap w:val="0"/>
                  <w:vAlign w:val="center"/>
                </w:tcPr>
                <w:p w14:paraId="314A20B4">
                  <w:pPr>
                    <w:adjustRightInd w:val="0"/>
                    <w:snapToGrid w:val="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COD、BOD</w:t>
                  </w:r>
                  <w:r>
                    <w:rPr>
                      <w:rFonts w:hint="default" w:ascii="Times New Roman" w:hAnsi="Times New Roman" w:cs="Times New Roman"/>
                      <w:kern w:val="0"/>
                      <w:sz w:val="18"/>
                      <w:szCs w:val="18"/>
                      <w:vertAlign w:val="subscript"/>
                    </w:rPr>
                    <w:t>5</w:t>
                  </w:r>
                  <w:r>
                    <w:rPr>
                      <w:rFonts w:hint="default" w:ascii="Times New Roman" w:hAnsi="Times New Roman" w:cs="Times New Roman"/>
                      <w:kern w:val="0"/>
                      <w:sz w:val="18"/>
                      <w:szCs w:val="18"/>
                    </w:rPr>
                    <w:t>、氨氮、SS等</w:t>
                  </w:r>
                </w:p>
              </w:tc>
              <w:tc>
                <w:tcPr>
                  <w:tcW w:w="710" w:type="pct"/>
                  <w:noWrap w:val="0"/>
                  <w:vAlign w:val="center"/>
                </w:tcPr>
                <w:p w14:paraId="262128D3">
                  <w:pPr>
                    <w:adjustRightInd w:val="0"/>
                    <w:snapToGrid w:val="0"/>
                    <w:jc w:val="center"/>
                    <w:rPr>
                      <w:rFonts w:hint="default" w:ascii="Times New Roman" w:hAnsi="Times New Roman" w:eastAsia="宋体" w:cs="Times New Roman"/>
                      <w:kern w:val="0"/>
                      <w:sz w:val="18"/>
                      <w:szCs w:val="18"/>
                      <w:lang w:val="en-US" w:eastAsia="zh-CN"/>
                    </w:rPr>
                  </w:pPr>
                  <w:r>
                    <w:rPr>
                      <w:rFonts w:hint="default" w:ascii="Times New Roman" w:hAnsi="Times New Roman" w:cs="Times New Roman"/>
                      <w:kern w:val="0"/>
                      <w:sz w:val="18"/>
                      <w:szCs w:val="18"/>
                      <w:lang w:val="en-US" w:eastAsia="zh-CN"/>
                    </w:rPr>
                    <w:t>/</w:t>
                  </w:r>
                </w:p>
              </w:tc>
              <w:tc>
                <w:tcPr>
                  <w:tcW w:w="1236" w:type="pct"/>
                  <w:noWrap w:val="0"/>
                  <w:vAlign w:val="center"/>
                </w:tcPr>
                <w:p w14:paraId="13853C68">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依托周边居民区进行解决</w:t>
                  </w:r>
                </w:p>
              </w:tc>
              <w:tc>
                <w:tcPr>
                  <w:tcW w:w="911" w:type="pct"/>
                  <w:vMerge w:val="restart"/>
                  <w:noWrap w:val="0"/>
                  <w:vAlign w:val="center"/>
                </w:tcPr>
                <w:p w14:paraId="0A05D5C5">
                  <w:pPr>
                    <w:adjustRightInd w:val="0"/>
                    <w:snapToGrid w:val="0"/>
                    <w:jc w:val="center"/>
                    <w:rPr>
                      <w:rFonts w:hint="default" w:ascii="Times New Roman" w:hAnsi="Times New Roman" w:cs="Times New Roman"/>
                      <w:kern w:val="0"/>
                      <w:sz w:val="18"/>
                      <w:szCs w:val="18"/>
                    </w:rPr>
                  </w:pPr>
                  <w:r>
                    <w:rPr>
                      <w:rFonts w:hint="default" w:ascii="Times New Roman" w:hAnsi="Times New Roman" w:cs="Times New Roman"/>
                      <w:bCs/>
                      <w:sz w:val="18"/>
                      <w:szCs w:val="18"/>
                      <w:lang w:eastAsia="zh-CN"/>
                    </w:rPr>
                    <w:t>施工期</w:t>
                  </w:r>
                </w:p>
              </w:tc>
            </w:tr>
            <w:tr w14:paraId="57A59E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06" w:type="pct"/>
                  <w:vMerge w:val="continue"/>
                  <w:noWrap w:val="0"/>
                  <w:vAlign w:val="center"/>
                </w:tcPr>
                <w:p w14:paraId="6F35B1B1">
                  <w:pPr>
                    <w:adjustRightInd w:val="0"/>
                    <w:snapToGrid w:val="0"/>
                    <w:jc w:val="center"/>
                    <w:rPr>
                      <w:rFonts w:hint="default" w:ascii="Times New Roman" w:hAnsi="Times New Roman" w:eastAsia="宋体" w:cs="Times New Roman"/>
                      <w:kern w:val="0"/>
                      <w:sz w:val="18"/>
                      <w:szCs w:val="18"/>
                      <w:lang w:eastAsia="zh-CN"/>
                    </w:rPr>
                  </w:pPr>
                </w:p>
              </w:tc>
              <w:tc>
                <w:tcPr>
                  <w:tcW w:w="802" w:type="pct"/>
                  <w:noWrap w:val="0"/>
                  <w:vAlign w:val="center"/>
                </w:tcPr>
                <w:p w14:paraId="6646EFCD">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砂浆</w:t>
                  </w:r>
                </w:p>
              </w:tc>
              <w:tc>
                <w:tcPr>
                  <w:tcW w:w="732" w:type="pct"/>
                  <w:noWrap w:val="0"/>
                  <w:vAlign w:val="center"/>
                </w:tcPr>
                <w:p w14:paraId="2B90B72B">
                  <w:pPr>
                    <w:adjustRightInd w:val="0"/>
                    <w:snapToGrid w:val="0"/>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SS</w:t>
                  </w:r>
                </w:p>
              </w:tc>
              <w:tc>
                <w:tcPr>
                  <w:tcW w:w="710" w:type="pct"/>
                  <w:noWrap w:val="0"/>
                  <w:vAlign w:val="center"/>
                </w:tcPr>
                <w:p w14:paraId="44E7ED6D">
                  <w:pPr>
                    <w:adjustRightInd w:val="0"/>
                    <w:snapToGrid w:val="0"/>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间断</w:t>
                  </w:r>
                </w:p>
              </w:tc>
              <w:tc>
                <w:tcPr>
                  <w:tcW w:w="1236" w:type="pct"/>
                  <w:noWrap w:val="0"/>
                  <w:vAlign w:val="center"/>
                </w:tcPr>
                <w:p w14:paraId="035E37C9">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经设置的临时沉淀池（金属结构）先进行沉淀处理后，上清液回用于场区洒水降尘，下层泥沙经沉淀池晾晒处理后按《市人民政府关于加强施工渣土管理的通告》要求运至政府指定场所进行处理</w:t>
                  </w:r>
                </w:p>
              </w:tc>
              <w:tc>
                <w:tcPr>
                  <w:tcW w:w="911" w:type="pct"/>
                  <w:vMerge w:val="continue"/>
                  <w:noWrap w:val="0"/>
                  <w:vAlign w:val="center"/>
                </w:tcPr>
                <w:p w14:paraId="498B54CD">
                  <w:pPr>
                    <w:adjustRightInd w:val="0"/>
                    <w:snapToGrid w:val="0"/>
                    <w:jc w:val="center"/>
                    <w:rPr>
                      <w:rFonts w:hint="default" w:ascii="Times New Roman" w:hAnsi="Times New Roman" w:eastAsia="宋体" w:cs="Times New Roman"/>
                      <w:sz w:val="18"/>
                      <w:szCs w:val="18"/>
                      <w:lang w:eastAsia="zh-CN"/>
                    </w:rPr>
                  </w:pPr>
                </w:p>
              </w:tc>
            </w:tr>
            <w:tr w14:paraId="112A6C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06" w:type="pct"/>
                  <w:vMerge w:val="continue"/>
                  <w:noWrap w:val="0"/>
                  <w:vAlign w:val="center"/>
                </w:tcPr>
                <w:p w14:paraId="77EBA245">
                  <w:pPr>
                    <w:adjustRightInd w:val="0"/>
                    <w:snapToGrid w:val="0"/>
                    <w:jc w:val="center"/>
                    <w:rPr>
                      <w:rFonts w:hint="default" w:ascii="Times New Roman" w:hAnsi="Times New Roman" w:eastAsia="宋体" w:cs="Times New Roman"/>
                      <w:kern w:val="0"/>
                      <w:sz w:val="18"/>
                      <w:szCs w:val="18"/>
                      <w:lang w:eastAsia="zh-CN"/>
                    </w:rPr>
                  </w:pPr>
                </w:p>
              </w:tc>
              <w:tc>
                <w:tcPr>
                  <w:tcW w:w="802" w:type="pct"/>
                  <w:noWrap w:val="0"/>
                  <w:vAlign w:val="center"/>
                </w:tcPr>
                <w:p w14:paraId="249EE977">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cs="Times New Roman"/>
                      <w:kern w:val="0"/>
                      <w:sz w:val="18"/>
                      <w:szCs w:val="18"/>
                    </w:rPr>
                    <w:t>生活污水</w:t>
                  </w:r>
                </w:p>
              </w:tc>
              <w:tc>
                <w:tcPr>
                  <w:tcW w:w="732" w:type="pct"/>
                  <w:noWrap w:val="0"/>
                  <w:vAlign w:val="center"/>
                </w:tcPr>
                <w:p w14:paraId="57C497F4">
                  <w:pPr>
                    <w:adjustRightInd w:val="0"/>
                    <w:snapToGrid w:val="0"/>
                    <w:jc w:val="center"/>
                    <w:rPr>
                      <w:rFonts w:hint="default" w:ascii="Times New Roman" w:hAnsi="Times New Roman" w:eastAsia="宋体" w:cs="Times New Roman"/>
                      <w:sz w:val="18"/>
                      <w:szCs w:val="18"/>
                      <w:lang w:val="en-US" w:eastAsia="zh-CN"/>
                    </w:rPr>
                  </w:pPr>
                  <w:r>
                    <w:rPr>
                      <w:rFonts w:hint="default" w:ascii="Times New Roman" w:hAnsi="Times New Roman" w:cs="Times New Roman"/>
                      <w:kern w:val="0"/>
                      <w:sz w:val="18"/>
                      <w:szCs w:val="18"/>
                    </w:rPr>
                    <w:t>COD、BOD</w:t>
                  </w:r>
                  <w:r>
                    <w:rPr>
                      <w:rFonts w:hint="default" w:ascii="Times New Roman" w:hAnsi="Times New Roman" w:cs="Times New Roman"/>
                      <w:kern w:val="0"/>
                      <w:sz w:val="18"/>
                      <w:szCs w:val="18"/>
                      <w:vertAlign w:val="subscript"/>
                    </w:rPr>
                    <w:t>5</w:t>
                  </w:r>
                  <w:r>
                    <w:rPr>
                      <w:rFonts w:hint="default" w:ascii="Times New Roman" w:hAnsi="Times New Roman" w:cs="Times New Roman"/>
                      <w:kern w:val="0"/>
                      <w:sz w:val="18"/>
                      <w:szCs w:val="18"/>
                    </w:rPr>
                    <w:t>、氨氮、SS等</w:t>
                  </w:r>
                </w:p>
              </w:tc>
              <w:tc>
                <w:tcPr>
                  <w:tcW w:w="710" w:type="pct"/>
                  <w:noWrap w:val="0"/>
                  <w:vAlign w:val="center"/>
                </w:tcPr>
                <w:p w14:paraId="138D0AAA">
                  <w:pPr>
                    <w:adjustRightInd w:val="0"/>
                    <w:snapToGrid w:val="0"/>
                    <w:jc w:val="center"/>
                    <w:rPr>
                      <w:rFonts w:hint="default" w:ascii="Times New Roman" w:hAnsi="Times New Roman" w:eastAsia="宋体" w:cs="Times New Roman"/>
                      <w:sz w:val="18"/>
                      <w:szCs w:val="18"/>
                      <w:lang w:val="en-US" w:eastAsia="zh-CN"/>
                    </w:rPr>
                  </w:pPr>
                  <w:r>
                    <w:rPr>
                      <w:rFonts w:hint="default" w:ascii="Times New Roman" w:hAnsi="Times New Roman" w:cs="Times New Roman"/>
                      <w:sz w:val="18"/>
                      <w:szCs w:val="18"/>
                      <w:lang w:val="en-US" w:eastAsia="zh-CN"/>
                    </w:rPr>
                    <w:t>/</w:t>
                  </w:r>
                </w:p>
              </w:tc>
              <w:tc>
                <w:tcPr>
                  <w:tcW w:w="1236" w:type="pct"/>
                  <w:noWrap w:val="0"/>
                  <w:vAlign w:val="center"/>
                </w:tcPr>
                <w:p w14:paraId="52BFD418">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cs="Times New Roman"/>
                      <w:sz w:val="18"/>
                      <w:szCs w:val="18"/>
                      <w:lang w:eastAsia="zh-CN"/>
                    </w:rPr>
                    <w:t>经船用污水处理装置处理后达标后排入市政管网</w:t>
                  </w:r>
                </w:p>
              </w:tc>
              <w:tc>
                <w:tcPr>
                  <w:tcW w:w="911" w:type="pct"/>
                  <w:noWrap w:val="0"/>
                  <w:vAlign w:val="center"/>
                </w:tcPr>
                <w:p w14:paraId="478F44F2">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cs="Times New Roman"/>
                      <w:sz w:val="18"/>
                      <w:szCs w:val="18"/>
                      <w:lang w:eastAsia="zh-CN"/>
                    </w:rPr>
                    <w:t>运营期</w:t>
                  </w:r>
                </w:p>
              </w:tc>
            </w:tr>
            <w:tr w14:paraId="3080AB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06" w:type="pct"/>
                  <w:vMerge w:val="restart"/>
                  <w:noWrap w:val="0"/>
                  <w:vAlign w:val="center"/>
                </w:tcPr>
                <w:p w14:paraId="127634F4">
                  <w:pPr>
                    <w:adjustRightInd w:val="0"/>
                    <w:snapToGrid w:val="0"/>
                    <w:jc w:val="center"/>
                    <w:rPr>
                      <w:rFonts w:hint="default" w:ascii="Times New Roman" w:hAnsi="Times New Roman" w:eastAsia="宋体" w:cs="Times New Roman"/>
                      <w:kern w:val="0"/>
                      <w:sz w:val="18"/>
                      <w:szCs w:val="18"/>
                      <w:lang w:eastAsia="zh-CN"/>
                    </w:rPr>
                  </w:pPr>
                  <w:r>
                    <w:rPr>
                      <w:rFonts w:hint="default" w:ascii="Times New Roman" w:hAnsi="Times New Roman" w:cs="Times New Roman"/>
                      <w:kern w:val="0"/>
                      <w:sz w:val="18"/>
                      <w:szCs w:val="18"/>
                      <w:lang w:eastAsia="zh-CN"/>
                    </w:rPr>
                    <w:t>固废</w:t>
                  </w:r>
                </w:p>
              </w:tc>
              <w:tc>
                <w:tcPr>
                  <w:tcW w:w="802" w:type="pct"/>
                  <w:noWrap w:val="0"/>
                  <w:vAlign w:val="center"/>
                </w:tcPr>
                <w:p w14:paraId="5E69EB10">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生活垃圾</w:t>
                  </w:r>
                </w:p>
              </w:tc>
              <w:tc>
                <w:tcPr>
                  <w:tcW w:w="732" w:type="pct"/>
                  <w:noWrap w:val="0"/>
                  <w:vAlign w:val="center"/>
                </w:tcPr>
                <w:p w14:paraId="2C138475">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生活垃圾</w:t>
                  </w:r>
                </w:p>
              </w:tc>
              <w:tc>
                <w:tcPr>
                  <w:tcW w:w="710" w:type="pct"/>
                  <w:noWrap w:val="0"/>
                  <w:vAlign w:val="center"/>
                </w:tcPr>
                <w:p w14:paraId="7CA6ABED">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间歇</w:t>
                  </w:r>
                </w:p>
              </w:tc>
              <w:tc>
                <w:tcPr>
                  <w:tcW w:w="1236" w:type="pct"/>
                  <w:noWrap w:val="0"/>
                  <w:vAlign w:val="center"/>
                </w:tcPr>
                <w:p w14:paraId="5360B440">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利用现有生活垃圾收集系统集中存放，定期交环卫部门清理</w:t>
                  </w:r>
                </w:p>
              </w:tc>
              <w:tc>
                <w:tcPr>
                  <w:tcW w:w="911" w:type="pct"/>
                  <w:vMerge w:val="restart"/>
                  <w:noWrap w:val="0"/>
                  <w:vAlign w:val="center"/>
                </w:tcPr>
                <w:p w14:paraId="1D91111F">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cs="Times New Roman"/>
                      <w:bCs/>
                      <w:sz w:val="18"/>
                      <w:szCs w:val="18"/>
                      <w:lang w:eastAsia="zh-CN"/>
                    </w:rPr>
                    <w:t>施工期</w:t>
                  </w:r>
                </w:p>
              </w:tc>
            </w:tr>
            <w:tr w14:paraId="766204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06" w:type="pct"/>
                  <w:vMerge w:val="continue"/>
                  <w:noWrap w:val="0"/>
                  <w:vAlign w:val="center"/>
                </w:tcPr>
                <w:p w14:paraId="05A3926E">
                  <w:pPr>
                    <w:adjustRightInd w:val="0"/>
                    <w:snapToGrid w:val="0"/>
                    <w:jc w:val="center"/>
                    <w:rPr>
                      <w:rFonts w:hint="default" w:ascii="Times New Roman" w:hAnsi="Times New Roman" w:eastAsia="宋体" w:cs="Times New Roman"/>
                      <w:kern w:val="0"/>
                      <w:sz w:val="18"/>
                      <w:szCs w:val="18"/>
                      <w:lang w:eastAsia="zh-CN"/>
                    </w:rPr>
                  </w:pPr>
                </w:p>
              </w:tc>
              <w:tc>
                <w:tcPr>
                  <w:tcW w:w="802" w:type="pct"/>
                  <w:noWrap w:val="0"/>
                  <w:vAlign w:val="center"/>
                </w:tcPr>
                <w:p w14:paraId="28ADEE15">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建筑垃圾</w:t>
                  </w:r>
                </w:p>
              </w:tc>
              <w:tc>
                <w:tcPr>
                  <w:tcW w:w="732" w:type="pct"/>
                  <w:noWrap w:val="0"/>
                  <w:vAlign w:val="center"/>
                </w:tcPr>
                <w:p w14:paraId="018AB2D7">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建筑垃圾</w:t>
                  </w:r>
                </w:p>
              </w:tc>
              <w:tc>
                <w:tcPr>
                  <w:tcW w:w="710" w:type="pct"/>
                  <w:noWrap w:val="0"/>
                  <w:vAlign w:val="center"/>
                </w:tcPr>
                <w:p w14:paraId="08B66930">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间歇</w:t>
                  </w:r>
                </w:p>
              </w:tc>
              <w:tc>
                <w:tcPr>
                  <w:tcW w:w="1236" w:type="pct"/>
                  <w:noWrap w:val="0"/>
                  <w:vAlign w:val="center"/>
                </w:tcPr>
                <w:p w14:paraId="6480C3C1">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清运施工渣土的单位和个人应按照《武汉市施工渣土清运管理暂行规定》及武汉市政府令第294号《武汉市建筑垃圾管理办法》（（2021年修正）），建筑垃圾的处置按照国家有关规定实行行政许可制度；未经许可，任何单位不得擅自处置建筑垃圾。建设单位应委托市城市管理行政部门公布的经许可可从事建筑垃圾运输的单位对建筑垃圾进行清运。清运施工渣土的单位和个人应按照《武汉市施工渣土清运管理暂行规定》，必须将施工渣土运到指定的消纳地点。</w:t>
                  </w:r>
                </w:p>
                <w:p w14:paraId="087DF9A9">
                  <w:pPr>
                    <w:adjustRightInd w:val="0"/>
                    <w:snapToGrid w:val="0"/>
                    <w:jc w:val="center"/>
                    <w:rPr>
                      <w:rFonts w:hint="default" w:ascii="Times New Roman" w:hAnsi="Times New Roman" w:eastAsia="宋体" w:cs="Times New Roman"/>
                      <w:sz w:val="18"/>
                      <w:szCs w:val="18"/>
                      <w:lang w:eastAsia="zh-CN"/>
                    </w:rPr>
                  </w:pPr>
                </w:p>
              </w:tc>
              <w:tc>
                <w:tcPr>
                  <w:tcW w:w="911" w:type="pct"/>
                  <w:vMerge w:val="continue"/>
                  <w:noWrap w:val="0"/>
                  <w:vAlign w:val="center"/>
                </w:tcPr>
                <w:p w14:paraId="79ECEC9B">
                  <w:pPr>
                    <w:adjustRightInd w:val="0"/>
                    <w:snapToGrid w:val="0"/>
                    <w:jc w:val="center"/>
                    <w:rPr>
                      <w:rFonts w:hint="default" w:ascii="Times New Roman" w:hAnsi="Times New Roman" w:eastAsia="宋体" w:cs="Times New Roman"/>
                      <w:sz w:val="18"/>
                      <w:szCs w:val="18"/>
                      <w:lang w:eastAsia="zh-CN"/>
                    </w:rPr>
                  </w:pPr>
                </w:p>
              </w:tc>
            </w:tr>
            <w:tr w14:paraId="72DD29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06" w:type="pct"/>
                  <w:vMerge w:val="continue"/>
                  <w:noWrap w:val="0"/>
                  <w:vAlign w:val="center"/>
                </w:tcPr>
                <w:p w14:paraId="205F35E9">
                  <w:pPr>
                    <w:adjustRightInd w:val="0"/>
                    <w:snapToGrid w:val="0"/>
                    <w:jc w:val="center"/>
                    <w:rPr>
                      <w:rFonts w:hint="default" w:ascii="Times New Roman" w:hAnsi="Times New Roman" w:eastAsia="宋体" w:cs="Times New Roman"/>
                      <w:kern w:val="0"/>
                      <w:sz w:val="18"/>
                      <w:szCs w:val="18"/>
                      <w:lang w:eastAsia="zh-CN"/>
                    </w:rPr>
                  </w:pPr>
                </w:p>
              </w:tc>
              <w:tc>
                <w:tcPr>
                  <w:tcW w:w="802" w:type="pct"/>
                  <w:noWrap w:val="0"/>
                  <w:vAlign w:val="center"/>
                </w:tcPr>
                <w:p w14:paraId="4A890433">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cs="Times New Roman"/>
                      <w:sz w:val="18"/>
                      <w:szCs w:val="18"/>
                      <w:lang w:eastAsia="zh-CN"/>
                    </w:rPr>
                    <w:t>生活垃圾</w:t>
                  </w:r>
                </w:p>
              </w:tc>
              <w:tc>
                <w:tcPr>
                  <w:tcW w:w="732" w:type="pct"/>
                  <w:noWrap w:val="0"/>
                  <w:vAlign w:val="center"/>
                </w:tcPr>
                <w:p w14:paraId="3FF10CB6">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cs="Times New Roman"/>
                      <w:snapToGrid w:val="0"/>
                      <w:sz w:val="18"/>
                      <w:szCs w:val="18"/>
                    </w:rPr>
                    <w:t>员工办公</w:t>
                  </w:r>
                  <w:r>
                    <w:rPr>
                      <w:rFonts w:hint="default" w:ascii="Times New Roman" w:hAnsi="Times New Roman" w:eastAsia="宋体" w:cs="Times New Roman"/>
                      <w:snapToGrid w:val="0"/>
                      <w:sz w:val="18"/>
                      <w:szCs w:val="18"/>
                    </w:rPr>
                    <w:t>生活</w:t>
                  </w:r>
                  <w:r>
                    <w:rPr>
                      <w:rFonts w:hint="default" w:ascii="Times New Roman" w:hAnsi="Times New Roman" w:eastAsia="宋体" w:cs="Times New Roman"/>
                      <w:snapToGrid w:val="0"/>
                      <w:sz w:val="18"/>
                      <w:szCs w:val="18"/>
                      <w:lang w:eastAsia="zh-CN"/>
                    </w:rPr>
                    <w:t>（含清理过程中产生的废布拖</w:t>
                  </w:r>
                  <w:r>
                    <w:rPr>
                      <w:rFonts w:hint="default" w:ascii="Times New Roman" w:hAnsi="Times New Roman" w:cs="Times New Roman"/>
                      <w:kern w:val="0"/>
                      <w:szCs w:val="16"/>
                      <w:lang w:eastAsia="zh-CN"/>
                    </w:rPr>
                    <w:t>）、</w:t>
                  </w:r>
                  <w:r>
                    <w:rPr>
                      <w:rFonts w:hint="default" w:ascii="Times New Roman" w:hAnsi="Times New Roman" w:cs="Times New Roman"/>
                      <w:snapToGrid w:val="0"/>
                      <w:sz w:val="18"/>
                      <w:szCs w:val="18"/>
                    </w:rPr>
                    <w:t>到港船舶生活垃圾</w:t>
                  </w:r>
                </w:p>
              </w:tc>
              <w:tc>
                <w:tcPr>
                  <w:tcW w:w="710" w:type="pct"/>
                  <w:noWrap w:val="0"/>
                  <w:vAlign w:val="center"/>
                </w:tcPr>
                <w:p w14:paraId="5B24FD74">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间歇</w:t>
                  </w:r>
                </w:p>
              </w:tc>
              <w:tc>
                <w:tcPr>
                  <w:tcW w:w="1236" w:type="pct"/>
                  <w:noWrap w:val="0"/>
                  <w:vAlign w:val="center"/>
                </w:tcPr>
                <w:p w14:paraId="3A51A671">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生活垃圾桶分类后由环卫部门定期清运</w:t>
                  </w:r>
                </w:p>
              </w:tc>
              <w:tc>
                <w:tcPr>
                  <w:tcW w:w="911" w:type="pct"/>
                  <w:vMerge w:val="restart"/>
                  <w:noWrap w:val="0"/>
                  <w:vAlign w:val="center"/>
                </w:tcPr>
                <w:p w14:paraId="79162C6F">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cs="Times New Roman"/>
                      <w:sz w:val="18"/>
                      <w:szCs w:val="18"/>
                      <w:lang w:eastAsia="zh-CN"/>
                    </w:rPr>
                    <w:t>运营期</w:t>
                  </w:r>
                </w:p>
              </w:tc>
            </w:tr>
            <w:tr w14:paraId="015F4E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06" w:type="pct"/>
                  <w:vMerge w:val="continue"/>
                  <w:noWrap w:val="0"/>
                  <w:vAlign w:val="center"/>
                </w:tcPr>
                <w:p w14:paraId="2289006E">
                  <w:pPr>
                    <w:adjustRightInd w:val="0"/>
                    <w:snapToGrid w:val="0"/>
                    <w:jc w:val="center"/>
                    <w:rPr>
                      <w:rFonts w:hint="default" w:ascii="Times New Roman" w:hAnsi="Times New Roman" w:eastAsia="宋体" w:cs="Times New Roman"/>
                      <w:kern w:val="0"/>
                      <w:sz w:val="18"/>
                      <w:szCs w:val="18"/>
                      <w:lang w:eastAsia="zh-CN"/>
                    </w:rPr>
                  </w:pPr>
                </w:p>
              </w:tc>
              <w:tc>
                <w:tcPr>
                  <w:tcW w:w="802" w:type="pct"/>
                  <w:noWrap w:val="0"/>
                  <w:vAlign w:val="center"/>
                </w:tcPr>
                <w:p w14:paraId="706320DB">
                  <w:pPr>
                    <w:adjustRightInd w:val="0"/>
                    <w:snapToGrid w:val="0"/>
                    <w:jc w:val="center"/>
                    <w:rPr>
                      <w:rFonts w:hint="default" w:ascii="Times New Roman" w:hAnsi="Times New Roman" w:cs="Times New Roman"/>
                      <w:sz w:val="18"/>
                      <w:szCs w:val="18"/>
                      <w:lang w:eastAsia="zh-CN"/>
                    </w:rPr>
                  </w:pPr>
                  <w:r>
                    <w:rPr>
                      <w:rFonts w:hint="default" w:ascii="Times New Roman" w:hAnsi="Times New Roman" w:cs="Times New Roman"/>
                      <w:kern w:val="0"/>
                      <w:sz w:val="18"/>
                      <w:szCs w:val="18"/>
                      <w:lang w:eastAsia="zh-CN" w:bidi="ar"/>
                    </w:rPr>
                    <w:t>污泥</w:t>
                  </w:r>
                </w:p>
              </w:tc>
              <w:tc>
                <w:tcPr>
                  <w:tcW w:w="732" w:type="pct"/>
                  <w:noWrap w:val="0"/>
                  <w:vAlign w:val="center"/>
                </w:tcPr>
                <w:p w14:paraId="40B69A50">
                  <w:pPr>
                    <w:adjustRightInd w:val="0"/>
                    <w:snapToGrid w:val="0"/>
                    <w:jc w:val="center"/>
                    <w:rPr>
                      <w:rFonts w:hint="default" w:ascii="Times New Roman" w:hAnsi="Times New Roman" w:cs="Times New Roman"/>
                      <w:snapToGrid w:val="0"/>
                      <w:sz w:val="18"/>
                      <w:szCs w:val="18"/>
                    </w:rPr>
                  </w:pPr>
                  <w:r>
                    <w:rPr>
                      <w:rFonts w:hint="default" w:ascii="Times New Roman" w:hAnsi="Times New Roman" w:cs="Times New Roman"/>
                      <w:kern w:val="0"/>
                      <w:sz w:val="18"/>
                      <w:szCs w:val="18"/>
                      <w:lang w:eastAsia="zh-CN" w:bidi="ar"/>
                    </w:rPr>
                    <w:t>生活污水处理装置产生</w:t>
                  </w:r>
                </w:p>
              </w:tc>
              <w:tc>
                <w:tcPr>
                  <w:tcW w:w="710" w:type="pct"/>
                  <w:noWrap w:val="0"/>
                  <w:vAlign w:val="center"/>
                </w:tcPr>
                <w:p w14:paraId="22CD62E4">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间歇</w:t>
                  </w:r>
                </w:p>
              </w:tc>
              <w:tc>
                <w:tcPr>
                  <w:tcW w:w="1236" w:type="pct"/>
                  <w:noWrap w:val="0"/>
                  <w:vAlign w:val="center"/>
                </w:tcPr>
                <w:p w14:paraId="61A93399">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cs="Times New Roman"/>
                      <w:sz w:val="18"/>
                      <w:szCs w:val="18"/>
                      <w:lang w:eastAsia="zh-CN"/>
                    </w:rPr>
                    <w:t>由环卫部门定期清运</w:t>
                  </w:r>
                </w:p>
              </w:tc>
              <w:tc>
                <w:tcPr>
                  <w:tcW w:w="911" w:type="pct"/>
                  <w:vMerge w:val="continue"/>
                  <w:noWrap w:val="0"/>
                  <w:vAlign w:val="center"/>
                </w:tcPr>
                <w:p w14:paraId="71B4797D">
                  <w:pPr>
                    <w:adjustRightInd w:val="0"/>
                    <w:snapToGrid w:val="0"/>
                    <w:jc w:val="center"/>
                    <w:rPr>
                      <w:rFonts w:hint="default" w:ascii="Times New Roman" w:hAnsi="Times New Roman" w:cs="Times New Roman"/>
                      <w:sz w:val="18"/>
                      <w:szCs w:val="18"/>
                      <w:lang w:eastAsia="zh-CN"/>
                    </w:rPr>
                  </w:pPr>
                </w:p>
              </w:tc>
            </w:tr>
            <w:tr w14:paraId="29C8A6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06" w:type="pct"/>
                  <w:vMerge w:val="restart"/>
                  <w:noWrap w:val="0"/>
                  <w:vAlign w:val="center"/>
                </w:tcPr>
                <w:p w14:paraId="3E0767CA">
                  <w:pPr>
                    <w:adjustRightInd w:val="0"/>
                    <w:snapToGrid w:val="0"/>
                    <w:jc w:val="center"/>
                    <w:rPr>
                      <w:rFonts w:hint="default" w:ascii="Times New Roman" w:hAnsi="Times New Roman" w:cs="Times New Roman"/>
                      <w:kern w:val="0"/>
                      <w:sz w:val="18"/>
                      <w:szCs w:val="18"/>
                      <w:lang w:eastAsia="zh-CN"/>
                    </w:rPr>
                  </w:pPr>
                  <w:r>
                    <w:rPr>
                      <w:rFonts w:hint="default" w:ascii="Times New Roman" w:hAnsi="Times New Roman" w:cs="Times New Roman"/>
                      <w:kern w:val="0"/>
                      <w:sz w:val="18"/>
                      <w:szCs w:val="18"/>
                      <w:lang w:eastAsia="zh-CN"/>
                    </w:rPr>
                    <w:t>噪声</w:t>
                  </w:r>
                </w:p>
              </w:tc>
              <w:tc>
                <w:tcPr>
                  <w:tcW w:w="802" w:type="pct"/>
                  <w:noWrap w:val="0"/>
                  <w:vAlign w:val="center"/>
                </w:tcPr>
                <w:p w14:paraId="3CC4E2A5">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设备噪声</w:t>
                  </w:r>
                </w:p>
              </w:tc>
              <w:tc>
                <w:tcPr>
                  <w:tcW w:w="732" w:type="pct"/>
                  <w:noWrap w:val="0"/>
                  <w:vAlign w:val="center"/>
                </w:tcPr>
                <w:p w14:paraId="0A873FD8">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等效</w:t>
                  </w:r>
                  <w:r>
                    <w:rPr>
                      <w:rFonts w:hint="default" w:ascii="Times New Roman" w:hAnsi="Times New Roman" w:eastAsia="宋体" w:cs="Times New Roman"/>
                      <w:sz w:val="18"/>
                      <w:szCs w:val="18"/>
                      <w:lang w:val="en-US" w:eastAsia="zh-CN"/>
                    </w:rPr>
                    <w:t>A声级</w:t>
                  </w:r>
                </w:p>
              </w:tc>
              <w:tc>
                <w:tcPr>
                  <w:tcW w:w="710" w:type="pct"/>
                  <w:noWrap w:val="0"/>
                  <w:vAlign w:val="center"/>
                </w:tcPr>
                <w:p w14:paraId="7180505A">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间歇</w:t>
                  </w:r>
                </w:p>
              </w:tc>
              <w:tc>
                <w:tcPr>
                  <w:tcW w:w="1236" w:type="pct"/>
                  <w:noWrap w:val="0"/>
                  <w:vAlign w:val="center"/>
                </w:tcPr>
                <w:p w14:paraId="7EEE65B1">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采用低噪声机械、合理安排好施工时间与施工场所等</w:t>
                  </w:r>
                </w:p>
              </w:tc>
              <w:tc>
                <w:tcPr>
                  <w:tcW w:w="911" w:type="pct"/>
                  <w:noWrap w:val="0"/>
                  <w:vAlign w:val="center"/>
                </w:tcPr>
                <w:p w14:paraId="24833E11">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cs="Times New Roman"/>
                      <w:bCs/>
                      <w:sz w:val="18"/>
                      <w:szCs w:val="18"/>
                      <w:lang w:eastAsia="zh-CN"/>
                    </w:rPr>
                    <w:t>施工期</w:t>
                  </w:r>
                </w:p>
              </w:tc>
            </w:tr>
            <w:tr w14:paraId="50FDE4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06" w:type="pct"/>
                  <w:vMerge w:val="continue"/>
                  <w:noWrap w:val="0"/>
                  <w:vAlign w:val="center"/>
                </w:tcPr>
                <w:p w14:paraId="28ACF158">
                  <w:pPr>
                    <w:adjustRightInd w:val="0"/>
                    <w:snapToGrid w:val="0"/>
                    <w:jc w:val="center"/>
                    <w:rPr>
                      <w:rFonts w:hint="default" w:ascii="Times New Roman" w:hAnsi="Times New Roman" w:cs="Times New Roman"/>
                      <w:kern w:val="0"/>
                      <w:sz w:val="18"/>
                      <w:szCs w:val="18"/>
                      <w:lang w:eastAsia="zh-CN"/>
                    </w:rPr>
                  </w:pPr>
                </w:p>
              </w:tc>
              <w:tc>
                <w:tcPr>
                  <w:tcW w:w="802" w:type="pct"/>
                  <w:noWrap w:val="0"/>
                  <w:vAlign w:val="center"/>
                </w:tcPr>
                <w:p w14:paraId="21F2AA8F">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cs="Times New Roman"/>
                      <w:sz w:val="18"/>
                      <w:szCs w:val="18"/>
                      <w:lang w:eastAsia="zh-CN"/>
                    </w:rPr>
                    <w:t>设备噪声</w:t>
                  </w:r>
                </w:p>
              </w:tc>
              <w:tc>
                <w:tcPr>
                  <w:tcW w:w="732" w:type="pct"/>
                  <w:noWrap w:val="0"/>
                  <w:vAlign w:val="center"/>
                </w:tcPr>
                <w:p w14:paraId="7A94E739">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等效</w:t>
                  </w:r>
                  <w:r>
                    <w:rPr>
                      <w:rFonts w:hint="default" w:ascii="Times New Roman" w:hAnsi="Times New Roman" w:eastAsia="宋体" w:cs="Times New Roman"/>
                      <w:sz w:val="18"/>
                      <w:szCs w:val="18"/>
                      <w:lang w:val="en-US" w:eastAsia="zh-CN"/>
                    </w:rPr>
                    <w:t>A声级</w:t>
                  </w:r>
                </w:p>
              </w:tc>
              <w:tc>
                <w:tcPr>
                  <w:tcW w:w="710" w:type="pct"/>
                  <w:noWrap w:val="0"/>
                  <w:vAlign w:val="center"/>
                </w:tcPr>
                <w:p w14:paraId="30519700">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间歇</w:t>
                  </w:r>
                </w:p>
              </w:tc>
              <w:tc>
                <w:tcPr>
                  <w:tcW w:w="1236" w:type="pct"/>
                  <w:noWrap w:val="0"/>
                  <w:vAlign w:val="center"/>
                </w:tcPr>
                <w:p w14:paraId="7870032D">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禁止鸣笛、减震</w:t>
                  </w:r>
                </w:p>
              </w:tc>
              <w:tc>
                <w:tcPr>
                  <w:tcW w:w="911" w:type="pct"/>
                  <w:noWrap w:val="0"/>
                  <w:vAlign w:val="center"/>
                </w:tcPr>
                <w:p w14:paraId="453BD820">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运营期</w:t>
                  </w:r>
                </w:p>
              </w:tc>
            </w:tr>
          </w:tbl>
          <w:p w14:paraId="044EF590">
            <w:pPr>
              <w:spacing w:line="440" w:lineRule="exact"/>
              <w:rPr>
                <w:rFonts w:hint="default" w:ascii="Times New Roman" w:hAnsi="Times New Roman" w:cs="Times New Roman"/>
                <w:b/>
                <w:sz w:val="24"/>
              </w:rPr>
            </w:pPr>
            <w:r>
              <w:rPr>
                <w:rFonts w:hint="default" w:ascii="Times New Roman" w:hAnsi="Times New Roman" w:cs="Times New Roman"/>
                <w:b/>
                <w:sz w:val="24"/>
              </w:rPr>
              <w:t>4.3项目变更情况</w:t>
            </w:r>
          </w:p>
          <w:p w14:paraId="073D82CE">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本项目工程变更内容见下表。</w:t>
            </w:r>
          </w:p>
          <w:p w14:paraId="5B9BD847">
            <w:pPr>
              <w:jc w:val="center"/>
              <w:rPr>
                <w:rFonts w:hint="default" w:ascii="Times New Roman" w:hAnsi="Times New Roman" w:eastAsia="黑体" w:cs="Times New Roman"/>
              </w:rPr>
            </w:pPr>
            <w:r>
              <w:rPr>
                <w:rFonts w:hint="default" w:ascii="Times New Roman" w:hAnsi="Times New Roman" w:eastAsia="黑体" w:cs="Times New Roman"/>
              </w:rPr>
              <w:t>表4-9 项目变更内容一览表</w:t>
            </w:r>
          </w:p>
          <w:tbl>
            <w:tblPr>
              <w:tblStyle w:val="23"/>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643"/>
              <w:gridCol w:w="1643"/>
              <w:gridCol w:w="2801"/>
              <w:gridCol w:w="2983"/>
            </w:tblGrid>
            <w:tr w14:paraId="7408C8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6" w:type="pct"/>
                  <w:vAlign w:val="center"/>
                </w:tcPr>
                <w:p w14:paraId="6A91C63C">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名称</w:t>
                  </w:r>
                </w:p>
              </w:tc>
              <w:tc>
                <w:tcPr>
                  <w:tcW w:w="906" w:type="pct"/>
                  <w:vAlign w:val="center"/>
                </w:tcPr>
                <w:p w14:paraId="2A20D148">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建设内容</w:t>
                  </w:r>
                </w:p>
              </w:tc>
              <w:tc>
                <w:tcPr>
                  <w:tcW w:w="1544" w:type="pct"/>
                  <w:vAlign w:val="center"/>
                </w:tcPr>
                <w:p w14:paraId="34650678">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环评规模</w:t>
                  </w:r>
                </w:p>
              </w:tc>
              <w:tc>
                <w:tcPr>
                  <w:tcW w:w="1644" w:type="pct"/>
                  <w:vAlign w:val="center"/>
                </w:tcPr>
                <w:p w14:paraId="2E670B5F">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实际规模</w:t>
                  </w:r>
                </w:p>
              </w:tc>
            </w:tr>
            <w:tr w14:paraId="0D9E65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6" w:type="pct"/>
                  <w:vAlign w:val="center"/>
                </w:tcPr>
                <w:p w14:paraId="21FD91CA">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辅助工程</w:t>
                  </w:r>
                </w:p>
              </w:tc>
              <w:tc>
                <w:tcPr>
                  <w:tcW w:w="906" w:type="pct"/>
                  <w:vAlign w:val="center"/>
                </w:tcPr>
                <w:p w14:paraId="2D5F3304">
                  <w:pPr>
                    <w:widowControl/>
                    <w:jc w:val="center"/>
                    <w:rPr>
                      <w:rFonts w:hint="default" w:ascii="Times New Roman" w:hAnsi="Times New Roman" w:eastAsia="宋体" w:cs="Times New Roman"/>
                      <w:kern w:val="0"/>
                      <w:sz w:val="18"/>
                      <w:szCs w:val="18"/>
                      <w:lang w:eastAsia="zh-CN"/>
                    </w:rPr>
                  </w:pPr>
                  <w:r>
                    <w:rPr>
                      <w:rFonts w:hint="default" w:ascii="Times New Roman" w:hAnsi="Times New Roman" w:cs="Times New Roman"/>
                      <w:kern w:val="0"/>
                      <w:sz w:val="18"/>
                      <w:szCs w:val="18"/>
                      <w:lang w:eastAsia="zh-CN"/>
                    </w:rPr>
                    <w:t>中华路码头</w:t>
                  </w:r>
                </w:p>
              </w:tc>
              <w:tc>
                <w:tcPr>
                  <w:tcW w:w="1544" w:type="pct"/>
                  <w:vAlign w:val="center"/>
                </w:tcPr>
                <w:p w14:paraId="08314661">
                  <w:pPr>
                    <w:widowControl/>
                    <w:jc w:val="center"/>
                    <w:rPr>
                      <w:rFonts w:hint="default" w:ascii="Times New Roman" w:hAnsi="Times New Roman" w:cs="Times New Roman"/>
                      <w:kern w:val="0"/>
                      <w:sz w:val="18"/>
                      <w:szCs w:val="18"/>
                    </w:rPr>
                  </w:pPr>
                  <w:r>
                    <w:rPr>
                      <w:rFonts w:hint="default" w:ascii="Times New Roman" w:hAnsi="Times New Roman" w:cs="Times New Roman"/>
                      <w:sz w:val="18"/>
                      <w:szCs w:val="18"/>
                    </w:rPr>
                    <w:t>码头提升改造后拟建8个泊位，由于区域内布置有丁家巷军用码头，为不影响丁家巷军用码头的使用，本工程泊位未连续布置（丁家巷军用码头上游布置1#～2#泊位，下游布置3#～8#泊位），共设置4艘104×28m（总长×型宽）趸船，配套建设钢引桥、提升楼、固定墩台、固定钢引桥、踏步及撑杆（钢管定位桩）消能系统、给排水管网等。</w:t>
                  </w:r>
                </w:p>
              </w:tc>
              <w:tc>
                <w:tcPr>
                  <w:tcW w:w="1644" w:type="pct"/>
                  <w:vAlign w:val="center"/>
                </w:tcPr>
                <w:p w14:paraId="0D599AAC">
                  <w:pPr>
                    <w:widowControl/>
                    <w:jc w:val="left"/>
                    <w:rPr>
                      <w:rFonts w:hint="default" w:ascii="Times New Roman" w:hAnsi="Times New Roman" w:cs="Times New Roman"/>
                      <w:kern w:val="0"/>
                      <w:sz w:val="18"/>
                      <w:szCs w:val="18"/>
                    </w:rPr>
                  </w:pPr>
                  <w:r>
                    <w:rPr>
                      <w:rFonts w:hint="default" w:ascii="Times New Roman" w:hAnsi="Times New Roman" w:cs="Times New Roman"/>
                      <w:sz w:val="18"/>
                      <w:szCs w:val="18"/>
                      <w:lang w:eastAsia="zh-CN"/>
                    </w:rPr>
                    <w:t>由于保障筷子口泵站运行，因此</w:t>
                  </w:r>
                  <w:r>
                    <w:rPr>
                      <w:rFonts w:hint="default" w:ascii="Times New Roman" w:hAnsi="Times New Roman" w:cs="Times New Roman"/>
                      <w:sz w:val="18"/>
                      <w:szCs w:val="18"/>
                    </w:rPr>
                    <w:t>共设置</w:t>
                  </w:r>
                  <w:r>
                    <w:rPr>
                      <w:rFonts w:hint="default" w:ascii="Times New Roman" w:hAnsi="Times New Roman" w:cs="Times New Roman"/>
                      <w:sz w:val="18"/>
                      <w:szCs w:val="18"/>
                      <w:lang w:val="en-US" w:eastAsia="zh-CN"/>
                    </w:rPr>
                    <w:t>3</w:t>
                  </w:r>
                  <w:r>
                    <w:rPr>
                      <w:rFonts w:hint="default" w:ascii="Times New Roman" w:hAnsi="Times New Roman" w:cs="Times New Roman"/>
                      <w:sz w:val="18"/>
                      <w:szCs w:val="18"/>
                    </w:rPr>
                    <w:t>艘104×28m（总长×型宽）趸船</w:t>
                  </w:r>
                  <w:r>
                    <w:rPr>
                      <w:rFonts w:hint="default" w:ascii="Times New Roman" w:hAnsi="Times New Roman" w:cs="Times New Roman"/>
                      <w:sz w:val="18"/>
                      <w:szCs w:val="18"/>
                      <w:lang w:eastAsia="zh-CN"/>
                    </w:rPr>
                    <w:t>，较环评阶段减少</w:t>
                  </w:r>
                  <w:r>
                    <w:rPr>
                      <w:rFonts w:hint="default" w:ascii="Times New Roman" w:hAnsi="Times New Roman" w:cs="Times New Roman"/>
                      <w:sz w:val="18"/>
                      <w:szCs w:val="18"/>
                      <w:lang w:val="en-US" w:eastAsia="zh-CN"/>
                    </w:rPr>
                    <w:t>1艘趸船</w:t>
                  </w:r>
                  <w:r>
                    <w:rPr>
                      <w:rFonts w:hint="default" w:ascii="Times New Roman" w:hAnsi="Times New Roman" w:cs="Times New Roman"/>
                      <w:sz w:val="18"/>
                      <w:szCs w:val="18"/>
                    </w:rPr>
                    <w:t>，配套建设钢引桥、提升楼、固定墩台、固定钢引桥、踏步及撑杆（钢管定位桩）消能系统、给排水管网等。</w:t>
                  </w:r>
                  <w:r>
                    <w:rPr>
                      <w:rFonts w:hint="default" w:ascii="Times New Roman" w:hAnsi="Times New Roman" w:cs="Times New Roman"/>
                      <w:sz w:val="18"/>
                      <w:szCs w:val="18"/>
                      <w:lang w:val="en-US" w:eastAsia="zh-CN"/>
                    </w:rPr>
                    <w:t>泊位调整为6个</w:t>
                  </w:r>
                </w:p>
              </w:tc>
            </w:tr>
          </w:tbl>
          <w:p w14:paraId="1159B9FE">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项目在实际建设过程中，由于保障筷子口泵站运行，</w:t>
            </w:r>
            <w:r>
              <w:rPr>
                <w:rFonts w:hint="default" w:ascii="Times New Roman" w:hAnsi="Times New Roman" w:cs="Times New Roman"/>
                <w:sz w:val="24"/>
                <w:lang w:eastAsia="zh-CN"/>
              </w:rPr>
              <w:t>对原有设计进行调整，现</w:t>
            </w:r>
            <w:r>
              <w:rPr>
                <w:rFonts w:hint="default" w:ascii="Times New Roman" w:hAnsi="Times New Roman" w:cs="Times New Roman"/>
                <w:sz w:val="24"/>
              </w:rPr>
              <w:t>共设置3艘104×28m（总长×型宽）趸船，配套建设钢引桥、提升楼、固定墩台、固定钢引桥、踏步及撑杆（钢管定位桩）消能系统、给排水管网等，泊位</w:t>
            </w:r>
            <w:r>
              <w:rPr>
                <w:rFonts w:hint="default" w:ascii="Times New Roman" w:hAnsi="Times New Roman" w:cs="Times New Roman"/>
                <w:sz w:val="24"/>
                <w:lang w:eastAsia="zh-CN"/>
              </w:rPr>
              <w:t>由</w:t>
            </w:r>
            <w:r>
              <w:rPr>
                <w:rFonts w:hint="default" w:ascii="Times New Roman" w:hAnsi="Times New Roman" w:cs="Times New Roman"/>
                <w:sz w:val="24"/>
                <w:lang w:val="en-US" w:eastAsia="zh-CN"/>
              </w:rPr>
              <w:t>8个</w:t>
            </w:r>
            <w:r>
              <w:rPr>
                <w:rFonts w:hint="default" w:ascii="Times New Roman" w:hAnsi="Times New Roman" w:cs="Times New Roman"/>
                <w:sz w:val="24"/>
              </w:rPr>
              <w:t>调整为6个，</w:t>
            </w:r>
            <w:bookmarkStart w:id="9" w:name="_Hlk55812543"/>
            <w:r>
              <w:rPr>
                <w:rFonts w:hint="default" w:ascii="Times New Roman" w:hAnsi="Times New Roman" w:cs="Times New Roman"/>
                <w:sz w:val="24"/>
              </w:rPr>
              <w:t>参照环境保护部《关于印发环评管理中部分行业建设项目重大变动清单的通知》（环办[2015]52号）中“港口建设项目重大变动清单（试行）”，</w:t>
            </w:r>
            <w:bookmarkEnd w:id="9"/>
            <w:r>
              <w:rPr>
                <w:rFonts w:hint="default" w:ascii="Times New Roman" w:hAnsi="Times New Roman" w:cs="Times New Roman"/>
                <w:sz w:val="24"/>
              </w:rPr>
              <w:t>本项目对比情况见表4-10。</w:t>
            </w:r>
          </w:p>
          <w:p w14:paraId="5E8E2CFF">
            <w:pPr>
              <w:jc w:val="center"/>
              <w:rPr>
                <w:rFonts w:hint="default" w:ascii="Times New Roman" w:hAnsi="Times New Roman" w:eastAsia="黑体" w:cs="Times New Roman"/>
              </w:rPr>
            </w:pPr>
            <w:r>
              <w:rPr>
                <w:rFonts w:hint="default" w:ascii="Times New Roman" w:hAnsi="Times New Roman" w:eastAsia="黑体" w:cs="Times New Roman"/>
              </w:rPr>
              <w:t>表4-10  本项目变更与重大变动清单对比情况一览表</w:t>
            </w:r>
          </w:p>
          <w:tbl>
            <w:tblPr>
              <w:tblStyle w:val="23"/>
              <w:tblW w:w="0" w:type="auto"/>
              <w:tblInd w:w="0" w:type="dxa"/>
              <w:tblLayout w:type="autofit"/>
              <w:tblCellMar>
                <w:top w:w="0" w:type="dxa"/>
                <w:left w:w="108" w:type="dxa"/>
                <w:bottom w:w="0" w:type="dxa"/>
                <w:right w:w="108" w:type="dxa"/>
              </w:tblCellMar>
            </w:tblPr>
            <w:tblGrid>
              <w:gridCol w:w="662"/>
              <w:gridCol w:w="3735"/>
              <w:gridCol w:w="3417"/>
              <w:gridCol w:w="1256"/>
            </w:tblGrid>
            <w:tr w14:paraId="3536500F">
              <w:tblPrEx>
                <w:tblCellMar>
                  <w:top w:w="0" w:type="dxa"/>
                  <w:left w:w="108" w:type="dxa"/>
                  <w:bottom w:w="0" w:type="dxa"/>
                  <w:right w:w="108" w:type="dxa"/>
                </w:tblCellMar>
              </w:tblPrEx>
              <w:trPr>
                <w:trHeight w:val="284" w:hRule="atLeast"/>
              </w:trPr>
              <w:tc>
                <w:tcPr>
                  <w:tcW w:w="674" w:type="dxa"/>
                  <w:tcBorders>
                    <w:top w:val="single" w:color="auto" w:sz="12" w:space="0"/>
                    <w:left w:val="nil"/>
                    <w:bottom w:val="single" w:color="auto" w:sz="12" w:space="0"/>
                    <w:right w:val="single" w:color="auto" w:sz="4" w:space="0"/>
                  </w:tcBorders>
                  <w:noWrap/>
                  <w:vAlign w:val="center"/>
                </w:tcPr>
                <w:p w14:paraId="11CEF507">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序号</w:t>
                  </w:r>
                </w:p>
              </w:tc>
              <w:tc>
                <w:tcPr>
                  <w:tcW w:w="3828" w:type="dxa"/>
                  <w:tcBorders>
                    <w:top w:val="single" w:color="auto" w:sz="12" w:space="0"/>
                    <w:left w:val="nil"/>
                    <w:bottom w:val="single" w:color="auto" w:sz="12" w:space="0"/>
                    <w:right w:val="single" w:color="auto" w:sz="4" w:space="0"/>
                  </w:tcBorders>
                  <w:noWrap/>
                  <w:vAlign w:val="center"/>
                </w:tcPr>
                <w:p w14:paraId="0729A398">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重大变动清单</w:t>
                  </w:r>
                </w:p>
              </w:tc>
              <w:tc>
                <w:tcPr>
                  <w:tcW w:w="3501" w:type="dxa"/>
                  <w:tcBorders>
                    <w:top w:val="single" w:color="auto" w:sz="12" w:space="0"/>
                    <w:left w:val="nil"/>
                    <w:bottom w:val="single" w:color="auto" w:sz="12" w:space="0"/>
                    <w:right w:val="single" w:color="auto" w:sz="4" w:space="0"/>
                  </w:tcBorders>
                  <w:noWrap/>
                  <w:vAlign w:val="center"/>
                </w:tcPr>
                <w:p w14:paraId="61E35F64">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本项目变动情况</w:t>
                  </w:r>
                </w:p>
              </w:tc>
              <w:tc>
                <w:tcPr>
                  <w:tcW w:w="1283" w:type="dxa"/>
                  <w:tcBorders>
                    <w:top w:val="single" w:color="auto" w:sz="12" w:space="0"/>
                    <w:left w:val="nil"/>
                    <w:bottom w:val="single" w:color="auto" w:sz="12" w:space="0"/>
                    <w:right w:val="nil"/>
                  </w:tcBorders>
                  <w:noWrap/>
                  <w:vAlign w:val="center"/>
                </w:tcPr>
                <w:p w14:paraId="2128D869">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是否属于重大变动</w:t>
                  </w:r>
                </w:p>
              </w:tc>
            </w:tr>
            <w:tr w14:paraId="2F01DEE1">
              <w:tblPrEx>
                <w:tblCellMar>
                  <w:top w:w="0" w:type="dxa"/>
                  <w:left w:w="108" w:type="dxa"/>
                  <w:bottom w:w="0" w:type="dxa"/>
                  <w:right w:w="108" w:type="dxa"/>
                </w:tblCellMar>
              </w:tblPrEx>
              <w:trPr>
                <w:trHeight w:val="284" w:hRule="atLeast"/>
              </w:trPr>
              <w:tc>
                <w:tcPr>
                  <w:tcW w:w="9286" w:type="dxa"/>
                  <w:gridSpan w:val="4"/>
                  <w:tcBorders>
                    <w:top w:val="single" w:color="auto" w:sz="12" w:space="0"/>
                    <w:left w:val="nil"/>
                    <w:bottom w:val="single" w:color="auto" w:sz="4" w:space="0"/>
                    <w:right w:val="nil"/>
                  </w:tcBorders>
                  <w:noWrap/>
                  <w:vAlign w:val="center"/>
                </w:tcPr>
                <w:p w14:paraId="3FB6B8C5">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性质：</w:t>
                  </w:r>
                </w:p>
              </w:tc>
            </w:tr>
            <w:tr w14:paraId="1C3D5493">
              <w:tblPrEx>
                <w:tblCellMar>
                  <w:top w:w="0" w:type="dxa"/>
                  <w:left w:w="108" w:type="dxa"/>
                  <w:bottom w:w="0" w:type="dxa"/>
                  <w:right w:w="108" w:type="dxa"/>
                </w:tblCellMar>
              </w:tblPrEx>
              <w:trPr>
                <w:trHeight w:val="284" w:hRule="atLeast"/>
              </w:trPr>
              <w:tc>
                <w:tcPr>
                  <w:tcW w:w="674" w:type="dxa"/>
                  <w:tcBorders>
                    <w:top w:val="nil"/>
                    <w:left w:val="nil"/>
                    <w:bottom w:val="single" w:color="auto" w:sz="4" w:space="0"/>
                    <w:right w:val="single" w:color="auto" w:sz="4" w:space="0"/>
                  </w:tcBorders>
                  <w:noWrap/>
                  <w:vAlign w:val="center"/>
                </w:tcPr>
                <w:p w14:paraId="6E662637">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c>
                <w:tcPr>
                  <w:tcW w:w="3828" w:type="dxa"/>
                  <w:tcBorders>
                    <w:top w:val="nil"/>
                    <w:left w:val="nil"/>
                    <w:bottom w:val="single" w:color="auto" w:sz="4" w:space="0"/>
                    <w:right w:val="single" w:color="auto" w:sz="4" w:space="0"/>
                  </w:tcBorders>
                  <w:vAlign w:val="center"/>
                </w:tcPr>
                <w:p w14:paraId="2F957381">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码头性质发生变动，如干散货、液体散货、集装箱、多用途、件杂货、通用码头等各类码头之间的转化。</w:t>
                  </w:r>
                </w:p>
              </w:tc>
              <w:tc>
                <w:tcPr>
                  <w:tcW w:w="3501" w:type="dxa"/>
                  <w:tcBorders>
                    <w:top w:val="nil"/>
                    <w:left w:val="nil"/>
                    <w:bottom w:val="single" w:color="auto" w:sz="4" w:space="0"/>
                    <w:right w:val="single" w:color="auto" w:sz="4" w:space="0"/>
                  </w:tcBorders>
                  <w:noWrap/>
                  <w:vAlign w:val="center"/>
                </w:tcPr>
                <w:p w14:paraId="3F08FCDA">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本项目码头性质未发生变化，环评阶段及实际建设均为</w:t>
                  </w:r>
                  <w:r>
                    <w:rPr>
                      <w:rFonts w:hint="default" w:ascii="Times New Roman" w:hAnsi="Times New Roman" w:cs="Times New Roman"/>
                      <w:kern w:val="0"/>
                      <w:sz w:val="18"/>
                      <w:szCs w:val="18"/>
                      <w:lang w:eastAsia="zh-CN"/>
                    </w:rPr>
                    <w:t>旅游码头</w:t>
                  </w:r>
                  <w:r>
                    <w:rPr>
                      <w:rFonts w:hint="default" w:ascii="Times New Roman" w:hAnsi="Times New Roman" w:cs="Times New Roman"/>
                      <w:kern w:val="0"/>
                      <w:sz w:val="18"/>
                      <w:szCs w:val="18"/>
                    </w:rPr>
                    <w:t>工程。</w:t>
                  </w:r>
                </w:p>
              </w:tc>
              <w:tc>
                <w:tcPr>
                  <w:tcW w:w="1283" w:type="dxa"/>
                  <w:tcBorders>
                    <w:top w:val="nil"/>
                    <w:left w:val="nil"/>
                    <w:bottom w:val="single" w:color="auto" w:sz="4" w:space="0"/>
                    <w:right w:val="nil"/>
                  </w:tcBorders>
                  <w:noWrap/>
                  <w:vAlign w:val="center"/>
                </w:tcPr>
                <w:p w14:paraId="4145F151">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否</w:t>
                  </w:r>
                </w:p>
              </w:tc>
            </w:tr>
            <w:tr w14:paraId="0032953D">
              <w:tblPrEx>
                <w:tblCellMar>
                  <w:top w:w="0" w:type="dxa"/>
                  <w:left w:w="108" w:type="dxa"/>
                  <w:bottom w:w="0" w:type="dxa"/>
                  <w:right w:w="108" w:type="dxa"/>
                </w:tblCellMar>
              </w:tblPrEx>
              <w:trPr>
                <w:trHeight w:val="284" w:hRule="atLeast"/>
              </w:trPr>
              <w:tc>
                <w:tcPr>
                  <w:tcW w:w="9286" w:type="dxa"/>
                  <w:gridSpan w:val="4"/>
                  <w:tcBorders>
                    <w:top w:val="nil"/>
                    <w:left w:val="nil"/>
                    <w:bottom w:val="single" w:color="auto" w:sz="4" w:space="0"/>
                    <w:right w:val="nil"/>
                  </w:tcBorders>
                  <w:noWrap/>
                  <w:vAlign w:val="center"/>
                </w:tcPr>
                <w:p w14:paraId="101D9F03">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规模：</w:t>
                  </w:r>
                </w:p>
              </w:tc>
            </w:tr>
            <w:tr w14:paraId="727F67BE">
              <w:tblPrEx>
                <w:tblCellMar>
                  <w:top w:w="0" w:type="dxa"/>
                  <w:left w:w="108" w:type="dxa"/>
                  <w:bottom w:w="0" w:type="dxa"/>
                  <w:right w:w="108" w:type="dxa"/>
                </w:tblCellMar>
              </w:tblPrEx>
              <w:trPr>
                <w:trHeight w:val="284" w:hRule="atLeast"/>
              </w:trPr>
              <w:tc>
                <w:tcPr>
                  <w:tcW w:w="674" w:type="dxa"/>
                  <w:tcBorders>
                    <w:top w:val="nil"/>
                    <w:left w:val="nil"/>
                    <w:bottom w:val="single" w:color="auto" w:sz="4" w:space="0"/>
                    <w:right w:val="single" w:color="auto" w:sz="4" w:space="0"/>
                  </w:tcBorders>
                  <w:noWrap/>
                  <w:vAlign w:val="center"/>
                </w:tcPr>
                <w:p w14:paraId="66F047EA">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2</w:t>
                  </w:r>
                </w:p>
              </w:tc>
              <w:tc>
                <w:tcPr>
                  <w:tcW w:w="3828" w:type="dxa"/>
                  <w:tcBorders>
                    <w:top w:val="nil"/>
                    <w:left w:val="nil"/>
                    <w:bottom w:val="single" w:color="auto" w:sz="4" w:space="0"/>
                    <w:right w:val="single" w:color="auto" w:sz="4" w:space="0"/>
                  </w:tcBorders>
                  <w:vAlign w:val="center"/>
                </w:tcPr>
                <w:p w14:paraId="6B8A7C44">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码头工程泊位数量增加、等级提高、新增罐区（堆场）等工程内容。</w:t>
                  </w:r>
                </w:p>
              </w:tc>
              <w:tc>
                <w:tcPr>
                  <w:tcW w:w="3501" w:type="dxa"/>
                  <w:tcBorders>
                    <w:top w:val="nil"/>
                    <w:left w:val="nil"/>
                    <w:bottom w:val="single" w:color="auto" w:sz="4" w:space="0"/>
                    <w:right w:val="single" w:color="auto" w:sz="4" w:space="0"/>
                  </w:tcBorders>
                  <w:noWrap/>
                  <w:vAlign w:val="center"/>
                </w:tcPr>
                <w:p w14:paraId="68D430EC">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泊位数量</w:t>
                  </w:r>
                  <w:r>
                    <w:rPr>
                      <w:rFonts w:hint="default" w:ascii="Times New Roman" w:hAnsi="Times New Roman" w:cs="Times New Roman"/>
                      <w:kern w:val="0"/>
                      <w:sz w:val="18"/>
                      <w:szCs w:val="18"/>
                      <w:lang w:eastAsia="zh-CN"/>
                    </w:rPr>
                    <w:t>较环评阶段减少</w:t>
                  </w:r>
                  <w:r>
                    <w:rPr>
                      <w:rFonts w:hint="default" w:ascii="Times New Roman" w:hAnsi="Times New Roman" w:cs="Times New Roman"/>
                      <w:kern w:val="0"/>
                      <w:sz w:val="18"/>
                      <w:szCs w:val="18"/>
                      <w:lang w:val="en-US" w:eastAsia="zh-CN"/>
                    </w:rPr>
                    <w:t>2个，未新增</w:t>
                  </w:r>
                  <w:r>
                    <w:rPr>
                      <w:rFonts w:hint="default" w:ascii="Times New Roman" w:hAnsi="Times New Roman" w:cs="Times New Roman"/>
                      <w:kern w:val="0"/>
                      <w:sz w:val="18"/>
                      <w:szCs w:val="18"/>
                    </w:rPr>
                    <w:t>。</w:t>
                  </w:r>
                </w:p>
              </w:tc>
              <w:tc>
                <w:tcPr>
                  <w:tcW w:w="1283" w:type="dxa"/>
                  <w:tcBorders>
                    <w:top w:val="nil"/>
                    <w:left w:val="nil"/>
                    <w:bottom w:val="single" w:color="auto" w:sz="4" w:space="0"/>
                    <w:right w:val="nil"/>
                  </w:tcBorders>
                  <w:noWrap/>
                  <w:vAlign w:val="center"/>
                </w:tcPr>
                <w:p w14:paraId="15BB15CF">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否</w:t>
                  </w:r>
                </w:p>
              </w:tc>
            </w:tr>
            <w:tr w14:paraId="3580D85B">
              <w:tblPrEx>
                <w:tblCellMar>
                  <w:top w:w="0" w:type="dxa"/>
                  <w:left w:w="108" w:type="dxa"/>
                  <w:bottom w:w="0" w:type="dxa"/>
                  <w:right w:w="108" w:type="dxa"/>
                </w:tblCellMar>
              </w:tblPrEx>
              <w:trPr>
                <w:trHeight w:val="284" w:hRule="atLeast"/>
              </w:trPr>
              <w:tc>
                <w:tcPr>
                  <w:tcW w:w="674" w:type="dxa"/>
                  <w:tcBorders>
                    <w:top w:val="nil"/>
                    <w:left w:val="nil"/>
                    <w:bottom w:val="single" w:color="auto" w:sz="4" w:space="0"/>
                    <w:right w:val="single" w:color="auto" w:sz="4" w:space="0"/>
                  </w:tcBorders>
                  <w:noWrap/>
                  <w:vAlign w:val="center"/>
                </w:tcPr>
                <w:p w14:paraId="6E42A6A3">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3</w:t>
                  </w:r>
                </w:p>
              </w:tc>
              <w:tc>
                <w:tcPr>
                  <w:tcW w:w="3828" w:type="dxa"/>
                  <w:tcBorders>
                    <w:top w:val="nil"/>
                    <w:left w:val="nil"/>
                    <w:bottom w:val="single" w:color="auto" w:sz="4" w:space="0"/>
                    <w:right w:val="single" w:color="auto" w:sz="4" w:space="0"/>
                  </w:tcBorders>
                  <w:noWrap/>
                  <w:vAlign w:val="center"/>
                </w:tcPr>
                <w:p w14:paraId="33824AEE">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码头设计通过能力增加30%及以上。</w:t>
                  </w:r>
                </w:p>
              </w:tc>
              <w:tc>
                <w:tcPr>
                  <w:tcW w:w="3501" w:type="dxa"/>
                  <w:tcBorders>
                    <w:top w:val="nil"/>
                    <w:left w:val="nil"/>
                    <w:bottom w:val="single" w:color="auto" w:sz="4" w:space="0"/>
                    <w:right w:val="single" w:color="auto" w:sz="4" w:space="0"/>
                  </w:tcBorders>
                  <w:noWrap/>
                  <w:vAlign w:val="center"/>
                </w:tcPr>
                <w:p w14:paraId="405E9C7D">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工程</w:t>
                  </w:r>
                  <w:r>
                    <w:rPr>
                      <w:rFonts w:hint="default" w:ascii="Times New Roman" w:hAnsi="Times New Roman" w:cs="Times New Roman"/>
                      <w:kern w:val="0"/>
                      <w:sz w:val="18"/>
                      <w:szCs w:val="18"/>
                      <w:lang w:eastAsia="zh-CN"/>
                    </w:rPr>
                    <w:t>趸船及泊位均较环评阶段有所减少，不涉及通过能力增加</w:t>
                  </w:r>
                  <w:r>
                    <w:rPr>
                      <w:rFonts w:hint="default" w:ascii="Times New Roman" w:hAnsi="Times New Roman" w:cs="Times New Roman"/>
                      <w:kern w:val="0"/>
                      <w:sz w:val="18"/>
                      <w:szCs w:val="18"/>
                    </w:rPr>
                    <w:t>。</w:t>
                  </w:r>
                </w:p>
              </w:tc>
              <w:tc>
                <w:tcPr>
                  <w:tcW w:w="1283" w:type="dxa"/>
                  <w:tcBorders>
                    <w:top w:val="nil"/>
                    <w:left w:val="nil"/>
                    <w:bottom w:val="single" w:color="auto" w:sz="4" w:space="0"/>
                    <w:right w:val="nil"/>
                  </w:tcBorders>
                  <w:noWrap/>
                  <w:vAlign w:val="center"/>
                </w:tcPr>
                <w:p w14:paraId="28D551C0">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否</w:t>
                  </w:r>
                </w:p>
              </w:tc>
            </w:tr>
            <w:tr w14:paraId="4055B217">
              <w:tblPrEx>
                <w:tblCellMar>
                  <w:top w:w="0" w:type="dxa"/>
                  <w:left w:w="108" w:type="dxa"/>
                  <w:bottom w:w="0" w:type="dxa"/>
                  <w:right w:w="108" w:type="dxa"/>
                </w:tblCellMar>
              </w:tblPrEx>
              <w:trPr>
                <w:trHeight w:val="284" w:hRule="atLeast"/>
              </w:trPr>
              <w:tc>
                <w:tcPr>
                  <w:tcW w:w="674" w:type="dxa"/>
                  <w:tcBorders>
                    <w:top w:val="nil"/>
                    <w:left w:val="nil"/>
                    <w:bottom w:val="single" w:color="auto" w:sz="4" w:space="0"/>
                    <w:right w:val="single" w:color="auto" w:sz="4" w:space="0"/>
                  </w:tcBorders>
                  <w:noWrap/>
                  <w:vAlign w:val="center"/>
                </w:tcPr>
                <w:p w14:paraId="6614C624">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4</w:t>
                  </w:r>
                </w:p>
              </w:tc>
              <w:tc>
                <w:tcPr>
                  <w:tcW w:w="3828" w:type="dxa"/>
                  <w:tcBorders>
                    <w:top w:val="nil"/>
                    <w:left w:val="nil"/>
                    <w:bottom w:val="single" w:color="auto" w:sz="4" w:space="0"/>
                    <w:right w:val="single" w:color="auto" w:sz="4" w:space="0"/>
                  </w:tcBorders>
                  <w:vAlign w:val="center"/>
                </w:tcPr>
                <w:p w14:paraId="6891C986">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工程占地和用海总面积（含陆域面积、水域面积、疏浚面积）增加30%及以上。</w:t>
                  </w:r>
                </w:p>
              </w:tc>
              <w:tc>
                <w:tcPr>
                  <w:tcW w:w="3501" w:type="dxa"/>
                  <w:tcBorders>
                    <w:top w:val="nil"/>
                    <w:left w:val="nil"/>
                    <w:bottom w:val="single" w:color="auto" w:sz="4" w:space="0"/>
                    <w:right w:val="single" w:color="auto" w:sz="4" w:space="0"/>
                  </w:tcBorders>
                  <w:noWrap/>
                  <w:vAlign w:val="center"/>
                </w:tcPr>
                <w:p w14:paraId="437B945A">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工程占地与环评阶段</w:t>
                  </w:r>
                  <w:r>
                    <w:rPr>
                      <w:rFonts w:hint="default" w:ascii="Times New Roman" w:hAnsi="Times New Roman" w:cs="Times New Roman"/>
                      <w:kern w:val="0"/>
                      <w:sz w:val="18"/>
                      <w:szCs w:val="18"/>
                      <w:lang w:eastAsia="zh-CN"/>
                    </w:rPr>
                    <w:t>有所减少</w:t>
                  </w:r>
                  <w:r>
                    <w:rPr>
                      <w:rFonts w:hint="default" w:ascii="Times New Roman" w:hAnsi="Times New Roman" w:cs="Times New Roman"/>
                      <w:kern w:val="0"/>
                      <w:sz w:val="18"/>
                      <w:szCs w:val="18"/>
                    </w:rPr>
                    <w:t>。</w:t>
                  </w:r>
                </w:p>
              </w:tc>
              <w:tc>
                <w:tcPr>
                  <w:tcW w:w="1283" w:type="dxa"/>
                  <w:tcBorders>
                    <w:top w:val="nil"/>
                    <w:left w:val="nil"/>
                    <w:bottom w:val="single" w:color="auto" w:sz="4" w:space="0"/>
                    <w:right w:val="nil"/>
                  </w:tcBorders>
                  <w:noWrap/>
                  <w:vAlign w:val="center"/>
                </w:tcPr>
                <w:p w14:paraId="221480CA">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否</w:t>
                  </w:r>
                </w:p>
              </w:tc>
            </w:tr>
            <w:tr w14:paraId="62FE6E45">
              <w:tblPrEx>
                <w:tblCellMar>
                  <w:top w:w="0" w:type="dxa"/>
                  <w:left w:w="108" w:type="dxa"/>
                  <w:bottom w:w="0" w:type="dxa"/>
                  <w:right w:w="108" w:type="dxa"/>
                </w:tblCellMar>
              </w:tblPrEx>
              <w:trPr>
                <w:trHeight w:val="284" w:hRule="atLeast"/>
              </w:trPr>
              <w:tc>
                <w:tcPr>
                  <w:tcW w:w="674" w:type="dxa"/>
                  <w:tcBorders>
                    <w:top w:val="nil"/>
                    <w:left w:val="nil"/>
                    <w:bottom w:val="single" w:color="auto" w:sz="4" w:space="0"/>
                    <w:right w:val="single" w:color="auto" w:sz="4" w:space="0"/>
                  </w:tcBorders>
                  <w:noWrap/>
                  <w:vAlign w:val="center"/>
                </w:tcPr>
                <w:p w14:paraId="5B243070">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5</w:t>
                  </w:r>
                </w:p>
              </w:tc>
              <w:tc>
                <w:tcPr>
                  <w:tcW w:w="3828" w:type="dxa"/>
                  <w:tcBorders>
                    <w:top w:val="nil"/>
                    <w:left w:val="nil"/>
                    <w:bottom w:val="single" w:color="auto" w:sz="4" w:space="0"/>
                    <w:right w:val="single" w:color="auto" w:sz="4" w:space="0"/>
                  </w:tcBorders>
                  <w:noWrap/>
                  <w:vAlign w:val="center"/>
                </w:tcPr>
                <w:p w14:paraId="25FED9B4">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危险品储罐数量增加30%及以上。</w:t>
                  </w:r>
                </w:p>
              </w:tc>
              <w:tc>
                <w:tcPr>
                  <w:tcW w:w="3501" w:type="dxa"/>
                  <w:tcBorders>
                    <w:top w:val="nil"/>
                    <w:left w:val="nil"/>
                    <w:bottom w:val="single" w:color="auto" w:sz="4" w:space="0"/>
                    <w:right w:val="single" w:color="auto" w:sz="4" w:space="0"/>
                  </w:tcBorders>
                  <w:noWrap/>
                  <w:vAlign w:val="center"/>
                </w:tcPr>
                <w:p w14:paraId="43D1CBFD">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本项目不涉及危险品储罐。</w:t>
                  </w:r>
                </w:p>
              </w:tc>
              <w:tc>
                <w:tcPr>
                  <w:tcW w:w="1283" w:type="dxa"/>
                  <w:tcBorders>
                    <w:top w:val="nil"/>
                    <w:left w:val="nil"/>
                    <w:bottom w:val="single" w:color="auto" w:sz="4" w:space="0"/>
                    <w:right w:val="nil"/>
                  </w:tcBorders>
                  <w:noWrap/>
                  <w:vAlign w:val="center"/>
                </w:tcPr>
                <w:p w14:paraId="15E62D6B">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否</w:t>
                  </w:r>
                </w:p>
              </w:tc>
            </w:tr>
            <w:tr w14:paraId="01A14223">
              <w:tblPrEx>
                <w:tblCellMar>
                  <w:top w:w="0" w:type="dxa"/>
                  <w:left w:w="108" w:type="dxa"/>
                  <w:bottom w:w="0" w:type="dxa"/>
                  <w:right w:w="108" w:type="dxa"/>
                </w:tblCellMar>
              </w:tblPrEx>
              <w:trPr>
                <w:trHeight w:val="284" w:hRule="atLeast"/>
              </w:trPr>
              <w:tc>
                <w:tcPr>
                  <w:tcW w:w="9286" w:type="dxa"/>
                  <w:gridSpan w:val="4"/>
                  <w:tcBorders>
                    <w:top w:val="nil"/>
                    <w:left w:val="nil"/>
                    <w:bottom w:val="single" w:color="auto" w:sz="4" w:space="0"/>
                    <w:right w:val="nil"/>
                  </w:tcBorders>
                  <w:noWrap/>
                  <w:vAlign w:val="center"/>
                </w:tcPr>
                <w:p w14:paraId="48B78DD1">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地点：</w:t>
                  </w:r>
                </w:p>
              </w:tc>
            </w:tr>
            <w:tr w14:paraId="619FBBD4">
              <w:tblPrEx>
                <w:tblCellMar>
                  <w:top w:w="0" w:type="dxa"/>
                  <w:left w:w="108" w:type="dxa"/>
                  <w:bottom w:w="0" w:type="dxa"/>
                  <w:right w:w="108" w:type="dxa"/>
                </w:tblCellMar>
              </w:tblPrEx>
              <w:trPr>
                <w:trHeight w:val="284" w:hRule="atLeast"/>
              </w:trPr>
              <w:tc>
                <w:tcPr>
                  <w:tcW w:w="674" w:type="dxa"/>
                  <w:tcBorders>
                    <w:top w:val="nil"/>
                    <w:left w:val="nil"/>
                    <w:bottom w:val="single" w:color="auto" w:sz="4" w:space="0"/>
                    <w:right w:val="single" w:color="auto" w:sz="4" w:space="0"/>
                  </w:tcBorders>
                  <w:noWrap/>
                  <w:vAlign w:val="center"/>
                </w:tcPr>
                <w:p w14:paraId="2BC1A1FA">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6</w:t>
                  </w:r>
                </w:p>
              </w:tc>
              <w:tc>
                <w:tcPr>
                  <w:tcW w:w="3828" w:type="dxa"/>
                  <w:tcBorders>
                    <w:top w:val="nil"/>
                    <w:left w:val="nil"/>
                    <w:bottom w:val="single" w:color="auto" w:sz="4" w:space="0"/>
                    <w:right w:val="single" w:color="auto" w:sz="4" w:space="0"/>
                  </w:tcBorders>
                  <w:vAlign w:val="center"/>
                </w:tcPr>
                <w:p w14:paraId="58E21ED6">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工程组成中码头岸线、航道、防波堤位置调整使得评价范围内出现新的自然保护区、风景名胜区、饮用水水源保护区等环境敏感区和要求更高的环境功能区。</w:t>
                  </w:r>
                </w:p>
              </w:tc>
              <w:tc>
                <w:tcPr>
                  <w:tcW w:w="3501" w:type="dxa"/>
                  <w:tcBorders>
                    <w:top w:val="nil"/>
                    <w:left w:val="nil"/>
                    <w:bottom w:val="single" w:color="auto" w:sz="4" w:space="0"/>
                    <w:right w:val="single" w:color="auto" w:sz="4" w:space="0"/>
                  </w:tcBorders>
                  <w:noWrap/>
                  <w:vAlign w:val="center"/>
                </w:tcPr>
                <w:p w14:paraId="23642BB7">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本项目不涉及自然保护区、风景名胜区、饮用水水源保护区等环境敏感区。</w:t>
                  </w:r>
                </w:p>
              </w:tc>
              <w:tc>
                <w:tcPr>
                  <w:tcW w:w="1283" w:type="dxa"/>
                  <w:tcBorders>
                    <w:top w:val="nil"/>
                    <w:left w:val="nil"/>
                    <w:bottom w:val="single" w:color="auto" w:sz="4" w:space="0"/>
                    <w:right w:val="nil"/>
                  </w:tcBorders>
                  <w:noWrap/>
                  <w:vAlign w:val="center"/>
                </w:tcPr>
                <w:p w14:paraId="059B4754">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否</w:t>
                  </w:r>
                </w:p>
              </w:tc>
            </w:tr>
            <w:tr w14:paraId="0E537E65">
              <w:tblPrEx>
                <w:tblCellMar>
                  <w:top w:w="0" w:type="dxa"/>
                  <w:left w:w="108" w:type="dxa"/>
                  <w:bottom w:w="0" w:type="dxa"/>
                  <w:right w:w="108" w:type="dxa"/>
                </w:tblCellMar>
              </w:tblPrEx>
              <w:trPr>
                <w:trHeight w:val="284" w:hRule="atLeast"/>
              </w:trPr>
              <w:tc>
                <w:tcPr>
                  <w:tcW w:w="674" w:type="dxa"/>
                  <w:tcBorders>
                    <w:top w:val="nil"/>
                    <w:left w:val="nil"/>
                    <w:bottom w:val="single" w:color="auto" w:sz="4" w:space="0"/>
                    <w:right w:val="single" w:color="auto" w:sz="4" w:space="0"/>
                  </w:tcBorders>
                  <w:noWrap/>
                  <w:vAlign w:val="center"/>
                </w:tcPr>
                <w:p w14:paraId="439E4E8B">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7</w:t>
                  </w:r>
                </w:p>
              </w:tc>
              <w:tc>
                <w:tcPr>
                  <w:tcW w:w="3828" w:type="dxa"/>
                  <w:tcBorders>
                    <w:top w:val="nil"/>
                    <w:left w:val="nil"/>
                    <w:bottom w:val="single" w:color="auto" w:sz="4" w:space="0"/>
                    <w:right w:val="single" w:color="auto" w:sz="4" w:space="0"/>
                  </w:tcBorders>
                  <w:vAlign w:val="center"/>
                </w:tcPr>
                <w:p w14:paraId="50D07CDD">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集装箱危险品堆场位置发生变化导致环境风险增加。</w:t>
                  </w:r>
                </w:p>
              </w:tc>
              <w:tc>
                <w:tcPr>
                  <w:tcW w:w="3501" w:type="dxa"/>
                  <w:tcBorders>
                    <w:top w:val="nil"/>
                    <w:left w:val="nil"/>
                    <w:bottom w:val="single" w:color="auto" w:sz="4" w:space="0"/>
                    <w:right w:val="single" w:color="auto" w:sz="4" w:space="0"/>
                  </w:tcBorders>
                  <w:noWrap/>
                  <w:vAlign w:val="center"/>
                </w:tcPr>
                <w:p w14:paraId="545AC8F4">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本项目为</w:t>
                  </w:r>
                  <w:r>
                    <w:rPr>
                      <w:rFonts w:hint="default" w:ascii="Times New Roman" w:hAnsi="Times New Roman" w:cs="Times New Roman"/>
                      <w:kern w:val="0"/>
                      <w:sz w:val="18"/>
                      <w:szCs w:val="18"/>
                      <w:lang w:eastAsia="zh-CN"/>
                    </w:rPr>
                    <w:t>旅游码头项目</w:t>
                  </w:r>
                  <w:r>
                    <w:rPr>
                      <w:rFonts w:hint="default" w:ascii="Times New Roman" w:hAnsi="Times New Roman" w:cs="Times New Roman"/>
                      <w:kern w:val="0"/>
                      <w:sz w:val="18"/>
                      <w:szCs w:val="18"/>
                    </w:rPr>
                    <w:t>，不涉及集装箱危险品堆场。</w:t>
                  </w:r>
                </w:p>
              </w:tc>
              <w:tc>
                <w:tcPr>
                  <w:tcW w:w="1283" w:type="dxa"/>
                  <w:tcBorders>
                    <w:top w:val="nil"/>
                    <w:left w:val="nil"/>
                    <w:bottom w:val="single" w:color="auto" w:sz="4" w:space="0"/>
                    <w:right w:val="nil"/>
                  </w:tcBorders>
                  <w:noWrap/>
                  <w:vAlign w:val="center"/>
                </w:tcPr>
                <w:p w14:paraId="506F0047">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否</w:t>
                  </w:r>
                </w:p>
              </w:tc>
            </w:tr>
            <w:tr w14:paraId="450B5E5D">
              <w:tblPrEx>
                <w:tblCellMar>
                  <w:top w:w="0" w:type="dxa"/>
                  <w:left w:w="108" w:type="dxa"/>
                  <w:bottom w:w="0" w:type="dxa"/>
                  <w:right w:w="108" w:type="dxa"/>
                </w:tblCellMar>
              </w:tblPrEx>
              <w:trPr>
                <w:trHeight w:val="284" w:hRule="atLeast"/>
              </w:trPr>
              <w:tc>
                <w:tcPr>
                  <w:tcW w:w="9286" w:type="dxa"/>
                  <w:gridSpan w:val="4"/>
                  <w:tcBorders>
                    <w:top w:val="nil"/>
                    <w:left w:val="nil"/>
                    <w:bottom w:val="single" w:color="auto" w:sz="4" w:space="0"/>
                    <w:right w:val="nil"/>
                  </w:tcBorders>
                  <w:noWrap/>
                  <w:vAlign w:val="center"/>
                </w:tcPr>
                <w:p w14:paraId="25085150">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生产工艺：</w:t>
                  </w:r>
                </w:p>
              </w:tc>
            </w:tr>
            <w:tr w14:paraId="6A2B569D">
              <w:tblPrEx>
                <w:tblCellMar>
                  <w:top w:w="0" w:type="dxa"/>
                  <w:left w:w="108" w:type="dxa"/>
                  <w:bottom w:w="0" w:type="dxa"/>
                  <w:right w:w="108" w:type="dxa"/>
                </w:tblCellMar>
              </w:tblPrEx>
              <w:trPr>
                <w:trHeight w:val="284" w:hRule="atLeast"/>
              </w:trPr>
              <w:tc>
                <w:tcPr>
                  <w:tcW w:w="674" w:type="dxa"/>
                  <w:tcBorders>
                    <w:top w:val="nil"/>
                    <w:left w:val="nil"/>
                    <w:bottom w:val="single" w:color="auto" w:sz="4" w:space="0"/>
                    <w:right w:val="single" w:color="auto" w:sz="4" w:space="0"/>
                  </w:tcBorders>
                  <w:noWrap/>
                  <w:vAlign w:val="center"/>
                </w:tcPr>
                <w:p w14:paraId="3BC37379">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8</w:t>
                  </w:r>
                </w:p>
              </w:tc>
              <w:tc>
                <w:tcPr>
                  <w:tcW w:w="3828" w:type="dxa"/>
                  <w:tcBorders>
                    <w:top w:val="nil"/>
                    <w:left w:val="nil"/>
                    <w:bottom w:val="single" w:color="auto" w:sz="4" w:space="0"/>
                    <w:right w:val="single" w:color="auto" w:sz="4" w:space="0"/>
                  </w:tcBorders>
                  <w:vAlign w:val="center"/>
                </w:tcPr>
                <w:p w14:paraId="7EF4F40B">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干散货码头装卸方式、堆场堆存方式发生变化，导致大气污染源强增大。</w:t>
                  </w:r>
                </w:p>
              </w:tc>
              <w:tc>
                <w:tcPr>
                  <w:tcW w:w="3501" w:type="dxa"/>
                  <w:tcBorders>
                    <w:top w:val="nil"/>
                    <w:left w:val="nil"/>
                    <w:bottom w:val="single" w:color="auto" w:sz="4" w:space="0"/>
                    <w:right w:val="single" w:color="auto" w:sz="4" w:space="0"/>
                  </w:tcBorders>
                  <w:noWrap/>
                  <w:vAlign w:val="center"/>
                </w:tcPr>
                <w:p w14:paraId="0AC832B1">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本项目为</w:t>
                  </w:r>
                  <w:r>
                    <w:rPr>
                      <w:rFonts w:hint="default" w:ascii="Times New Roman" w:hAnsi="Times New Roman" w:cs="Times New Roman"/>
                      <w:kern w:val="0"/>
                      <w:sz w:val="18"/>
                      <w:szCs w:val="18"/>
                      <w:lang w:eastAsia="zh-CN"/>
                    </w:rPr>
                    <w:t>旅游码头项目</w:t>
                  </w:r>
                  <w:r>
                    <w:rPr>
                      <w:rFonts w:hint="default" w:ascii="Times New Roman" w:hAnsi="Times New Roman" w:cs="Times New Roman"/>
                      <w:kern w:val="0"/>
                      <w:sz w:val="18"/>
                      <w:szCs w:val="18"/>
                    </w:rPr>
                    <w:t>，不涉及干散货。</w:t>
                  </w:r>
                </w:p>
              </w:tc>
              <w:tc>
                <w:tcPr>
                  <w:tcW w:w="1283" w:type="dxa"/>
                  <w:tcBorders>
                    <w:top w:val="nil"/>
                    <w:left w:val="nil"/>
                    <w:bottom w:val="single" w:color="auto" w:sz="4" w:space="0"/>
                    <w:right w:val="nil"/>
                  </w:tcBorders>
                  <w:noWrap/>
                  <w:vAlign w:val="center"/>
                </w:tcPr>
                <w:p w14:paraId="4557F07B">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否</w:t>
                  </w:r>
                </w:p>
              </w:tc>
            </w:tr>
            <w:tr w14:paraId="610CC2A7">
              <w:tblPrEx>
                <w:tblCellMar>
                  <w:top w:w="0" w:type="dxa"/>
                  <w:left w:w="108" w:type="dxa"/>
                  <w:bottom w:w="0" w:type="dxa"/>
                  <w:right w:w="108" w:type="dxa"/>
                </w:tblCellMar>
              </w:tblPrEx>
              <w:trPr>
                <w:trHeight w:val="284" w:hRule="atLeast"/>
              </w:trPr>
              <w:tc>
                <w:tcPr>
                  <w:tcW w:w="674" w:type="dxa"/>
                  <w:tcBorders>
                    <w:top w:val="nil"/>
                    <w:left w:val="nil"/>
                    <w:bottom w:val="single" w:color="auto" w:sz="4" w:space="0"/>
                    <w:right w:val="single" w:color="auto" w:sz="4" w:space="0"/>
                  </w:tcBorders>
                  <w:noWrap/>
                  <w:vAlign w:val="center"/>
                </w:tcPr>
                <w:p w14:paraId="70F315F4">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9</w:t>
                  </w:r>
                </w:p>
              </w:tc>
              <w:tc>
                <w:tcPr>
                  <w:tcW w:w="3828" w:type="dxa"/>
                  <w:tcBorders>
                    <w:top w:val="nil"/>
                    <w:left w:val="nil"/>
                    <w:bottom w:val="single" w:color="auto" w:sz="4" w:space="0"/>
                    <w:right w:val="single" w:color="auto" w:sz="4" w:space="0"/>
                  </w:tcBorders>
                  <w:vAlign w:val="center"/>
                </w:tcPr>
                <w:p w14:paraId="307E7006">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集装箱码头增加危险品箱装卸作业、洗箱作业或堆场。</w:t>
                  </w:r>
                </w:p>
              </w:tc>
              <w:tc>
                <w:tcPr>
                  <w:tcW w:w="3501" w:type="dxa"/>
                  <w:tcBorders>
                    <w:top w:val="nil"/>
                    <w:left w:val="nil"/>
                    <w:bottom w:val="single" w:color="auto" w:sz="4" w:space="0"/>
                    <w:right w:val="single" w:color="auto" w:sz="4" w:space="0"/>
                  </w:tcBorders>
                  <w:noWrap/>
                  <w:vAlign w:val="center"/>
                </w:tcPr>
                <w:p w14:paraId="7900EE71">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本项目为</w:t>
                  </w:r>
                  <w:r>
                    <w:rPr>
                      <w:rFonts w:hint="default" w:ascii="Times New Roman" w:hAnsi="Times New Roman" w:cs="Times New Roman"/>
                      <w:kern w:val="0"/>
                      <w:sz w:val="18"/>
                      <w:szCs w:val="18"/>
                      <w:lang w:eastAsia="zh-CN"/>
                    </w:rPr>
                    <w:t>旅游码头项目</w:t>
                  </w:r>
                  <w:r>
                    <w:rPr>
                      <w:rFonts w:hint="default" w:ascii="Times New Roman" w:hAnsi="Times New Roman" w:cs="Times New Roman"/>
                      <w:kern w:val="0"/>
                      <w:sz w:val="18"/>
                      <w:szCs w:val="18"/>
                    </w:rPr>
                    <w:t>，不属于集装箱码头。</w:t>
                  </w:r>
                </w:p>
              </w:tc>
              <w:tc>
                <w:tcPr>
                  <w:tcW w:w="1283" w:type="dxa"/>
                  <w:tcBorders>
                    <w:top w:val="nil"/>
                    <w:left w:val="nil"/>
                    <w:bottom w:val="single" w:color="auto" w:sz="4" w:space="0"/>
                    <w:right w:val="nil"/>
                  </w:tcBorders>
                  <w:noWrap/>
                  <w:vAlign w:val="center"/>
                </w:tcPr>
                <w:p w14:paraId="786DC955">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否</w:t>
                  </w:r>
                </w:p>
              </w:tc>
            </w:tr>
            <w:tr w14:paraId="5FCFAA8C">
              <w:tblPrEx>
                <w:tblCellMar>
                  <w:top w:w="0" w:type="dxa"/>
                  <w:left w:w="108" w:type="dxa"/>
                  <w:bottom w:w="0" w:type="dxa"/>
                  <w:right w:w="108" w:type="dxa"/>
                </w:tblCellMar>
              </w:tblPrEx>
              <w:trPr>
                <w:trHeight w:val="284" w:hRule="atLeast"/>
              </w:trPr>
              <w:tc>
                <w:tcPr>
                  <w:tcW w:w="674" w:type="dxa"/>
                  <w:tcBorders>
                    <w:top w:val="nil"/>
                    <w:left w:val="nil"/>
                    <w:bottom w:val="single" w:color="auto" w:sz="4" w:space="0"/>
                    <w:right w:val="single" w:color="auto" w:sz="4" w:space="0"/>
                  </w:tcBorders>
                  <w:noWrap/>
                  <w:vAlign w:val="center"/>
                </w:tcPr>
                <w:p w14:paraId="5261FA9B">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10</w:t>
                  </w:r>
                </w:p>
              </w:tc>
              <w:tc>
                <w:tcPr>
                  <w:tcW w:w="3828" w:type="dxa"/>
                  <w:tcBorders>
                    <w:top w:val="nil"/>
                    <w:left w:val="nil"/>
                    <w:bottom w:val="single" w:color="auto" w:sz="4" w:space="0"/>
                    <w:right w:val="single" w:color="auto" w:sz="4" w:space="0"/>
                  </w:tcBorders>
                  <w:vAlign w:val="center"/>
                </w:tcPr>
                <w:p w14:paraId="5E66FDFF">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集装箱危险品装卸、堆场、液化码头新增危险品货类（国际危险品分类：9 类），或新增同一货类中毒性、腐蚀性、爆炸性更大的货种。</w:t>
                  </w:r>
                </w:p>
              </w:tc>
              <w:tc>
                <w:tcPr>
                  <w:tcW w:w="3501" w:type="dxa"/>
                  <w:tcBorders>
                    <w:top w:val="nil"/>
                    <w:left w:val="nil"/>
                    <w:bottom w:val="single" w:color="auto" w:sz="4" w:space="0"/>
                    <w:right w:val="single" w:color="auto" w:sz="4" w:space="0"/>
                  </w:tcBorders>
                  <w:noWrap/>
                  <w:vAlign w:val="center"/>
                </w:tcPr>
                <w:p w14:paraId="6AF4F6E2">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本项目为</w:t>
                  </w:r>
                  <w:r>
                    <w:rPr>
                      <w:rFonts w:hint="default" w:ascii="Times New Roman" w:hAnsi="Times New Roman" w:cs="Times New Roman"/>
                      <w:kern w:val="0"/>
                      <w:sz w:val="18"/>
                      <w:szCs w:val="18"/>
                      <w:lang w:eastAsia="zh-CN"/>
                    </w:rPr>
                    <w:t>旅游码头项目</w:t>
                  </w:r>
                  <w:r>
                    <w:rPr>
                      <w:rFonts w:hint="default" w:ascii="Times New Roman" w:hAnsi="Times New Roman" w:cs="Times New Roman"/>
                      <w:kern w:val="0"/>
                      <w:sz w:val="18"/>
                      <w:szCs w:val="18"/>
                    </w:rPr>
                    <w:t>，不涉及危险品。</w:t>
                  </w:r>
                </w:p>
              </w:tc>
              <w:tc>
                <w:tcPr>
                  <w:tcW w:w="1283" w:type="dxa"/>
                  <w:tcBorders>
                    <w:top w:val="nil"/>
                    <w:left w:val="nil"/>
                    <w:bottom w:val="single" w:color="auto" w:sz="4" w:space="0"/>
                    <w:right w:val="nil"/>
                  </w:tcBorders>
                  <w:noWrap/>
                  <w:vAlign w:val="center"/>
                </w:tcPr>
                <w:p w14:paraId="75957D3B">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否</w:t>
                  </w:r>
                </w:p>
              </w:tc>
            </w:tr>
            <w:tr w14:paraId="0E4A5AE9">
              <w:tblPrEx>
                <w:tblCellMar>
                  <w:top w:w="0" w:type="dxa"/>
                  <w:left w:w="108" w:type="dxa"/>
                  <w:bottom w:w="0" w:type="dxa"/>
                  <w:right w:w="108" w:type="dxa"/>
                </w:tblCellMar>
              </w:tblPrEx>
              <w:trPr>
                <w:trHeight w:val="284" w:hRule="atLeast"/>
              </w:trPr>
              <w:tc>
                <w:tcPr>
                  <w:tcW w:w="674" w:type="dxa"/>
                  <w:tcBorders>
                    <w:top w:val="nil"/>
                    <w:left w:val="nil"/>
                    <w:bottom w:val="single" w:color="auto" w:sz="12" w:space="0"/>
                    <w:right w:val="single" w:color="auto" w:sz="4" w:space="0"/>
                  </w:tcBorders>
                  <w:noWrap/>
                  <w:vAlign w:val="center"/>
                </w:tcPr>
                <w:p w14:paraId="55D7EA22">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11</w:t>
                  </w:r>
                </w:p>
              </w:tc>
              <w:tc>
                <w:tcPr>
                  <w:tcW w:w="3828" w:type="dxa"/>
                  <w:tcBorders>
                    <w:top w:val="nil"/>
                    <w:left w:val="nil"/>
                    <w:bottom w:val="single" w:color="auto" w:sz="12" w:space="0"/>
                    <w:right w:val="single" w:color="auto" w:sz="4" w:space="0"/>
                  </w:tcBorders>
                  <w:vAlign w:val="center"/>
                </w:tcPr>
                <w:p w14:paraId="49704DFF">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矿石码头堆场防尘、液化码头油气回收、集装箱码头压载水灭活等主要环境保护措施或环境风险防范措施弱化或降低。</w:t>
                  </w:r>
                </w:p>
              </w:tc>
              <w:tc>
                <w:tcPr>
                  <w:tcW w:w="3501" w:type="dxa"/>
                  <w:tcBorders>
                    <w:top w:val="nil"/>
                    <w:left w:val="nil"/>
                    <w:bottom w:val="single" w:color="auto" w:sz="12" w:space="0"/>
                    <w:right w:val="single" w:color="auto" w:sz="4" w:space="0"/>
                  </w:tcBorders>
                  <w:noWrap/>
                  <w:vAlign w:val="center"/>
                </w:tcPr>
                <w:p w14:paraId="64264A56">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本项目为</w:t>
                  </w:r>
                  <w:r>
                    <w:rPr>
                      <w:rFonts w:hint="default" w:ascii="Times New Roman" w:hAnsi="Times New Roman" w:cs="Times New Roman"/>
                      <w:kern w:val="0"/>
                      <w:sz w:val="18"/>
                      <w:szCs w:val="18"/>
                      <w:lang w:eastAsia="zh-CN"/>
                    </w:rPr>
                    <w:t>旅游码头项目</w:t>
                  </w:r>
                  <w:r>
                    <w:rPr>
                      <w:rFonts w:hint="default" w:ascii="Times New Roman" w:hAnsi="Times New Roman" w:cs="Times New Roman"/>
                      <w:kern w:val="0"/>
                      <w:sz w:val="18"/>
                      <w:szCs w:val="18"/>
                    </w:rPr>
                    <w:t>，不属于矿石码头、液化码头、集装箱码头等。</w:t>
                  </w:r>
                </w:p>
              </w:tc>
              <w:tc>
                <w:tcPr>
                  <w:tcW w:w="1283" w:type="dxa"/>
                  <w:tcBorders>
                    <w:top w:val="nil"/>
                    <w:left w:val="nil"/>
                    <w:bottom w:val="single" w:color="auto" w:sz="12" w:space="0"/>
                    <w:right w:val="nil"/>
                  </w:tcBorders>
                  <w:noWrap/>
                  <w:vAlign w:val="center"/>
                </w:tcPr>
                <w:p w14:paraId="4FCD9212">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否</w:t>
                  </w:r>
                </w:p>
              </w:tc>
            </w:tr>
          </w:tbl>
          <w:p w14:paraId="2CEFF16D">
            <w:pPr>
              <w:spacing w:line="360" w:lineRule="auto"/>
              <w:ind w:firstLine="480" w:firstLineChars="200"/>
              <w:rPr>
                <w:rFonts w:hint="default" w:ascii="Times New Roman" w:hAnsi="Times New Roman" w:cs="Times New Roman"/>
                <w:kern w:val="0"/>
                <w:sz w:val="24"/>
              </w:rPr>
            </w:pPr>
            <w:r>
              <w:rPr>
                <w:rFonts w:hint="default" w:ascii="Times New Roman" w:hAnsi="Times New Roman" w:cs="Times New Roman"/>
                <w:kern w:val="0"/>
                <w:sz w:val="24"/>
              </w:rPr>
              <w:t>根据上述分析，本项目变更不属于重大变动，可将变更内容直接纳入验收。</w:t>
            </w:r>
          </w:p>
          <w:p w14:paraId="024ED901">
            <w:pPr>
              <w:spacing w:line="440" w:lineRule="exact"/>
              <w:rPr>
                <w:rFonts w:hint="default" w:ascii="Times New Roman" w:hAnsi="Times New Roman" w:cs="Times New Roman"/>
                <w:b/>
                <w:sz w:val="24"/>
              </w:rPr>
            </w:pPr>
            <w:r>
              <w:rPr>
                <w:rFonts w:hint="default" w:ascii="Times New Roman" w:hAnsi="Times New Roman" w:cs="Times New Roman"/>
                <w:b/>
                <w:sz w:val="24"/>
              </w:rPr>
              <w:t>4.8工程环境保护投资明细</w:t>
            </w:r>
          </w:p>
          <w:p w14:paraId="02C49A8F">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工程实际总投资63045.67万元，其中环境保护实际投资300万元，占实际总投资的0.</w:t>
            </w:r>
            <w:r>
              <w:rPr>
                <w:rFonts w:hint="default" w:ascii="Times New Roman" w:hAnsi="Times New Roman" w:cs="Times New Roman"/>
                <w:sz w:val="24"/>
                <w:lang w:val="en-US" w:eastAsia="zh-CN"/>
              </w:rPr>
              <w:t>5</w:t>
            </w:r>
            <w:r>
              <w:rPr>
                <w:rFonts w:hint="default" w:ascii="Times New Roman" w:hAnsi="Times New Roman" w:cs="Times New Roman"/>
                <w:sz w:val="24"/>
              </w:rPr>
              <w:t>%。具体明细见下表。</w:t>
            </w:r>
          </w:p>
          <w:p w14:paraId="4E82F551">
            <w:pPr>
              <w:pStyle w:val="2"/>
              <w:rPr>
                <w:rFonts w:hint="default" w:ascii="Times New Roman" w:hAnsi="Times New Roman" w:cs="Times New Roman"/>
                <w:sz w:val="24"/>
              </w:rPr>
            </w:pPr>
          </w:p>
          <w:p w14:paraId="5A8ACECF">
            <w:pPr>
              <w:pStyle w:val="2"/>
              <w:rPr>
                <w:rFonts w:hint="default" w:ascii="Times New Roman" w:hAnsi="Times New Roman" w:cs="Times New Roman"/>
                <w:sz w:val="24"/>
              </w:rPr>
            </w:pPr>
          </w:p>
          <w:p w14:paraId="24244497">
            <w:pPr>
              <w:pStyle w:val="2"/>
              <w:rPr>
                <w:rFonts w:hint="default" w:ascii="Times New Roman" w:hAnsi="Times New Roman" w:cs="Times New Roman"/>
                <w:sz w:val="24"/>
              </w:rPr>
            </w:pPr>
          </w:p>
          <w:p w14:paraId="2F72E370">
            <w:pPr>
              <w:ind w:right="178" w:rightChars="85"/>
              <w:jc w:val="center"/>
              <w:rPr>
                <w:rFonts w:hint="default" w:ascii="Times New Roman" w:hAnsi="Times New Roman" w:eastAsia="黑体" w:cs="Times New Roman"/>
                <w:bCs/>
              </w:rPr>
            </w:pPr>
            <w:r>
              <w:rPr>
                <w:rFonts w:hint="default" w:ascii="Times New Roman" w:hAnsi="Times New Roman" w:eastAsia="黑体" w:cs="Times New Roman"/>
                <w:bCs/>
              </w:rPr>
              <w:t>表4-11  项目环保设施与实际投资情况一览表</w:t>
            </w:r>
          </w:p>
          <w:tbl>
            <w:tblPr>
              <w:tblStyle w:val="23"/>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556"/>
              <w:gridCol w:w="588"/>
              <w:gridCol w:w="688"/>
              <w:gridCol w:w="1036"/>
              <w:gridCol w:w="2513"/>
              <w:gridCol w:w="2273"/>
              <w:gridCol w:w="708"/>
              <w:gridCol w:w="708"/>
            </w:tblGrid>
            <w:tr w14:paraId="2FB887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07" w:type="pct"/>
                  <w:vMerge w:val="restart"/>
                  <w:tcBorders>
                    <w:top w:val="single" w:color="auto" w:sz="12" w:space="0"/>
                    <w:left w:val="nil"/>
                    <w:right w:val="single" w:color="auto" w:sz="4" w:space="0"/>
                  </w:tcBorders>
                  <w:vAlign w:val="center"/>
                </w:tcPr>
                <w:p w14:paraId="43429170">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阶段</w:t>
                  </w:r>
                </w:p>
              </w:tc>
              <w:tc>
                <w:tcPr>
                  <w:tcW w:w="703" w:type="pct"/>
                  <w:gridSpan w:val="2"/>
                  <w:vMerge w:val="restart"/>
                  <w:tcBorders>
                    <w:top w:val="single" w:color="auto" w:sz="12" w:space="0"/>
                    <w:left w:val="single" w:color="auto" w:sz="4" w:space="0"/>
                    <w:right w:val="single" w:color="auto" w:sz="4" w:space="0"/>
                  </w:tcBorders>
                  <w:vAlign w:val="center"/>
                </w:tcPr>
                <w:p w14:paraId="0EFDB212">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项目</w:t>
                  </w:r>
                </w:p>
              </w:tc>
              <w:tc>
                <w:tcPr>
                  <w:tcW w:w="570" w:type="pct"/>
                  <w:vMerge w:val="restart"/>
                  <w:tcBorders>
                    <w:top w:val="single" w:color="auto" w:sz="12" w:space="0"/>
                    <w:left w:val="single" w:color="auto" w:sz="4" w:space="0"/>
                    <w:right w:val="single" w:color="auto" w:sz="4" w:space="0"/>
                  </w:tcBorders>
                  <w:vAlign w:val="center"/>
                </w:tcPr>
                <w:p w14:paraId="071B4747">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污染物</w:t>
                  </w:r>
                </w:p>
              </w:tc>
              <w:tc>
                <w:tcPr>
                  <w:tcW w:w="2638" w:type="pct"/>
                  <w:gridSpan w:val="2"/>
                  <w:tcBorders>
                    <w:top w:val="single" w:color="auto" w:sz="12" w:space="0"/>
                    <w:left w:val="single" w:color="auto" w:sz="4" w:space="0"/>
                    <w:bottom w:val="single" w:color="auto" w:sz="4" w:space="0"/>
                    <w:right w:val="single" w:color="auto" w:sz="4" w:space="0"/>
                  </w:tcBorders>
                  <w:vAlign w:val="center"/>
                </w:tcPr>
                <w:p w14:paraId="27155B7E">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治理措施及效率</w:t>
                  </w:r>
                </w:p>
              </w:tc>
              <w:tc>
                <w:tcPr>
                  <w:tcW w:w="780" w:type="pct"/>
                  <w:gridSpan w:val="2"/>
                  <w:tcBorders>
                    <w:top w:val="single" w:color="auto" w:sz="12" w:space="0"/>
                    <w:left w:val="single" w:color="auto" w:sz="4" w:space="0"/>
                    <w:bottom w:val="single" w:color="auto" w:sz="4" w:space="0"/>
                    <w:right w:val="nil"/>
                  </w:tcBorders>
                  <w:vAlign w:val="center"/>
                </w:tcPr>
                <w:p w14:paraId="69416A33">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投资（万元）</w:t>
                  </w:r>
                </w:p>
              </w:tc>
            </w:tr>
            <w:tr w14:paraId="12167A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07" w:type="pct"/>
                  <w:vMerge w:val="continue"/>
                  <w:tcBorders>
                    <w:left w:val="nil"/>
                    <w:bottom w:val="single" w:color="auto" w:sz="4" w:space="0"/>
                    <w:right w:val="single" w:color="auto" w:sz="4" w:space="0"/>
                  </w:tcBorders>
                  <w:vAlign w:val="center"/>
                </w:tcPr>
                <w:p w14:paraId="30829B6A">
                  <w:pPr>
                    <w:adjustRightInd w:val="0"/>
                    <w:snapToGrid w:val="0"/>
                    <w:jc w:val="center"/>
                    <w:rPr>
                      <w:rFonts w:hint="default" w:ascii="Times New Roman" w:hAnsi="Times New Roman" w:cs="Times New Roman"/>
                      <w:color w:val="000000"/>
                      <w:sz w:val="18"/>
                      <w:szCs w:val="18"/>
                    </w:rPr>
                  </w:pPr>
                </w:p>
              </w:tc>
              <w:tc>
                <w:tcPr>
                  <w:tcW w:w="703" w:type="pct"/>
                  <w:gridSpan w:val="2"/>
                  <w:vMerge w:val="continue"/>
                  <w:tcBorders>
                    <w:left w:val="single" w:color="auto" w:sz="4" w:space="0"/>
                    <w:bottom w:val="single" w:color="auto" w:sz="4" w:space="0"/>
                    <w:right w:val="single" w:color="auto" w:sz="4" w:space="0"/>
                  </w:tcBorders>
                  <w:vAlign w:val="center"/>
                </w:tcPr>
                <w:p w14:paraId="7A04612B">
                  <w:pPr>
                    <w:adjustRightInd w:val="0"/>
                    <w:snapToGrid w:val="0"/>
                    <w:jc w:val="center"/>
                    <w:rPr>
                      <w:rFonts w:hint="default" w:ascii="Times New Roman" w:hAnsi="Times New Roman" w:cs="Times New Roman"/>
                      <w:color w:val="000000"/>
                      <w:sz w:val="18"/>
                      <w:szCs w:val="18"/>
                    </w:rPr>
                  </w:pPr>
                </w:p>
              </w:tc>
              <w:tc>
                <w:tcPr>
                  <w:tcW w:w="570" w:type="pct"/>
                  <w:vMerge w:val="continue"/>
                  <w:tcBorders>
                    <w:left w:val="single" w:color="auto" w:sz="4" w:space="0"/>
                    <w:bottom w:val="single" w:color="auto" w:sz="4" w:space="0"/>
                    <w:right w:val="single" w:color="auto" w:sz="4" w:space="0"/>
                  </w:tcBorders>
                  <w:vAlign w:val="center"/>
                </w:tcPr>
                <w:p w14:paraId="28E09386">
                  <w:pPr>
                    <w:adjustRightInd w:val="0"/>
                    <w:snapToGrid w:val="0"/>
                    <w:jc w:val="center"/>
                    <w:rPr>
                      <w:rFonts w:hint="default" w:ascii="Times New Roman" w:hAnsi="Times New Roman" w:cs="Times New Roman"/>
                      <w:color w:val="000000"/>
                      <w:sz w:val="18"/>
                      <w:szCs w:val="18"/>
                    </w:rPr>
                  </w:pPr>
                </w:p>
              </w:tc>
              <w:tc>
                <w:tcPr>
                  <w:tcW w:w="1385" w:type="pct"/>
                  <w:tcBorders>
                    <w:top w:val="single" w:color="auto" w:sz="4" w:space="0"/>
                    <w:left w:val="single" w:color="auto" w:sz="4" w:space="0"/>
                    <w:bottom w:val="single" w:color="auto" w:sz="4" w:space="0"/>
                    <w:right w:val="single" w:color="auto" w:sz="4" w:space="0"/>
                  </w:tcBorders>
                  <w:vAlign w:val="center"/>
                </w:tcPr>
                <w:p w14:paraId="626502AF">
                  <w:pPr>
                    <w:adjustRightInd w:val="0"/>
                    <w:snapToGrid w:val="0"/>
                    <w:jc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环评阶段</w:t>
                  </w:r>
                </w:p>
              </w:tc>
              <w:tc>
                <w:tcPr>
                  <w:tcW w:w="1253" w:type="pct"/>
                  <w:tcBorders>
                    <w:top w:val="single" w:color="auto" w:sz="4" w:space="0"/>
                    <w:left w:val="single" w:color="auto" w:sz="4" w:space="0"/>
                    <w:bottom w:val="single" w:color="auto" w:sz="4" w:space="0"/>
                    <w:right w:val="single" w:color="auto" w:sz="4" w:space="0"/>
                  </w:tcBorders>
                  <w:vAlign w:val="center"/>
                </w:tcPr>
                <w:p w14:paraId="12E48789">
                  <w:pPr>
                    <w:adjustRightInd w:val="0"/>
                    <w:snapToGrid w:val="0"/>
                    <w:jc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实际落实情况</w:t>
                  </w:r>
                </w:p>
              </w:tc>
              <w:tc>
                <w:tcPr>
                  <w:tcW w:w="390" w:type="pct"/>
                  <w:tcBorders>
                    <w:top w:val="single" w:color="auto" w:sz="4" w:space="0"/>
                    <w:left w:val="single" w:color="auto" w:sz="4" w:space="0"/>
                    <w:bottom w:val="single" w:color="auto" w:sz="4" w:space="0"/>
                    <w:right w:val="nil"/>
                  </w:tcBorders>
                  <w:vAlign w:val="center"/>
                </w:tcPr>
                <w:p w14:paraId="0FB4F308">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环评</w:t>
                  </w:r>
                </w:p>
              </w:tc>
              <w:tc>
                <w:tcPr>
                  <w:tcW w:w="390" w:type="pct"/>
                  <w:tcBorders>
                    <w:top w:val="single" w:color="auto" w:sz="4" w:space="0"/>
                    <w:left w:val="single" w:color="auto" w:sz="4" w:space="0"/>
                    <w:bottom w:val="single" w:color="auto" w:sz="4" w:space="0"/>
                    <w:right w:val="nil"/>
                  </w:tcBorders>
                  <w:vAlign w:val="center"/>
                </w:tcPr>
                <w:p w14:paraId="22E13C98">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实际</w:t>
                  </w:r>
                </w:p>
              </w:tc>
            </w:tr>
            <w:tr w14:paraId="7840CA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07" w:type="pct"/>
                  <w:vMerge w:val="restart"/>
                  <w:tcBorders>
                    <w:top w:val="single" w:color="auto" w:sz="4" w:space="0"/>
                    <w:left w:val="nil"/>
                    <w:bottom w:val="single" w:color="auto" w:sz="4" w:space="0"/>
                    <w:right w:val="single" w:color="auto" w:sz="4" w:space="0"/>
                  </w:tcBorders>
                  <w:vAlign w:val="center"/>
                </w:tcPr>
                <w:p w14:paraId="1E2E09A0">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施工期</w:t>
                  </w:r>
                </w:p>
              </w:tc>
              <w:tc>
                <w:tcPr>
                  <w:tcW w:w="703" w:type="pct"/>
                  <w:gridSpan w:val="2"/>
                  <w:tcBorders>
                    <w:top w:val="single" w:color="auto" w:sz="4" w:space="0"/>
                    <w:left w:val="single" w:color="auto" w:sz="4" w:space="0"/>
                    <w:bottom w:val="single" w:color="auto" w:sz="4" w:space="0"/>
                    <w:right w:val="single" w:color="auto" w:sz="4" w:space="0"/>
                  </w:tcBorders>
                  <w:vAlign w:val="center"/>
                </w:tcPr>
                <w:p w14:paraId="396F4A49">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sz w:val="18"/>
                      <w:szCs w:val="18"/>
                      <w:lang w:eastAsia="zh-CN"/>
                    </w:rPr>
                    <w:t>施工扬尘</w:t>
                  </w:r>
                </w:p>
              </w:tc>
              <w:tc>
                <w:tcPr>
                  <w:tcW w:w="570" w:type="pct"/>
                  <w:tcBorders>
                    <w:top w:val="single" w:color="auto" w:sz="4" w:space="0"/>
                    <w:left w:val="single" w:color="auto" w:sz="4" w:space="0"/>
                    <w:bottom w:val="single" w:color="auto" w:sz="4" w:space="0"/>
                    <w:right w:val="single" w:color="auto" w:sz="4" w:space="0"/>
                  </w:tcBorders>
                  <w:vAlign w:val="center"/>
                </w:tcPr>
                <w:p w14:paraId="157D61E0">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sz w:val="18"/>
                      <w:szCs w:val="18"/>
                      <w:lang w:val="en-US" w:eastAsia="zh-CN"/>
                    </w:rPr>
                    <w:t>颗粒物</w:t>
                  </w:r>
                </w:p>
              </w:tc>
              <w:tc>
                <w:tcPr>
                  <w:tcW w:w="1385" w:type="pct"/>
                  <w:tcBorders>
                    <w:top w:val="single" w:color="auto" w:sz="4" w:space="0"/>
                    <w:left w:val="single" w:color="auto" w:sz="4" w:space="0"/>
                    <w:bottom w:val="single" w:color="auto" w:sz="4" w:space="0"/>
                    <w:right w:val="single" w:color="auto" w:sz="4" w:space="0"/>
                  </w:tcBorders>
                  <w:vAlign w:val="center"/>
                </w:tcPr>
                <w:p w14:paraId="6021CFF3">
                  <w:pPr>
                    <w:adjustRightInd w:val="0"/>
                    <w:snapToGrid w:val="0"/>
                    <w:jc w:val="center"/>
                    <w:rPr>
                      <w:rFonts w:hint="default" w:ascii="Times New Roman" w:hAnsi="Times New Roman" w:cs="Times New Roman"/>
                      <w:color w:val="000000"/>
                      <w:kern w:val="0"/>
                      <w:sz w:val="18"/>
                      <w:szCs w:val="18"/>
                    </w:rPr>
                  </w:pPr>
                  <w:r>
                    <w:rPr>
                      <w:rFonts w:hint="default" w:ascii="Times New Roman" w:hAnsi="Times New Roman" w:eastAsia="宋体" w:cs="Times New Roman"/>
                      <w:sz w:val="18"/>
                      <w:szCs w:val="18"/>
                      <w:lang w:eastAsia="zh-CN"/>
                    </w:rPr>
                    <w:t>洒水抑尘</w:t>
                  </w:r>
                </w:p>
              </w:tc>
              <w:tc>
                <w:tcPr>
                  <w:tcW w:w="1253" w:type="pct"/>
                  <w:tcBorders>
                    <w:top w:val="single" w:color="auto" w:sz="4" w:space="0"/>
                    <w:left w:val="single" w:color="auto" w:sz="4" w:space="0"/>
                    <w:bottom w:val="single" w:color="auto" w:sz="4" w:space="0"/>
                    <w:right w:val="single" w:color="auto" w:sz="4" w:space="0"/>
                  </w:tcBorders>
                  <w:vAlign w:val="center"/>
                </w:tcPr>
                <w:p w14:paraId="2395C5FB">
                  <w:pPr>
                    <w:adjustRightInd w:val="0"/>
                    <w:snapToGrid w:val="0"/>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建筑材料和运输车辆</w:t>
                  </w:r>
                  <w:r>
                    <w:rPr>
                      <w:rFonts w:hint="default" w:ascii="Times New Roman" w:hAnsi="Times New Roman" w:cs="Times New Roman"/>
                      <w:color w:val="000000"/>
                      <w:sz w:val="18"/>
                      <w:szCs w:val="18"/>
                    </w:rPr>
                    <w:t>通过加盖篷布，设置施工围挡，增加洒水等方式减少施工扬尘。</w:t>
                  </w:r>
                </w:p>
              </w:tc>
              <w:tc>
                <w:tcPr>
                  <w:tcW w:w="390" w:type="pct"/>
                  <w:vMerge w:val="restart"/>
                  <w:tcBorders>
                    <w:top w:val="single" w:color="auto" w:sz="4" w:space="0"/>
                    <w:left w:val="single" w:color="auto" w:sz="4" w:space="0"/>
                    <w:bottom w:val="single" w:color="auto" w:sz="4" w:space="0"/>
                    <w:right w:val="nil"/>
                  </w:tcBorders>
                  <w:vAlign w:val="center"/>
                </w:tcPr>
                <w:p w14:paraId="1B9E4A2E">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10</w:t>
                  </w:r>
                </w:p>
              </w:tc>
              <w:tc>
                <w:tcPr>
                  <w:tcW w:w="390" w:type="pct"/>
                  <w:vMerge w:val="restart"/>
                  <w:tcBorders>
                    <w:top w:val="single" w:color="auto" w:sz="4" w:space="0"/>
                    <w:left w:val="single" w:color="auto" w:sz="4" w:space="0"/>
                    <w:right w:val="nil"/>
                  </w:tcBorders>
                  <w:vAlign w:val="center"/>
                </w:tcPr>
                <w:p w14:paraId="4BE303AC">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10</w:t>
                  </w:r>
                </w:p>
              </w:tc>
            </w:tr>
            <w:tr w14:paraId="5F9229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07" w:type="pct"/>
                  <w:vMerge w:val="continue"/>
                  <w:tcBorders>
                    <w:top w:val="single" w:color="auto" w:sz="4" w:space="0"/>
                    <w:left w:val="nil"/>
                    <w:bottom w:val="single" w:color="auto" w:sz="4" w:space="0"/>
                    <w:right w:val="single" w:color="auto" w:sz="4" w:space="0"/>
                  </w:tcBorders>
                  <w:vAlign w:val="center"/>
                </w:tcPr>
                <w:p w14:paraId="195DBFE0">
                  <w:pPr>
                    <w:widowControl/>
                    <w:jc w:val="left"/>
                    <w:rPr>
                      <w:rFonts w:hint="default" w:ascii="Times New Roman" w:hAnsi="Times New Roman" w:cs="Times New Roman"/>
                      <w:color w:val="000000"/>
                      <w:sz w:val="18"/>
                      <w:szCs w:val="18"/>
                    </w:rPr>
                  </w:pPr>
                </w:p>
              </w:tc>
              <w:tc>
                <w:tcPr>
                  <w:tcW w:w="703" w:type="pct"/>
                  <w:gridSpan w:val="2"/>
                  <w:tcBorders>
                    <w:top w:val="single" w:color="auto" w:sz="4" w:space="0"/>
                    <w:left w:val="single" w:color="auto" w:sz="4" w:space="0"/>
                    <w:bottom w:val="single" w:color="auto" w:sz="4" w:space="0"/>
                    <w:right w:val="single" w:color="auto" w:sz="4" w:space="0"/>
                  </w:tcBorders>
                  <w:vAlign w:val="center"/>
                </w:tcPr>
                <w:p w14:paraId="71F7DB4D">
                  <w:pPr>
                    <w:adjustRightInd w:val="0"/>
                    <w:snapToGrid w:val="0"/>
                    <w:jc w:val="center"/>
                    <w:rPr>
                      <w:rFonts w:hint="default" w:ascii="Times New Roman" w:hAnsi="Times New Roman" w:cs="Times New Roman"/>
                      <w:color w:val="000000"/>
                      <w:sz w:val="18"/>
                      <w:szCs w:val="18"/>
                    </w:rPr>
                  </w:pPr>
                  <w:r>
                    <w:rPr>
                      <w:rFonts w:hint="default" w:ascii="Times New Roman" w:hAnsi="Times New Roman" w:eastAsia="宋体" w:cs="Times New Roman"/>
                      <w:sz w:val="18"/>
                      <w:szCs w:val="18"/>
                      <w:lang w:eastAsia="zh-CN"/>
                    </w:rPr>
                    <w:t>燃油机械废气</w:t>
                  </w:r>
                </w:p>
              </w:tc>
              <w:tc>
                <w:tcPr>
                  <w:tcW w:w="570" w:type="pct"/>
                  <w:tcBorders>
                    <w:top w:val="single" w:color="auto" w:sz="4" w:space="0"/>
                    <w:left w:val="single" w:color="auto" w:sz="4" w:space="0"/>
                    <w:bottom w:val="single" w:color="auto" w:sz="4" w:space="0"/>
                    <w:right w:val="single" w:color="auto" w:sz="4" w:space="0"/>
                  </w:tcBorders>
                  <w:vAlign w:val="center"/>
                </w:tcPr>
                <w:p w14:paraId="77927F78">
                  <w:pPr>
                    <w:adjustRightInd w:val="0"/>
                    <w:snapToGrid w:val="0"/>
                    <w:jc w:val="center"/>
                    <w:rPr>
                      <w:rFonts w:hint="default" w:ascii="Times New Roman" w:hAnsi="Times New Roman" w:cs="Times New Roman"/>
                      <w:color w:val="000000"/>
                      <w:sz w:val="18"/>
                      <w:szCs w:val="18"/>
                    </w:rPr>
                  </w:pPr>
                  <w:r>
                    <w:rPr>
                      <w:rFonts w:hint="default" w:ascii="Times New Roman" w:hAnsi="Times New Roman" w:eastAsia="宋体" w:cs="Times New Roman"/>
                      <w:sz w:val="18"/>
                      <w:szCs w:val="18"/>
                      <w:lang w:val="en-US" w:eastAsia="zh-CN"/>
                    </w:rPr>
                    <w:t>CO、HC等</w:t>
                  </w:r>
                </w:p>
              </w:tc>
              <w:tc>
                <w:tcPr>
                  <w:tcW w:w="1385" w:type="pct"/>
                  <w:tcBorders>
                    <w:top w:val="single" w:color="auto" w:sz="4" w:space="0"/>
                    <w:left w:val="single" w:color="auto" w:sz="4" w:space="0"/>
                    <w:bottom w:val="single" w:color="auto" w:sz="4" w:space="0"/>
                    <w:right w:val="single" w:color="auto" w:sz="4" w:space="0"/>
                  </w:tcBorders>
                  <w:vAlign w:val="center"/>
                </w:tcPr>
                <w:p w14:paraId="64A2E5B0">
                  <w:pPr>
                    <w:adjustRightInd w:val="0"/>
                    <w:snapToGrid w:val="0"/>
                    <w:jc w:val="center"/>
                    <w:rPr>
                      <w:rFonts w:hint="default" w:ascii="Times New Roman" w:hAnsi="Times New Roman" w:cs="Times New Roman"/>
                      <w:color w:val="000000"/>
                      <w:kern w:val="0"/>
                      <w:sz w:val="18"/>
                      <w:szCs w:val="18"/>
                    </w:rPr>
                  </w:pPr>
                  <w:r>
                    <w:rPr>
                      <w:rFonts w:hint="default" w:ascii="Times New Roman" w:hAnsi="Times New Roman" w:eastAsia="宋体" w:cs="Times New Roman"/>
                      <w:sz w:val="18"/>
                      <w:szCs w:val="18"/>
                      <w:lang w:val="en-US" w:eastAsia="zh-CN"/>
                    </w:rPr>
                    <w:t>采取使用符合国家标准要求的施工机械并定期检修</w:t>
                  </w:r>
                </w:p>
              </w:tc>
              <w:tc>
                <w:tcPr>
                  <w:tcW w:w="1253" w:type="pct"/>
                  <w:tcBorders>
                    <w:top w:val="single" w:color="auto" w:sz="4" w:space="0"/>
                    <w:left w:val="single" w:color="auto" w:sz="4" w:space="0"/>
                    <w:bottom w:val="single" w:color="auto" w:sz="4" w:space="0"/>
                    <w:right w:val="single" w:color="auto" w:sz="4" w:space="0"/>
                  </w:tcBorders>
                  <w:vAlign w:val="center"/>
                </w:tcPr>
                <w:p w14:paraId="682A7474">
                  <w:pPr>
                    <w:widowControl/>
                    <w:jc w:val="left"/>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加强设备的维护保养</w:t>
                  </w:r>
                </w:p>
              </w:tc>
              <w:tc>
                <w:tcPr>
                  <w:tcW w:w="390" w:type="pct"/>
                  <w:vMerge w:val="continue"/>
                  <w:tcBorders>
                    <w:top w:val="single" w:color="auto" w:sz="4" w:space="0"/>
                    <w:left w:val="single" w:color="auto" w:sz="4" w:space="0"/>
                    <w:bottom w:val="single" w:color="auto" w:sz="4" w:space="0"/>
                    <w:right w:val="nil"/>
                  </w:tcBorders>
                  <w:vAlign w:val="center"/>
                </w:tcPr>
                <w:p w14:paraId="0386FE3C">
                  <w:pPr>
                    <w:widowControl/>
                    <w:jc w:val="center"/>
                    <w:rPr>
                      <w:rFonts w:hint="default" w:ascii="Times New Roman" w:hAnsi="Times New Roman" w:cs="Times New Roman"/>
                      <w:color w:val="000000"/>
                      <w:sz w:val="18"/>
                      <w:szCs w:val="18"/>
                    </w:rPr>
                  </w:pPr>
                </w:p>
              </w:tc>
              <w:tc>
                <w:tcPr>
                  <w:tcW w:w="390" w:type="pct"/>
                  <w:vMerge w:val="continue"/>
                  <w:tcBorders>
                    <w:left w:val="single" w:color="auto" w:sz="4" w:space="0"/>
                    <w:bottom w:val="single" w:color="auto" w:sz="4" w:space="0"/>
                    <w:right w:val="nil"/>
                  </w:tcBorders>
                  <w:vAlign w:val="center"/>
                </w:tcPr>
                <w:p w14:paraId="0227DD3F">
                  <w:pPr>
                    <w:widowControl/>
                    <w:jc w:val="center"/>
                    <w:rPr>
                      <w:rFonts w:hint="default" w:ascii="Times New Roman" w:hAnsi="Times New Roman" w:cs="Times New Roman"/>
                      <w:color w:val="000000"/>
                      <w:sz w:val="18"/>
                      <w:szCs w:val="18"/>
                    </w:rPr>
                  </w:pPr>
                </w:p>
              </w:tc>
            </w:tr>
            <w:tr w14:paraId="36CCF4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07" w:type="pct"/>
                  <w:vMerge w:val="continue"/>
                  <w:tcBorders>
                    <w:top w:val="single" w:color="auto" w:sz="4" w:space="0"/>
                    <w:left w:val="nil"/>
                    <w:bottom w:val="single" w:color="auto" w:sz="4" w:space="0"/>
                    <w:right w:val="single" w:color="auto" w:sz="4" w:space="0"/>
                  </w:tcBorders>
                  <w:vAlign w:val="center"/>
                </w:tcPr>
                <w:p w14:paraId="7C33FE0B">
                  <w:pPr>
                    <w:widowControl/>
                    <w:jc w:val="left"/>
                    <w:rPr>
                      <w:rFonts w:hint="default" w:ascii="Times New Roman" w:hAnsi="Times New Roman" w:cs="Times New Roman"/>
                      <w:color w:val="000000"/>
                      <w:sz w:val="18"/>
                      <w:szCs w:val="18"/>
                    </w:rPr>
                  </w:pPr>
                </w:p>
              </w:tc>
              <w:tc>
                <w:tcPr>
                  <w:tcW w:w="703" w:type="pct"/>
                  <w:gridSpan w:val="2"/>
                  <w:tcBorders>
                    <w:top w:val="single" w:color="auto" w:sz="4" w:space="0"/>
                    <w:left w:val="single" w:color="auto" w:sz="4" w:space="0"/>
                    <w:bottom w:val="single" w:color="auto" w:sz="4" w:space="0"/>
                    <w:right w:val="single" w:color="auto" w:sz="4" w:space="0"/>
                  </w:tcBorders>
                  <w:vAlign w:val="center"/>
                </w:tcPr>
                <w:p w14:paraId="7609027E">
                  <w:pPr>
                    <w:adjustRightInd w:val="0"/>
                    <w:snapToGrid w:val="0"/>
                    <w:jc w:val="center"/>
                    <w:rPr>
                      <w:rFonts w:hint="default" w:ascii="Times New Roman" w:hAnsi="Times New Roman" w:cs="Times New Roman"/>
                      <w:color w:val="000000"/>
                      <w:sz w:val="18"/>
                      <w:szCs w:val="21"/>
                    </w:rPr>
                  </w:pPr>
                  <w:r>
                    <w:rPr>
                      <w:rFonts w:hint="default" w:ascii="Times New Roman" w:hAnsi="Times New Roman" w:cs="Times New Roman"/>
                      <w:kern w:val="0"/>
                      <w:sz w:val="18"/>
                      <w:szCs w:val="18"/>
                    </w:rPr>
                    <w:t>生活污水</w:t>
                  </w:r>
                </w:p>
              </w:tc>
              <w:tc>
                <w:tcPr>
                  <w:tcW w:w="570" w:type="pct"/>
                  <w:tcBorders>
                    <w:top w:val="single" w:color="auto" w:sz="4" w:space="0"/>
                    <w:left w:val="single" w:color="auto" w:sz="4" w:space="0"/>
                    <w:bottom w:val="single" w:color="auto" w:sz="4" w:space="0"/>
                    <w:right w:val="single" w:color="auto" w:sz="4" w:space="0"/>
                  </w:tcBorders>
                  <w:vAlign w:val="center"/>
                </w:tcPr>
                <w:p w14:paraId="7D07DE90">
                  <w:pPr>
                    <w:adjustRightInd w:val="0"/>
                    <w:snapToGrid w:val="0"/>
                    <w:jc w:val="center"/>
                    <w:rPr>
                      <w:rFonts w:hint="default" w:ascii="Times New Roman" w:hAnsi="Times New Roman" w:cs="Times New Roman"/>
                      <w:color w:val="000000"/>
                      <w:sz w:val="18"/>
                      <w:szCs w:val="21"/>
                    </w:rPr>
                  </w:pPr>
                  <w:r>
                    <w:rPr>
                      <w:rFonts w:hint="default" w:ascii="Times New Roman" w:hAnsi="Times New Roman" w:cs="Times New Roman"/>
                      <w:kern w:val="0"/>
                      <w:sz w:val="18"/>
                      <w:szCs w:val="18"/>
                    </w:rPr>
                    <w:t>COD、BOD</w:t>
                  </w:r>
                  <w:r>
                    <w:rPr>
                      <w:rFonts w:hint="default" w:ascii="Times New Roman" w:hAnsi="Times New Roman" w:cs="Times New Roman"/>
                      <w:kern w:val="0"/>
                      <w:sz w:val="18"/>
                      <w:szCs w:val="18"/>
                      <w:vertAlign w:val="subscript"/>
                    </w:rPr>
                    <w:t>5</w:t>
                  </w:r>
                  <w:r>
                    <w:rPr>
                      <w:rFonts w:hint="default" w:ascii="Times New Roman" w:hAnsi="Times New Roman" w:cs="Times New Roman"/>
                      <w:kern w:val="0"/>
                      <w:sz w:val="18"/>
                      <w:szCs w:val="18"/>
                    </w:rPr>
                    <w:t>、氨氮、SS等</w:t>
                  </w:r>
                </w:p>
              </w:tc>
              <w:tc>
                <w:tcPr>
                  <w:tcW w:w="1385" w:type="pct"/>
                  <w:tcBorders>
                    <w:top w:val="single" w:color="auto" w:sz="4" w:space="0"/>
                    <w:left w:val="single" w:color="auto" w:sz="4" w:space="0"/>
                    <w:bottom w:val="single" w:color="auto" w:sz="4" w:space="0"/>
                    <w:right w:val="single" w:color="auto" w:sz="4" w:space="0"/>
                  </w:tcBorders>
                  <w:vAlign w:val="center"/>
                </w:tcPr>
                <w:p w14:paraId="0C61ADDF">
                  <w:pPr>
                    <w:adjustRightInd w:val="0"/>
                    <w:snapToGrid w:val="0"/>
                    <w:jc w:val="center"/>
                    <w:rPr>
                      <w:rFonts w:hint="default" w:ascii="Times New Roman" w:hAnsi="Times New Roman" w:cs="Times New Roman"/>
                      <w:color w:val="000000"/>
                      <w:sz w:val="18"/>
                      <w:szCs w:val="21"/>
                    </w:rPr>
                  </w:pPr>
                  <w:r>
                    <w:rPr>
                      <w:rFonts w:hint="default" w:ascii="Times New Roman" w:hAnsi="Times New Roman" w:eastAsia="宋体" w:cs="Times New Roman"/>
                      <w:sz w:val="18"/>
                      <w:szCs w:val="18"/>
                      <w:lang w:eastAsia="zh-CN"/>
                    </w:rPr>
                    <w:t>依托周边居民区进行解决</w:t>
                  </w:r>
                </w:p>
              </w:tc>
              <w:tc>
                <w:tcPr>
                  <w:tcW w:w="1253" w:type="pct"/>
                  <w:tcBorders>
                    <w:top w:val="single" w:color="auto" w:sz="4" w:space="0"/>
                    <w:left w:val="single" w:color="auto" w:sz="4" w:space="0"/>
                    <w:bottom w:val="single" w:color="auto" w:sz="4" w:space="0"/>
                    <w:right w:val="single" w:color="auto" w:sz="4" w:space="0"/>
                  </w:tcBorders>
                  <w:vAlign w:val="center"/>
                </w:tcPr>
                <w:p w14:paraId="01DBD2DA">
                  <w:pPr>
                    <w:adjustRightInd w:val="0"/>
                    <w:snapToGrid w:val="0"/>
                    <w:jc w:val="center"/>
                    <w:rPr>
                      <w:rFonts w:hint="default" w:ascii="Times New Roman" w:hAnsi="Times New Roman" w:cs="Times New Roman"/>
                      <w:color w:val="000000"/>
                      <w:sz w:val="18"/>
                      <w:szCs w:val="18"/>
                    </w:rPr>
                  </w:pPr>
                  <w:r>
                    <w:rPr>
                      <w:rFonts w:hint="default" w:ascii="Times New Roman" w:hAnsi="Times New Roman" w:eastAsia="宋体" w:cs="Times New Roman"/>
                      <w:sz w:val="18"/>
                      <w:szCs w:val="18"/>
                      <w:lang w:eastAsia="zh-CN"/>
                    </w:rPr>
                    <w:t>依托周边居民区进行解决</w:t>
                  </w:r>
                </w:p>
              </w:tc>
              <w:tc>
                <w:tcPr>
                  <w:tcW w:w="390" w:type="pct"/>
                  <w:vMerge w:val="restart"/>
                  <w:tcBorders>
                    <w:top w:val="single" w:color="auto" w:sz="4" w:space="0"/>
                    <w:left w:val="single" w:color="auto" w:sz="4" w:space="0"/>
                    <w:bottom w:val="single" w:color="auto" w:sz="4" w:space="0"/>
                    <w:right w:val="nil"/>
                  </w:tcBorders>
                  <w:vAlign w:val="center"/>
                </w:tcPr>
                <w:p w14:paraId="1C1E1F2E">
                  <w:pPr>
                    <w:adjustRightInd w:val="0"/>
                    <w:snapToGrid w:val="0"/>
                    <w:jc w:val="center"/>
                    <w:rPr>
                      <w:rFonts w:hint="default" w:ascii="Times New Roman" w:hAnsi="Times New Roman" w:eastAsia="宋体" w:cs="Times New Roman"/>
                      <w:color w:val="000000"/>
                      <w:sz w:val="18"/>
                      <w:szCs w:val="18"/>
                      <w:lang w:val="en-US" w:eastAsia="zh-CN"/>
                    </w:rPr>
                  </w:pPr>
                  <w:r>
                    <w:rPr>
                      <w:rFonts w:hint="default" w:ascii="Times New Roman" w:hAnsi="Times New Roman" w:cs="Times New Roman"/>
                      <w:color w:val="000000"/>
                      <w:sz w:val="18"/>
                      <w:szCs w:val="18"/>
                      <w:lang w:val="en-US" w:eastAsia="zh-CN"/>
                    </w:rPr>
                    <w:t>52</w:t>
                  </w:r>
                </w:p>
              </w:tc>
              <w:tc>
                <w:tcPr>
                  <w:tcW w:w="390" w:type="pct"/>
                  <w:vMerge w:val="restart"/>
                  <w:tcBorders>
                    <w:top w:val="single" w:color="auto" w:sz="4" w:space="0"/>
                    <w:left w:val="single" w:color="auto" w:sz="4" w:space="0"/>
                    <w:right w:val="nil"/>
                  </w:tcBorders>
                  <w:vAlign w:val="center"/>
                </w:tcPr>
                <w:p w14:paraId="04B62562">
                  <w:pPr>
                    <w:adjustRightInd w:val="0"/>
                    <w:snapToGrid w:val="0"/>
                    <w:jc w:val="center"/>
                    <w:rPr>
                      <w:rFonts w:hint="default" w:ascii="Times New Roman" w:hAnsi="Times New Roman" w:eastAsia="宋体" w:cs="Times New Roman"/>
                      <w:color w:val="000000"/>
                      <w:sz w:val="18"/>
                      <w:szCs w:val="18"/>
                      <w:lang w:val="en-US" w:eastAsia="zh-CN"/>
                    </w:rPr>
                  </w:pPr>
                  <w:r>
                    <w:rPr>
                      <w:rFonts w:hint="default" w:ascii="Times New Roman" w:hAnsi="Times New Roman" w:cs="Times New Roman"/>
                      <w:color w:val="000000"/>
                      <w:sz w:val="18"/>
                      <w:szCs w:val="18"/>
                      <w:lang w:val="en-US" w:eastAsia="zh-CN"/>
                    </w:rPr>
                    <w:t>52</w:t>
                  </w:r>
                </w:p>
              </w:tc>
            </w:tr>
            <w:tr w14:paraId="77B57D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07" w:type="pct"/>
                  <w:vMerge w:val="continue"/>
                  <w:tcBorders>
                    <w:top w:val="single" w:color="auto" w:sz="4" w:space="0"/>
                    <w:left w:val="nil"/>
                    <w:bottom w:val="single" w:color="auto" w:sz="4" w:space="0"/>
                    <w:right w:val="single" w:color="auto" w:sz="4" w:space="0"/>
                  </w:tcBorders>
                  <w:vAlign w:val="center"/>
                </w:tcPr>
                <w:p w14:paraId="63F3BB5D">
                  <w:pPr>
                    <w:widowControl/>
                    <w:jc w:val="left"/>
                    <w:rPr>
                      <w:rFonts w:hint="default" w:ascii="Times New Roman" w:hAnsi="Times New Roman" w:cs="Times New Roman"/>
                      <w:color w:val="000000"/>
                      <w:sz w:val="18"/>
                      <w:szCs w:val="18"/>
                    </w:rPr>
                  </w:pPr>
                </w:p>
              </w:tc>
              <w:tc>
                <w:tcPr>
                  <w:tcW w:w="703" w:type="pct"/>
                  <w:gridSpan w:val="2"/>
                  <w:tcBorders>
                    <w:top w:val="single" w:color="auto" w:sz="4" w:space="0"/>
                    <w:left w:val="single" w:color="auto" w:sz="4" w:space="0"/>
                    <w:bottom w:val="single" w:color="auto" w:sz="4" w:space="0"/>
                    <w:right w:val="single" w:color="auto" w:sz="4" w:space="0"/>
                  </w:tcBorders>
                  <w:vAlign w:val="center"/>
                </w:tcPr>
                <w:p w14:paraId="5A3F7CEE">
                  <w:pPr>
                    <w:adjustRightInd w:val="0"/>
                    <w:snapToGrid w:val="0"/>
                    <w:jc w:val="center"/>
                    <w:rPr>
                      <w:rFonts w:hint="default" w:ascii="Times New Roman" w:hAnsi="Times New Roman" w:cs="Times New Roman"/>
                      <w:color w:val="000000"/>
                      <w:sz w:val="18"/>
                      <w:szCs w:val="21"/>
                    </w:rPr>
                  </w:pPr>
                  <w:r>
                    <w:rPr>
                      <w:rFonts w:hint="default" w:ascii="Times New Roman" w:hAnsi="Times New Roman" w:eastAsia="宋体" w:cs="Times New Roman"/>
                      <w:sz w:val="18"/>
                      <w:szCs w:val="18"/>
                      <w:lang w:eastAsia="zh-CN"/>
                    </w:rPr>
                    <w:t>砂浆</w:t>
                  </w:r>
                </w:p>
              </w:tc>
              <w:tc>
                <w:tcPr>
                  <w:tcW w:w="570" w:type="pct"/>
                  <w:tcBorders>
                    <w:top w:val="single" w:color="auto" w:sz="4" w:space="0"/>
                    <w:left w:val="single" w:color="auto" w:sz="4" w:space="0"/>
                    <w:bottom w:val="single" w:color="auto" w:sz="4" w:space="0"/>
                    <w:right w:val="single" w:color="auto" w:sz="4" w:space="0"/>
                  </w:tcBorders>
                  <w:vAlign w:val="center"/>
                </w:tcPr>
                <w:p w14:paraId="7ECE7191">
                  <w:pPr>
                    <w:adjustRightInd w:val="0"/>
                    <w:snapToGrid w:val="0"/>
                    <w:jc w:val="center"/>
                    <w:rPr>
                      <w:rFonts w:hint="default" w:ascii="Times New Roman" w:hAnsi="Times New Roman" w:cs="Times New Roman"/>
                      <w:color w:val="000000"/>
                      <w:sz w:val="18"/>
                      <w:szCs w:val="21"/>
                    </w:rPr>
                  </w:pPr>
                  <w:r>
                    <w:rPr>
                      <w:rFonts w:hint="default" w:ascii="Times New Roman" w:hAnsi="Times New Roman" w:eastAsia="宋体" w:cs="Times New Roman"/>
                      <w:sz w:val="18"/>
                      <w:szCs w:val="18"/>
                      <w:lang w:val="en-US" w:eastAsia="zh-CN"/>
                    </w:rPr>
                    <w:t>SS</w:t>
                  </w:r>
                </w:p>
              </w:tc>
              <w:tc>
                <w:tcPr>
                  <w:tcW w:w="1385" w:type="pct"/>
                  <w:tcBorders>
                    <w:top w:val="single" w:color="auto" w:sz="4" w:space="0"/>
                    <w:left w:val="single" w:color="auto" w:sz="4" w:space="0"/>
                    <w:bottom w:val="single" w:color="auto" w:sz="4" w:space="0"/>
                    <w:right w:val="single" w:color="auto" w:sz="4" w:space="0"/>
                  </w:tcBorders>
                  <w:vAlign w:val="center"/>
                </w:tcPr>
                <w:p w14:paraId="06BBBC0E">
                  <w:pPr>
                    <w:adjustRightInd w:val="0"/>
                    <w:snapToGrid w:val="0"/>
                    <w:jc w:val="center"/>
                    <w:rPr>
                      <w:rFonts w:hint="default" w:ascii="Times New Roman" w:hAnsi="Times New Roman" w:cs="Times New Roman"/>
                      <w:color w:val="000000"/>
                      <w:sz w:val="18"/>
                      <w:szCs w:val="21"/>
                    </w:rPr>
                  </w:pPr>
                  <w:r>
                    <w:rPr>
                      <w:rFonts w:hint="default" w:ascii="Times New Roman" w:hAnsi="Times New Roman" w:eastAsia="宋体" w:cs="Times New Roman"/>
                      <w:sz w:val="18"/>
                      <w:szCs w:val="18"/>
                      <w:lang w:eastAsia="zh-CN"/>
                    </w:rPr>
                    <w:t>经设置的临时沉淀池（金属结构）先进行沉淀处理后，上清液回用于场区洒水降尘，下层泥沙经沉淀池晾晒处理后按《市人民政府关于加强施工渣土管理的通告》要求运至政府指定场所进行处理</w:t>
                  </w:r>
                </w:p>
              </w:tc>
              <w:tc>
                <w:tcPr>
                  <w:tcW w:w="1253" w:type="pct"/>
                  <w:tcBorders>
                    <w:top w:val="single" w:color="auto" w:sz="4" w:space="0"/>
                    <w:left w:val="single" w:color="auto" w:sz="4" w:space="0"/>
                    <w:bottom w:val="single" w:color="auto" w:sz="4" w:space="0"/>
                    <w:right w:val="single" w:color="auto" w:sz="4" w:space="0"/>
                  </w:tcBorders>
                  <w:vAlign w:val="center"/>
                </w:tcPr>
                <w:p w14:paraId="7C61A09D">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设置临时沉淀池，通过</w:t>
                  </w:r>
                  <w:r>
                    <w:rPr>
                      <w:rFonts w:hint="default" w:ascii="Times New Roman" w:hAnsi="Times New Roman" w:cs="Times New Roman"/>
                      <w:color w:val="000000"/>
                      <w:sz w:val="18"/>
                    </w:rPr>
                    <w:t>“沉淀+晾晒”处理后上清液回用于场区洒水降尘</w:t>
                  </w:r>
                </w:p>
              </w:tc>
              <w:tc>
                <w:tcPr>
                  <w:tcW w:w="390" w:type="pct"/>
                  <w:vMerge w:val="continue"/>
                  <w:tcBorders>
                    <w:top w:val="single" w:color="auto" w:sz="4" w:space="0"/>
                    <w:left w:val="single" w:color="auto" w:sz="4" w:space="0"/>
                    <w:bottom w:val="single" w:color="auto" w:sz="4" w:space="0"/>
                    <w:right w:val="nil"/>
                  </w:tcBorders>
                  <w:vAlign w:val="center"/>
                </w:tcPr>
                <w:p w14:paraId="5345774A">
                  <w:pPr>
                    <w:widowControl/>
                    <w:jc w:val="center"/>
                    <w:rPr>
                      <w:rFonts w:hint="default" w:ascii="Times New Roman" w:hAnsi="Times New Roman" w:cs="Times New Roman"/>
                      <w:color w:val="000000"/>
                      <w:sz w:val="18"/>
                      <w:szCs w:val="18"/>
                    </w:rPr>
                  </w:pPr>
                </w:p>
              </w:tc>
              <w:tc>
                <w:tcPr>
                  <w:tcW w:w="390" w:type="pct"/>
                  <w:vMerge w:val="continue"/>
                  <w:tcBorders>
                    <w:left w:val="single" w:color="auto" w:sz="4" w:space="0"/>
                    <w:bottom w:val="single" w:color="auto" w:sz="4" w:space="0"/>
                    <w:right w:val="nil"/>
                  </w:tcBorders>
                  <w:vAlign w:val="center"/>
                </w:tcPr>
                <w:p w14:paraId="7D00D5CC">
                  <w:pPr>
                    <w:widowControl/>
                    <w:jc w:val="center"/>
                    <w:rPr>
                      <w:rFonts w:hint="default" w:ascii="Times New Roman" w:hAnsi="Times New Roman" w:cs="Times New Roman"/>
                      <w:color w:val="000000"/>
                      <w:sz w:val="18"/>
                      <w:szCs w:val="18"/>
                    </w:rPr>
                  </w:pPr>
                </w:p>
              </w:tc>
            </w:tr>
            <w:tr w14:paraId="373297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07" w:type="pct"/>
                  <w:vMerge w:val="continue"/>
                  <w:tcBorders>
                    <w:top w:val="single" w:color="auto" w:sz="4" w:space="0"/>
                    <w:left w:val="nil"/>
                    <w:bottom w:val="single" w:color="auto" w:sz="4" w:space="0"/>
                    <w:right w:val="single" w:color="auto" w:sz="4" w:space="0"/>
                  </w:tcBorders>
                  <w:vAlign w:val="center"/>
                </w:tcPr>
                <w:p w14:paraId="62897C1C">
                  <w:pPr>
                    <w:widowControl/>
                    <w:jc w:val="left"/>
                    <w:rPr>
                      <w:rFonts w:hint="default" w:ascii="Times New Roman" w:hAnsi="Times New Roman" w:cs="Times New Roman"/>
                      <w:color w:val="000000"/>
                      <w:sz w:val="18"/>
                      <w:szCs w:val="18"/>
                    </w:rPr>
                  </w:pPr>
                </w:p>
              </w:tc>
              <w:tc>
                <w:tcPr>
                  <w:tcW w:w="703" w:type="pct"/>
                  <w:gridSpan w:val="2"/>
                  <w:tcBorders>
                    <w:top w:val="single" w:color="auto" w:sz="4" w:space="0"/>
                    <w:left w:val="single" w:color="auto" w:sz="4" w:space="0"/>
                    <w:bottom w:val="single" w:color="auto" w:sz="4" w:space="0"/>
                    <w:right w:val="single" w:color="auto" w:sz="4" w:space="0"/>
                  </w:tcBorders>
                  <w:vAlign w:val="center"/>
                </w:tcPr>
                <w:p w14:paraId="06CE806E">
                  <w:pPr>
                    <w:adjustRightInd w:val="0"/>
                    <w:snapToGrid w:val="0"/>
                    <w:jc w:val="center"/>
                    <w:rPr>
                      <w:rFonts w:hint="default" w:ascii="Times New Roman" w:hAnsi="Times New Roman" w:cs="Times New Roman"/>
                      <w:color w:val="000000"/>
                      <w:sz w:val="18"/>
                    </w:rPr>
                  </w:pPr>
                  <w:r>
                    <w:rPr>
                      <w:rFonts w:hint="default" w:ascii="Times New Roman" w:hAnsi="Times New Roman" w:eastAsia="宋体" w:cs="Times New Roman"/>
                      <w:sz w:val="18"/>
                      <w:szCs w:val="18"/>
                      <w:lang w:eastAsia="zh-CN"/>
                    </w:rPr>
                    <w:t>生活垃圾</w:t>
                  </w:r>
                </w:p>
              </w:tc>
              <w:tc>
                <w:tcPr>
                  <w:tcW w:w="570" w:type="pct"/>
                  <w:tcBorders>
                    <w:top w:val="single" w:color="auto" w:sz="4" w:space="0"/>
                    <w:left w:val="single" w:color="auto" w:sz="4" w:space="0"/>
                    <w:bottom w:val="single" w:color="auto" w:sz="4" w:space="0"/>
                    <w:right w:val="single" w:color="auto" w:sz="4" w:space="0"/>
                  </w:tcBorders>
                  <w:vAlign w:val="center"/>
                </w:tcPr>
                <w:p w14:paraId="2926B852">
                  <w:pPr>
                    <w:adjustRightInd w:val="0"/>
                    <w:snapToGrid w:val="0"/>
                    <w:jc w:val="center"/>
                    <w:rPr>
                      <w:rFonts w:hint="default" w:ascii="Times New Roman" w:hAnsi="Times New Roman" w:cs="Times New Roman"/>
                      <w:color w:val="000000"/>
                      <w:sz w:val="18"/>
                    </w:rPr>
                  </w:pPr>
                  <w:r>
                    <w:rPr>
                      <w:rFonts w:hint="default" w:ascii="Times New Roman" w:hAnsi="Times New Roman" w:eastAsia="宋体" w:cs="Times New Roman"/>
                      <w:sz w:val="18"/>
                      <w:szCs w:val="18"/>
                      <w:lang w:eastAsia="zh-CN"/>
                    </w:rPr>
                    <w:t>生活垃圾</w:t>
                  </w:r>
                </w:p>
              </w:tc>
              <w:tc>
                <w:tcPr>
                  <w:tcW w:w="1385" w:type="pct"/>
                  <w:tcBorders>
                    <w:top w:val="single" w:color="auto" w:sz="4" w:space="0"/>
                    <w:left w:val="single" w:color="auto" w:sz="4" w:space="0"/>
                    <w:bottom w:val="single" w:color="auto" w:sz="4" w:space="0"/>
                    <w:right w:val="single" w:color="auto" w:sz="4" w:space="0"/>
                  </w:tcBorders>
                  <w:vAlign w:val="center"/>
                </w:tcPr>
                <w:p w14:paraId="27CD5958">
                  <w:pPr>
                    <w:adjustRightInd w:val="0"/>
                    <w:snapToGrid w:val="0"/>
                    <w:jc w:val="center"/>
                    <w:rPr>
                      <w:rFonts w:hint="default" w:ascii="Times New Roman" w:hAnsi="Times New Roman" w:cs="Times New Roman"/>
                      <w:color w:val="000000"/>
                      <w:sz w:val="18"/>
                    </w:rPr>
                  </w:pPr>
                  <w:r>
                    <w:rPr>
                      <w:rFonts w:hint="default" w:ascii="Times New Roman" w:hAnsi="Times New Roman" w:eastAsia="宋体" w:cs="Times New Roman"/>
                      <w:sz w:val="18"/>
                      <w:szCs w:val="18"/>
                      <w:lang w:eastAsia="zh-CN"/>
                    </w:rPr>
                    <w:t>利用现有生活垃圾收集系统集中存放，定期交环卫部门清理</w:t>
                  </w:r>
                </w:p>
              </w:tc>
              <w:tc>
                <w:tcPr>
                  <w:tcW w:w="1253" w:type="pct"/>
                  <w:tcBorders>
                    <w:top w:val="single" w:color="auto" w:sz="4" w:space="0"/>
                    <w:left w:val="single" w:color="auto" w:sz="4" w:space="0"/>
                    <w:bottom w:val="single" w:color="auto" w:sz="4" w:space="0"/>
                    <w:right w:val="single" w:color="auto" w:sz="4" w:space="0"/>
                  </w:tcBorders>
                  <w:vAlign w:val="center"/>
                </w:tcPr>
                <w:p w14:paraId="381B9E9C">
                  <w:pPr>
                    <w:adjustRightInd w:val="0"/>
                    <w:snapToGrid w:val="0"/>
                    <w:jc w:val="center"/>
                    <w:rPr>
                      <w:rFonts w:hint="default" w:ascii="Times New Roman" w:hAnsi="Times New Roman" w:cs="Times New Roman"/>
                      <w:color w:val="000000"/>
                      <w:sz w:val="18"/>
                      <w:szCs w:val="18"/>
                    </w:rPr>
                  </w:pPr>
                  <w:r>
                    <w:rPr>
                      <w:rFonts w:hint="default" w:ascii="Times New Roman" w:hAnsi="Times New Roman" w:eastAsia="宋体" w:cs="Times New Roman"/>
                      <w:sz w:val="18"/>
                      <w:szCs w:val="18"/>
                      <w:lang w:eastAsia="zh-CN"/>
                    </w:rPr>
                    <w:t>利用现有生活垃圾收集系统集中存放，定期交环卫部门清理</w:t>
                  </w:r>
                </w:p>
              </w:tc>
              <w:tc>
                <w:tcPr>
                  <w:tcW w:w="390" w:type="pct"/>
                  <w:tcBorders>
                    <w:top w:val="single" w:color="auto" w:sz="4" w:space="0"/>
                    <w:left w:val="single" w:color="auto" w:sz="4" w:space="0"/>
                    <w:bottom w:val="single" w:color="auto" w:sz="4" w:space="0"/>
                    <w:right w:val="nil"/>
                  </w:tcBorders>
                  <w:vAlign w:val="center"/>
                </w:tcPr>
                <w:p w14:paraId="6E124091">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3</w:t>
                  </w:r>
                </w:p>
              </w:tc>
              <w:tc>
                <w:tcPr>
                  <w:tcW w:w="390" w:type="pct"/>
                  <w:tcBorders>
                    <w:top w:val="single" w:color="auto" w:sz="4" w:space="0"/>
                    <w:left w:val="single" w:color="auto" w:sz="4" w:space="0"/>
                    <w:bottom w:val="single" w:color="auto" w:sz="4" w:space="0"/>
                    <w:right w:val="nil"/>
                  </w:tcBorders>
                  <w:vAlign w:val="center"/>
                </w:tcPr>
                <w:p w14:paraId="270890CF">
                  <w:pPr>
                    <w:adjustRightInd w:val="0"/>
                    <w:snapToGrid w:val="0"/>
                    <w:jc w:val="center"/>
                    <w:rPr>
                      <w:rFonts w:hint="default" w:ascii="Times New Roman" w:hAnsi="Times New Roman" w:eastAsia="宋体" w:cs="Times New Roman"/>
                      <w:color w:val="000000"/>
                      <w:sz w:val="18"/>
                      <w:szCs w:val="18"/>
                      <w:lang w:eastAsia="zh-CN"/>
                    </w:rPr>
                  </w:pPr>
                  <w:r>
                    <w:rPr>
                      <w:rFonts w:hint="default" w:ascii="Times New Roman" w:hAnsi="Times New Roman" w:cs="Times New Roman"/>
                      <w:color w:val="000000"/>
                      <w:sz w:val="18"/>
                      <w:szCs w:val="18"/>
                      <w:lang w:val="en-US" w:eastAsia="zh-CN"/>
                    </w:rPr>
                    <w:t>8</w:t>
                  </w:r>
                </w:p>
              </w:tc>
            </w:tr>
            <w:tr w14:paraId="7F3D6C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07" w:type="pct"/>
                  <w:vMerge w:val="continue"/>
                  <w:tcBorders>
                    <w:top w:val="single" w:color="auto" w:sz="4" w:space="0"/>
                    <w:left w:val="nil"/>
                    <w:bottom w:val="single" w:color="auto" w:sz="4" w:space="0"/>
                    <w:right w:val="single" w:color="auto" w:sz="4" w:space="0"/>
                  </w:tcBorders>
                  <w:vAlign w:val="center"/>
                </w:tcPr>
                <w:p w14:paraId="4258C58D">
                  <w:pPr>
                    <w:widowControl/>
                    <w:jc w:val="left"/>
                    <w:rPr>
                      <w:rFonts w:hint="default" w:ascii="Times New Roman" w:hAnsi="Times New Roman" w:cs="Times New Roman"/>
                      <w:color w:val="000000"/>
                      <w:sz w:val="18"/>
                      <w:szCs w:val="18"/>
                    </w:rPr>
                  </w:pPr>
                </w:p>
              </w:tc>
              <w:tc>
                <w:tcPr>
                  <w:tcW w:w="703" w:type="pct"/>
                  <w:gridSpan w:val="2"/>
                  <w:tcBorders>
                    <w:top w:val="single" w:color="auto" w:sz="4" w:space="0"/>
                    <w:left w:val="single" w:color="auto" w:sz="4" w:space="0"/>
                    <w:bottom w:val="single" w:color="auto" w:sz="4" w:space="0"/>
                    <w:right w:val="single" w:color="auto" w:sz="4" w:space="0"/>
                  </w:tcBorders>
                  <w:vAlign w:val="center"/>
                </w:tcPr>
                <w:p w14:paraId="71731E02">
                  <w:pPr>
                    <w:adjustRightInd w:val="0"/>
                    <w:snapToGrid w:val="0"/>
                    <w:jc w:val="center"/>
                    <w:rPr>
                      <w:rFonts w:hint="default" w:ascii="Times New Roman" w:hAnsi="Times New Roman" w:cs="Times New Roman"/>
                      <w:color w:val="000000"/>
                      <w:sz w:val="18"/>
                      <w:szCs w:val="18"/>
                    </w:rPr>
                  </w:pPr>
                  <w:r>
                    <w:rPr>
                      <w:rFonts w:hint="default" w:ascii="Times New Roman" w:hAnsi="Times New Roman" w:eastAsia="宋体" w:cs="Times New Roman"/>
                      <w:sz w:val="18"/>
                      <w:szCs w:val="18"/>
                      <w:lang w:eastAsia="zh-CN"/>
                    </w:rPr>
                    <w:t>建筑垃圾</w:t>
                  </w:r>
                </w:p>
              </w:tc>
              <w:tc>
                <w:tcPr>
                  <w:tcW w:w="570" w:type="pct"/>
                  <w:tcBorders>
                    <w:top w:val="single" w:color="auto" w:sz="4" w:space="0"/>
                    <w:left w:val="single" w:color="auto" w:sz="4" w:space="0"/>
                    <w:bottom w:val="single" w:color="auto" w:sz="4" w:space="0"/>
                    <w:right w:val="single" w:color="auto" w:sz="4" w:space="0"/>
                  </w:tcBorders>
                  <w:vAlign w:val="center"/>
                </w:tcPr>
                <w:p w14:paraId="5FA2ED14">
                  <w:pPr>
                    <w:adjustRightInd w:val="0"/>
                    <w:snapToGrid w:val="0"/>
                    <w:jc w:val="center"/>
                    <w:rPr>
                      <w:rFonts w:hint="default" w:ascii="Times New Roman" w:hAnsi="Times New Roman" w:cs="Times New Roman"/>
                      <w:color w:val="000000"/>
                      <w:sz w:val="18"/>
                      <w:szCs w:val="18"/>
                    </w:rPr>
                  </w:pPr>
                  <w:r>
                    <w:rPr>
                      <w:rFonts w:hint="default" w:ascii="Times New Roman" w:hAnsi="Times New Roman" w:eastAsia="宋体" w:cs="Times New Roman"/>
                      <w:sz w:val="18"/>
                      <w:szCs w:val="18"/>
                      <w:lang w:eastAsia="zh-CN"/>
                    </w:rPr>
                    <w:t>建筑垃圾</w:t>
                  </w:r>
                </w:p>
              </w:tc>
              <w:tc>
                <w:tcPr>
                  <w:tcW w:w="1385" w:type="pct"/>
                  <w:tcBorders>
                    <w:top w:val="single" w:color="auto" w:sz="4" w:space="0"/>
                    <w:left w:val="single" w:color="auto" w:sz="4" w:space="0"/>
                    <w:bottom w:val="single" w:color="auto" w:sz="4" w:space="0"/>
                    <w:right w:val="single" w:color="auto" w:sz="4" w:space="0"/>
                  </w:tcBorders>
                  <w:vAlign w:val="center"/>
                </w:tcPr>
                <w:p w14:paraId="4B41CBC9">
                  <w:pPr>
                    <w:adjustRightInd w:val="0"/>
                    <w:snapToGrid w:val="0"/>
                    <w:jc w:val="center"/>
                    <w:rPr>
                      <w:rFonts w:hint="default" w:ascii="Times New Roman" w:hAnsi="Times New Roman" w:eastAsia="宋体" w:cs="Times New Roman"/>
                      <w:sz w:val="18"/>
                      <w:szCs w:val="18"/>
                      <w:lang w:eastAsia="zh-CN"/>
                    </w:rPr>
                  </w:pPr>
                  <w:r>
                    <w:rPr>
                      <w:rFonts w:hint="default" w:ascii="Times New Roman" w:hAnsi="Times New Roman" w:eastAsia="宋体" w:cs="Times New Roman"/>
                      <w:sz w:val="18"/>
                      <w:szCs w:val="18"/>
                      <w:lang w:eastAsia="zh-CN"/>
                    </w:rPr>
                    <w:t>清运施工渣土的单位和个人应按照《武汉市施工渣土清运管理暂行规定》及武汉市政府令第294号《武汉市建筑垃圾管理办法》（（2021年修正）），建筑垃圾的处置按照国家有关规定实行行政许可制度；未经许可，任何单位不得擅自处置建筑垃圾。建设单位应委托市城市管理行政部门公布的经许可可从事建筑垃圾运输的单位对建筑垃圾进行清运。清运施工渣土的单位和个人应按照《武汉市施工渣土清运管理暂行规定》，必须将施工渣土运到指定的消纳地点。</w:t>
                  </w:r>
                </w:p>
                <w:p w14:paraId="03830B2D">
                  <w:pPr>
                    <w:adjustRightInd w:val="0"/>
                    <w:snapToGrid w:val="0"/>
                    <w:jc w:val="center"/>
                    <w:rPr>
                      <w:rFonts w:hint="default" w:ascii="Times New Roman" w:hAnsi="Times New Roman" w:cs="Times New Roman"/>
                      <w:color w:val="000000"/>
                      <w:sz w:val="18"/>
                      <w:szCs w:val="18"/>
                    </w:rPr>
                  </w:pPr>
                </w:p>
              </w:tc>
              <w:tc>
                <w:tcPr>
                  <w:tcW w:w="1253" w:type="pct"/>
                  <w:tcBorders>
                    <w:top w:val="single" w:color="auto" w:sz="4" w:space="0"/>
                    <w:left w:val="single" w:color="auto" w:sz="4" w:space="0"/>
                    <w:bottom w:val="single" w:color="auto" w:sz="4" w:space="0"/>
                    <w:right w:val="single" w:color="auto" w:sz="4" w:space="0"/>
                  </w:tcBorders>
                  <w:vAlign w:val="center"/>
                </w:tcPr>
                <w:p w14:paraId="40353D19">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弃土运至政府指定场所，生活垃圾交由</w:t>
                  </w:r>
                  <w:r>
                    <w:rPr>
                      <w:rFonts w:hint="default" w:ascii="Times New Roman" w:hAnsi="Times New Roman" w:cs="Times New Roman"/>
                      <w:bCs/>
                      <w:color w:val="000000"/>
                      <w:sz w:val="18"/>
                      <w:szCs w:val="18"/>
                    </w:rPr>
                    <w:t>环卫部门清运</w:t>
                  </w:r>
                </w:p>
              </w:tc>
              <w:tc>
                <w:tcPr>
                  <w:tcW w:w="390" w:type="pct"/>
                  <w:tcBorders>
                    <w:top w:val="single" w:color="auto" w:sz="4" w:space="0"/>
                    <w:left w:val="single" w:color="auto" w:sz="4" w:space="0"/>
                    <w:bottom w:val="single" w:color="auto" w:sz="4" w:space="0"/>
                    <w:right w:val="nil"/>
                  </w:tcBorders>
                  <w:vAlign w:val="center"/>
                </w:tcPr>
                <w:p w14:paraId="7F303138">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5</w:t>
                  </w:r>
                </w:p>
              </w:tc>
              <w:tc>
                <w:tcPr>
                  <w:tcW w:w="390" w:type="pct"/>
                  <w:tcBorders>
                    <w:top w:val="single" w:color="auto" w:sz="4" w:space="0"/>
                    <w:left w:val="single" w:color="auto" w:sz="4" w:space="0"/>
                    <w:right w:val="nil"/>
                  </w:tcBorders>
                  <w:vAlign w:val="center"/>
                </w:tcPr>
                <w:p w14:paraId="3466D042">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5</w:t>
                  </w:r>
                </w:p>
              </w:tc>
            </w:tr>
            <w:tr w14:paraId="5704C0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07" w:type="pct"/>
                  <w:vMerge w:val="continue"/>
                  <w:tcBorders>
                    <w:top w:val="single" w:color="auto" w:sz="4" w:space="0"/>
                    <w:left w:val="nil"/>
                    <w:bottom w:val="single" w:color="auto" w:sz="4" w:space="0"/>
                    <w:right w:val="single" w:color="auto" w:sz="4" w:space="0"/>
                  </w:tcBorders>
                  <w:vAlign w:val="center"/>
                </w:tcPr>
                <w:p w14:paraId="7CB3FA58">
                  <w:pPr>
                    <w:widowControl/>
                    <w:jc w:val="left"/>
                    <w:rPr>
                      <w:rFonts w:hint="default" w:ascii="Times New Roman" w:hAnsi="Times New Roman" w:cs="Times New Roman"/>
                      <w:color w:val="000000"/>
                      <w:sz w:val="18"/>
                      <w:szCs w:val="18"/>
                    </w:rPr>
                  </w:pPr>
                </w:p>
              </w:tc>
              <w:tc>
                <w:tcPr>
                  <w:tcW w:w="703" w:type="pct"/>
                  <w:gridSpan w:val="2"/>
                  <w:tcBorders>
                    <w:top w:val="single" w:color="auto" w:sz="4" w:space="0"/>
                    <w:left w:val="single" w:color="auto" w:sz="4" w:space="0"/>
                    <w:bottom w:val="single" w:color="auto" w:sz="4" w:space="0"/>
                    <w:right w:val="single" w:color="auto" w:sz="4" w:space="0"/>
                  </w:tcBorders>
                  <w:vAlign w:val="center"/>
                </w:tcPr>
                <w:p w14:paraId="429E2209">
                  <w:pPr>
                    <w:adjustRightInd w:val="0"/>
                    <w:snapToGrid w:val="0"/>
                    <w:jc w:val="center"/>
                    <w:rPr>
                      <w:rFonts w:hint="default" w:ascii="Times New Roman" w:hAnsi="Times New Roman" w:cs="Times New Roman"/>
                      <w:color w:val="000000"/>
                      <w:sz w:val="18"/>
                      <w:szCs w:val="18"/>
                    </w:rPr>
                  </w:pPr>
                  <w:r>
                    <w:rPr>
                      <w:rFonts w:hint="default" w:ascii="Times New Roman" w:hAnsi="Times New Roman" w:eastAsia="宋体" w:cs="Times New Roman"/>
                      <w:sz w:val="18"/>
                      <w:szCs w:val="18"/>
                      <w:lang w:eastAsia="zh-CN"/>
                    </w:rPr>
                    <w:t>设备噪声</w:t>
                  </w:r>
                </w:p>
              </w:tc>
              <w:tc>
                <w:tcPr>
                  <w:tcW w:w="570" w:type="pct"/>
                  <w:tcBorders>
                    <w:top w:val="single" w:color="auto" w:sz="4" w:space="0"/>
                    <w:left w:val="single" w:color="auto" w:sz="4" w:space="0"/>
                    <w:bottom w:val="single" w:color="auto" w:sz="4" w:space="0"/>
                    <w:right w:val="single" w:color="auto" w:sz="4" w:space="0"/>
                  </w:tcBorders>
                  <w:vAlign w:val="center"/>
                </w:tcPr>
                <w:p w14:paraId="5F566908">
                  <w:pPr>
                    <w:adjustRightInd w:val="0"/>
                    <w:snapToGrid w:val="0"/>
                    <w:jc w:val="center"/>
                    <w:rPr>
                      <w:rFonts w:hint="default" w:ascii="Times New Roman" w:hAnsi="Times New Roman" w:cs="Times New Roman"/>
                      <w:color w:val="000000"/>
                      <w:sz w:val="18"/>
                      <w:szCs w:val="18"/>
                    </w:rPr>
                  </w:pPr>
                  <w:r>
                    <w:rPr>
                      <w:rFonts w:hint="default" w:ascii="Times New Roman" w:hAnsi="Times New Roman" w:eastAsia="宋体" w:cs="Times New Roman"/>
                      <w:sz w:val="18"/>
                      <w:szCs w:val="18"/>
                      <w:lang w:eastAsia="zh-CN"/>
                    </w:rPr>
                    <w:t>等效</w:t>
                  </w:r>
                  <w:r>
                    <w:rPr>
                      <w:rFonts w:hint="default" w:ascii="Times New Roman" w:hAnsi="Times New Roman" w:eastAsia="宋体" w:cs="Times New Roman"/>
                      <w:sz w:val="18"/>
                      <w:szCs w:val="18"/>
                      <w:lang w:val="en-US" w:eastAsia="zh-CN"/>
                    </w:rPr>
                    <w:t>A声级</w:t>
                  </w:r>
                </w:p>
              </w:tc>
              <w:tc>
                <w:tcPr>
                  <w:tcW w:w="1385" w:type="pct"/>
                  <w:tcBorders>
                    <w:top w:val="single" w:color="auto" w:sz="4" w:space="0"/>
                    <w:left w:val="single" w:color="auto" w:sz="4" w:space="0"/>
                    <w:bottom w:val="single" w:color="auto" w:sz="4" w:space="0"/>
                    <w:right w:val="single" w:color="auto" w:sz="4" w:space="0"/>
                  </w:tcBorders>
                  <w:vAlign w:val="center"/>
                </w:tcPr>
                <w:p w14:paraId="0A2FAA22">
                  <w:pPr>
                    <w:adjustRightInd w:val="0"/>
                    <w:snapToGrid w:val="0"/>
                    <w:jc w:val="center"/>
                    <w:rPr>
                      <w:rFonts w:hint="default" w:ascii="Times New Roman" w:hAnsi="Times New Roman" w:cs="Times New Roman"/>
                      <w:color w:val="000000"/>
                      <w:sz w:val="18"/>
                      <w:szCs w:val="18"/>
                    </w:rPr>
                  </w:pPr>
                  <w:r>
                    <w:rPr>
                      <w:rFonts w:hint="default" w:ascii="Times New Roman" w:hAnsi="Times New Roman" w:eastAsia="宋体" w:cs="Times New Roman"/>
                      <w:sz w:val="18"/>
                      <w:szCs w:val="18"/>
                      <w:lang w:eastAsia="zh-CN"/>
                    </w:rPr>
                    <w:t>采用低噪声机械、合理安排好施工时间与施工场所等</w:t>
                  </w:r>
                </w:p>
              </w:tc>
              <w:tc>
                <w:tcPr>
                  <w:tcW w:w="1253" w:type="pct"/>
                  <w:tcBorders>
                    <w:top w:val="single" w:color="auto" w:sz="4" w:space="0"/>
                    <w:left w:val="single" w:color="auto" w:sz="4" w:space="0"/>
                    <w:bottom w:val="single" w:color="auto" w:sz="4" w:space="0"/>
                    <w:right w:val="single" w:color="auto" w:sz="4" w:space="0"/>
                  </w:tcBorders>
                  <w:vAlign w:val="center"/>
                </w:tcPr>
                <w:p w14:paraId="75248A5B">
                  <w:pPr>
                    <w:widowControl/>
                    <w:jc w:val="left"/>
                    <w:rPr>
                      <w:rFonts w:hint="default" w:ascii="Times New Roman" w:hAnsi="Times New Roman" w:cs="Times New Roman"/>
                      <w:color w:val="000000"/>
                      <w:sz w:val="18"/>
                      <w:szCs w:val="18"/>
                    </w:rPr>
                  </w:pPr>
                  <w:r>
                    <w:rPr>
                      <w:rFonts w:hint="default" w:ascii="Times New Roman" w:hAnsi="Times New Roman" w:eastAsia="宋体" w:cs="Times New Roman"/>
                      <w:sz w:val="18"/>
                      <w:szCs w:val="18"/>
                      <w:lang w:eastAsia="zh-CN"/>
                    </w:rPr>
                    <w:t>采用低噪声机械、合理安排好施工时间与施工场所等</w:t>
                  </w:r>
                </w:p>
              </w:tc>
              <w:tc>
                <w:tcPr>
                  <w:tcW w:w="390" w:type="pct"/>
                  <w:tcBorders>
                    <w:top w:val="single" w:color="auto" w:sz="4" w:space="0"/>
                    <w:left w:val="single" w:color="auto" w:sz="4" w:space="0"/>
                    <w:bottom w:val="single" w:color="auto" w:sz="4" w:space="0"/>
                    <w:right w:val="nil"/>
                  </w:tcBorders>
                  <w:vAlign w:val="center"/>
                </w:tcPr>
                <w:p w14:paraId="03604FA0">
                  <w:pPr>
                    <w:widowControl/>
                    <w:jc w:val="center"/>
                    <w:rPr>
                      <w:rFonts w:hint="default" w:ascii="Times New Roman" w:hAnsi="Times New Roman" w:eastAsia="宋体" w:cs="Times New Roman"/>
                      <w:color w:val="000000"/>
                      <w:sz w:val="18"/>
                      <w:szCs w:val="18"/>
                      <w:lang w:val="en-US" w:eastAsia="zh-CN"/>
                    </w:rPr>
                  </w:pPr>
                  <w:r>
                    <w:rPr>
                      <w:rFonts w:hint="default" w:ascii="Times New Roman" w:hAnsi="Times New Roman" w:cs="Times New Roman"/>
                      <w:color w:val="000000"/>
                      <w:sz w:val="18"/>
                      <w:szCs w:val="18"/>
                      <w:lang w:val="en-US" w:eastAsia="zh-CN"/>
                    </w:rPr>
                    <w:t>5</w:t>
                  </w:r>
                </w:p>
              </w:tc>
              <w:tc>
                <w:tcPr>
                  <w:tcW w:w="390" w:type="pct"/>
                  <w:tcBorders>
                    <w:left w:val="single" w:color="auto" w:sz="4" w:space="0"/>
                    <w:bottom w:val="single" w:color="auto" w:sz="4" w:space="0"/>
                    <w:right w:val="nil"/>
                  </w:tcBorders>
                  <w:vAlign w:val="center"/>
                </w:tcPr>
                <w:p w14:paraId="28367653">
                  <w:pPr>
                    <w:widowControl/>
                    <w:jc w:val="center"/>
                    <w:rPr>
                      <w:rFonts w:hint="default" w:ascii="Times New Roman" w:hAnsi="Times New Roman" w:eastAsia="宋体" w:cs="Times New Roman"/>
                      <w:color w:val="000000"/>
                      <w:sz w:val="18"/>
                      <w:szCs w:val="18"/>
                      <w:lang w:val="en-US" w:eastAsia="zh-CN"/>
                    </w:rPr>
                  </w:pPr>
                  <w:r>
                    <w:rPr>
                      <w:rFonts w:hint="default" w:ascii="Times New Roman" w:hAnsi="Times New Roman" w:cs="Times New Roman"/>
                      <w:color w:val="000000"/>
                      <w:sz w:val="18"/>
                      <w:szCs w:val="18"/>
                      <w:lang w:val="en-US" w:eastAsia="zh-CN"/>
                    </w:rPr>
                    <w:t>5</w:t>
                  </w:r>
                </w:p>
              </w:tc>
            </w:tr>
            <w:tr w14:paraId="478F30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07" w:type="pct"/>
                  <w:vMerge w:val="restart"/>
                  <w:tcBorders>
                    <w:top w:val="single" w:color="auto" w:sz="4" w:space="0"/>
                    <w:left w:val="nil"/>
                    <w:bottom w:val="single" w:color="auto" w:sz="4" w:space="0"/>
                    <w:right w:val="single" w:color="auto" w:sz="4" w:space="0"/>
                  </w:tcBorders>
                  <w:vAlign w:val="center"/>
                </w:tcPr>
                <w:p w14:paraId="0562673B">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营运期</w:t>
                  </w:r>
                </w:p>
              </w:tc>
              <w:tc>
                <w:tcPr>
                  <w:tcW w:w="703" w:type="pct"/>
                  <w:gridSpan w:val="2"/>
                  <w:tcBorders>
                    <w:top w:val="single" w:color="auto" w:sz="4" w:space="0"/>
                    <w:left w:val="single" w:color="auto" w:sz="4" w:space="0"/>
                    <w:bottom w:val="single" w:color="auto" w:sz="4" w:space="0"/>
                    <w:right w:val="single" w:color="auto" w:sz="4" w:space="0"/>
                  </w:tcBorders>
                  <w:vAlign w:val="center"/>
                </w:tcPr>
                <w:p w14:paraId="0CD75FD2">
                  <w:pPr>
                    <w:adjustRightInd w:val="0"/>
                    <w:snapToGrid w:val="0"/>
                    <w:jc w:val="center"/>
                    <w:rPr>
                      <w:rFonts w:hint="default" w:ascii="Times New Roman" w:hAnsi="Times New Roman" w:cs="Times New Roman"/>
                      <w:color w:val="000000"/>
                      <w:sz w:val="18"/>
                    </w:rPr>
                  </w:pPr>
                  <w:r>
                    <w:rPr>
                      <w:rFonts w:hint="default" w:ascii="Times New Roman" w:hAnsi="Times New Roman" w:cs="Times New Roman"/>
                      <w:color w:val="000000"/>
                      <w:sz w:val="18"/>
                    </w:rPr>
                    <w:t>船舶废气</w:t>
                  </w:r>
                </w:p>
              </w:tc>
              <w:tc>
                <w:tcPr>
                  <w:tcW w:w="570" w:type="pct"/>
                  <w:tcBorders>
                    <w:top w:val="single" w:color="auto" w:sz="4" w:space="0"/>
                    <w:left w:val="single" w:color="auto" w:sz="4" w:space="0"/>
                    <w:bottom w:val="single" w:color="auto" w:sz="4" w:space="0"/>
                    <w:right w:val="single" w:color="auto" w:sz="4" w:space="0"/>
                  </w:tcBorders>
                  <w:vAlign w:val="center"/>
                </w:tcPr>
                <w:p w14:paraId="5C57B156">
                  <w:pPr>
                    <w:adjustRightInd w:val="0"/>
                    <w:snapToGrid w:val="0"/>
                    <w:jc w:val="center"/>
                    <w:rPr>
                      <w:rFonts w:hint="default" w:ascii="Times New Roman" w:hAnsi="Times New Roman" w:cs="Times New Roman"/>
                      <w:color w:val="000000"/>
                      <w:sz w:val="18"/>
                    </w:rPr>
                  </w:pPr>
                  <w:r>
                    <w:rPr>
                      <w:rFonts w:hint="default" w:ascii="Times New Roman" w:hAnsi="Times New Roman" w:cs="Times New Roman"/>
                      <w:color w:val="000000"/>
                      <w:sz w:val="18"/>
                    </w:rPr>
                    <w:t>CH、NO</w:t>
                  </w:r>
                  <w:r>
                    <w:rPr>
                      <w:rFonts w:hint="default" w:ascii="Times New Roman" w:hAnsi="Times New Roman" w:cs="Times New Roman"/>
                      <w:color w:val="000000"/>
                      <w:sz w:val="18"/>
                      <w:vertAlign w:val="subscript"/>
                    </w:rPr>
                    <w:t>X</w:t>
                  </w:r>
                  <w:r>
                    <w:rPr>
                      <w:rFonts w:hint="default" w:ascii="Times New Roman" w:hAnsi="Times New Roman" w:cs="Times New Roman"/>
                      <w:color w:val="000000"/>
                      <w:sz w:val="18"/>
                    </w:rPr>
                    <w:t>、CO等</w:t>
                  </w:r>
                </w:p>
              </w:tc>
              <w:tc>
                <w:tcPr>
                  <w:tcW w:w="1385" w:type="pct"/>
                  <w:tcBorders>
                    <w:top w:val="single" w:color="auto" w:sz="4" w:space="0"/>
                    <w:left w:val="single" w:color="auto" w:sz="4" w:space="0"/>
                    <w:bottom w:val="single" w:color="auto" w:sz="4" w:space="0"/>
                    <w:right w:val="single" w:color="auto" w:sz="4" w:space="0"/>
                  </w:tcBorders>
                  <w:vAlign w:val="center"/>
                </w:tcPr>
                <w:p w14:paraId="73D2BD69">
                  <w:pPr>
                    <w:adjustRightInd w:val="0"/>
                    <w:snapToGrid w:val="0"/>
                    <w:jc w:val="center"/>
                    <w:rPr>
                      <w:rFonts w:hint="default" w:ascii="Times New Roman" w:hAnsi="Times New Roman" w:cs="Times New Roman"/>
                      <w:color w:val="000000"/>
                      <w:sz w:val="18"/>
                    </w:rPr>
                  </w:pPr>
                  <w:r>
                    <w:rPr>
                      <w:rFonts w:hint="default" w:ascii="Times New Roman" w:hAnsi="Times New Roman" w:cs="Times New Roman"/>
                      <w:color w:val="000000"/>
                      <w:sz w:val="18"/>
                    </w:rPr>
                    <w:t>自然扩散</w:t>
                  </w:r>
                </w:p>
              </w:tc>
              <w:tc>
                <w:tcPr>
                  <w:tcW w:w="1253" w:type="pct"/>
                  <w:tcBorders>
                    <w:top w:val="single" w:color="auto" w:sz="4" w:space="0"/>
                    <w:left w:val="single" w:color="auto" w:sz="4" w:space="0"/>
                    <w:bottom w:val="single" w:color="auto" w:sz="4" w:space="0"/>
                    <w:right w:val="single" w:color="auto" w:sz="4" w:space="0"/>
                  </w:tcBorders>
                  <w:vAlign w:val="center"/>
                </w:tcPr>
                <w:p w14:paraId="4912ACBB">
                  <w:pPr>
                    <w:adjustRightInd w:val="0"/>
                    <w:snapToGrid w:val="0"/>
                    <w:jc w:val="center"/>
                    <w:rPr>
                      <w:rFonts w:hint="default" w:ascii="Times New Roman" w:hAnsi="Times New Roman" w:cs="Times New Roman"/>
                      <w:color w:val="000000"/>
                      <w:sz w:val="18"/>
                    </w:rPr>
                  </w:pPr>
                  <w:r>
                    <w:rPr>
                      <w:rFonts w:hint="default" w:ascii="Times New Roman" w:hAnsi="Times New Roman" w:cs="Times New Roman"/>
                      <w:color w:val="000000"/>
                      <w:sz w:val="18"/>
                    </w:rPr>
                    <w:t>自然扩散</w:t>
                  </w:r>
                </w:p>
              </w:tc>
              <w:tc>
                <w:tcPr>
                  <w:tcW w:w="390" w:type="pct"/>
                  <w:tcBorders>
                    <w:top w:val="single" w:color="auto" w:sz="4" w:space="0"/>
                    <w:left w:val="single" w:color="auto" w:sz="4" w:space="0"/>
                    <w:bottom w:val="single" w:color="auto" w:sz="4" w:space="0"/>
                    <w:right w:val="nil"/>
                  </w:tcBorders>
                  <w:vAlign w:val="center"/>
                </w:tcPr>
                <w:p w14:paraId="2AF10ECA">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0</w:t>
                  </w:r>
                </w:p>
              </w:tc>
              <w:tc>
                <w:tcPr>
                  <w:tcW w:w="390" w:type="pct"/>
                  <w:tcBorders>
                    <w:top w:val="single" w:color="auto" w:sz="4" w:space="0"/>
                    <w:left w:val="single" w:color="auto" w:sz="4" w:space="0"/>
                    <w:bottom w:val="single" w:color="auto" w:sz="4" w:space="0"/>
                    <w:right w:val="nil"/>
                  </w:tcBorders>
                  <w:vAlign w:val="center"/>
                </w:tcPr>
                <w:p w14:paraId="1FC59A9D">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0</w:t>
                  </w:r>
                </w:p>
              </w:tc>
            </w:tr>
            <w:tr w14:paraId="697308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07" w:type="pct"/>
                  <w:vMerge w:val="continue"/>
                  <w:tcBorders>
                    <w:top w:val="single" w:color="auto" w:sz="4" w:space="0"/>
                    <w:left w:val="nil"/>
                    <w:bottom w:val="single" w:color="auto" w:sz="4" w:space="0"/>
                    <w:right w:val="single" w:color="auto" w:sz="4" w:space="0"/>
                  </w:tcBorders>
                  <w:vAlign w:val="center"/>
                </w:tcPr>
                <w:p w14:paraId="0DCA9A93">
                  <w:pPr>
                    <w:widowControl/>
                    <w:jc w:val="left"/>
                    <w:rPr>
                      <w:rFonts w:hint="default" w:ascii="Times New Roman" w:hAnsi="Times New Roman" w:cs="Times New Roman"/>
                      <w:color w:val="000000"/>
                      <w:sz w:val="18"/>
                      <w:szCs w:val="18"/>
                    </w:rPr>
                  </w:pPr>
                </w:p>
              </w:tc>
              <w:tc>
                <w:tcPr>
                  <w:tcW w:w="703" w:type="pct"/>
                  <w:gridSpan w:val="2"/>
                  <w:tcBorders>
                    <w:top w:val="single" w:color="auto" w:sz="4" w:space="0"/>
                    <w:left w:val="single" w:color="auto" w:sz="4" w:space="0"/>
                    <w:bottom w:val="single" w:color="auto" w:sz="4" w:space="0"/>
                    <w:right w:val="single" w:color="auto" w:sz="4" w:space="0"/>
                  </w:tcBorders>
                  <w:vAlign w:val="center"/>
                </w:tcPr>
                <w:p w14:paraId="35E1E378">
                  <w:pPr>
                    <w:jc w:val="center"/>
                    <w:rPr>
                      <w:rFonts w:hint="default" w:ascii="Times New Roman" w:hAnsi="Times New Roman" w:cs="Times New Roman"/>
                      <w:color w:val="000000"/>
                      <w:sz w:val="18"/>
                      <w:szCs w:val="18"/>
                    </w:rPr>
                  </w:pPr>
                  <w:r>
                    <w:rPr>
                      <w:rFonts w:hint="default" w:ascii="Times New Roman" w:hAnsi="Times New Roman" w:cs="Times New Roman"/>
                      <w:sz w:val="18"/>
                      <w:szCs w:val="18"/>
                    </w:rPr>
                    <w:t>到港船舶生活污水</w:t>
                  </w:r>
                </w:p>
              </w:tc>
              <w:tc>
                <w:tcPr>
                  <w:tcW w:w="570" w:type="pct"/>
                  <w:tcBorders>
                    <w:top w:val="single" w:color="auto" w:sz="4" w:space="0"/>
                    <w:left w:val="single" w:color="auto" w:sz="4" w:space="0"/>
                    <w:bottom w:val="single" w:color="auto" w:sz="4" w:space="0"/>
                    <w:right w:val="single" w:color="auto" w:sz="4" w:space="0"/>
                  </w:tcBorders>
                  <w:vAlign w:val="center"/>
                </w:tcPr>
                <w:p w14:paraId="3CAAC4C8">
                  <w:pPr>
                    <w:snapToGrid w:val="0"/>
                    <w:jc w:val="center"/>
                    <w:rPr>
                      <w:rFonts w:hint="default" w:ascii="Times New Roman" w:hAnsi="Times New Roman" w:cs="Times New Roman"/>
                      <w:color w:val="000000"/>
                      <w:sz w:val="18"/>
                      <w:szCs w:val="18"/>
                    </w:rPr>
                  </w:pPr>
                  <w:r>
                    <w:rPr>
                      <w:rFonts w:hint="default" w:ascii="Times New Roman" w:hAnsi="Times New Roman" w:cs="Times New Roman"/>
                      <w:sz w:val="18"/>
                      <w:szCs w:val="18"/>
                      <w:lang w:val="de-DE"/>
                    </w:rPr>
                    <w:t>SS、COD、BOD</w:t>
                  </w:r>
                  <w:r>
                    <w:rPr>
                      <w:rFonts w:hint="default" w:ascii="Times New Roman" w:hAnsi="Times New Roman" w:cs="Times New Roman"/>
                      <w:sz w:val="18"/>
                      <w:szCs w:val="18"/>
                      <w:vertAlign w:val="subscript"/>
                      <w:lang w:val="de-DE"/>
                    </w:rPr>
                    <w:t>5</w:t>
                  </w:r>
                  <w:r>
                    <w:rPr>
                      <w:rFonts w:hint="default" w:ascii="Times New Roman" w:hAnsi="Times New Roman" w:cs="Times New Roman"/>
                      <w:sz w:val="18"/>
                      <w:szCs w:val="18"/>
                      <w:lang w:val="de-DE"/>
                    </w:rPr>
                    <w:t>、NH</w:t>
                  </w:r>
                  <w:r>
                    <w:rPr>
                      <w:rFonts w:hint="default" w:ascii="Times New Roman" w:hAnsi="Times New Roman" w:cs="Times New Roman"/>
                      <w:sz w:val="18"/>
                      <w:szCs w:val="18"/>
                      <w:vertAlign w:val="subscript"/>
                      <w:lang w:val="de-DE"/>
                    </w:rPr>
                    <w:t>3</w:t>
                  </w:r>
                  <w:r>
                    <w:rPr>
                      <w:rFonts w:hint="default" w:ascii="Times New Roman" w:hAnsi="Times New Roman" w:cs="Times New Roman"/>
                      <w:sz w:val="18"/>
                      <w:szCs w:val="18"/>
                      <w:lang w:val="de-DE"/>
                    </w:rPr>
                    <w:t>-N</w:t>
                  </w:r>
                </w:p>
              </w:tc>
              <w:tc>
                <w:tcPr>
                  <w:tcW w:w="1385" w:type="pct"/>
                  <w:vMerge w:val="restart"/>
                  <w:tcBorders>
                    <w:top w:val="single" w:color="auto" w:sz="4" w:space="0"/>
                    <w:left w:val="single" w:color="auto" w:sz="4" w:space="0"/>
                    <w:right w:val="single" w:color="auto" w:sz="4" w:space="0"/>
                  </w:tcBorders>
                  <w:vAlign w:val="center"/>
                </w:tcPr>
                <w:p w14:paraId="0B0F8BB5">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bCs/>
                      <w:sz w:val="18"/>
                      <w:szCs w:val="18"/>
                    </w:rPr>
                    <w:t>经趸船污水处理设施处理后泵送至市政管网</w:t>
                  </w:r>
                  <w:r>
                    <w:rPr>
                      <w:rFonts w:hint="default" w:ascii="Times New Roman" w:hAnsi="Times New Roman" w:cs="Times New Roman"/>
                      <w:bCs/>
                      <w:sz w:val="18"/>
                      <w:szCs w:val="18"/>
                      <w:lang w:eastAsia="zh-CN"/>
                    </w:rPr>
                    <w:t>，运行过程中加强设备保养、维护。</w:t>
                  </w:r>
                </w:p>
              </w:tc>
              <w:tc>
                <w:tcPr>
                  <w:tcW w:w="1253" w:type="pct"/>
                  <w:vMerge w:val="restart"/>
                  <w:tcBorders>
                    <w:top w:val="single" w:color="auto" w:sz="4" w:space="0"/>
                    <w:left w:val="single" w:color="auto" w:sz="4" w:space="0"/>
                    <w:right w:val="single" w:color="auto" w:sz="4" w:space="0"/>
                  </w:tcBorders>
                  <w:vAlign w:val="center"/>
                </w:tcPr>
                <w:p w14:paraId="78042069">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bCs/>
                      <w:sz w:val="18"/>
                      <w:szCs w:val="18"/>
                    </w:rPr>
                    <w:t>经趸船污水处理设施处理后泵送至市政管网</w:t>
                  </w:r>
                  <w:r>
                    <w:rPr>
                      <w:rFonts w:hint="default" w:ascii="Times New Roman" w:hAnsi="Times New Roman" w:cs="Times New Roman"/>
                      <w:bCs/>
                      <w:sz w:val="18"/>
                      <w:szCs w:val="18"/>
                      <w:lang w:eastAsia="zh-CN"/>
                    </w:rPr>
                    <w:t>，运行过程中加强设备保养、维护。</w:t>
                  </w:r>
                </w:p>
              </w:tc>
              <w:tc>
                <w:tcPr>
                  <w:tcW w:w="390" w:type="pct"/>
                  <w:vMerge w:val="restart"/>
                  <w:tcBorders>
                    <w:top w:val="single" w:color="auto" w:sz="4" w:space="0"/>
                    <w:left w:val="single" w:color="auto" w:sz="4" w:space="0"/>
                    <w:bottom w:val="single" w:color="auto" w:sz="4" w:space="0"/>
                    <w:right w:val="nil"/>
                  </w:tcBorders>
                  <w:vAlign w:val="center"/>
                </w:tcPr>
                <w:p w14:paraId="329533A4">
                  <w:pPr>
                    <w:adjustRightInd w:val="0"/>
                    <w:snapToGrid w:val="0"/>
                    <w:jc w:val="center"/>
                    <w:rPr>
                      <w:rFonts w:hint="default" w:ascii="Times New Roman" w:hAnsi="Times New Roman" w:eastAsia="宋体" w:cs="Times New Roman"/>
                      <w:color w:val="000000"/>
                      <w:sz w:val="18"/>
                      <w:szCs w:val="18"/>
                      <w:lang w:val="en-US" w:eastAsia="zh-CN"/>
                    </w:rPr>
                  </w:pPr>
                  <w:r>
                    <w:rPr>
                      <w:rFonts w:hint="default" w:ascii="Times New Roman" w:hAnsi="Times New Roman" w:cs="Times New Roman"/>
                      <w:color w:val="000000"/>
                      <w:sz w:val="18"/>
                      <w:szCs w:val="18"/>
                      <w:lang w:val="en-US" w:eastAsia="zh-CN"/>
                    </w:rPr>
                    <w:t>200</w:t>
                  </w:r>
                </w:p>
              </w:tc>
              <w:tc>
                <w:tcPr>
                  <w:tcW w:w="390" w:type="pct"/>
                  <w:vMerge w:val="restart"/>
                  <w:tcBorders>
                    <w:top w:val="single" w:color="auto" w:sz="4" w:space="0"/>
                    <w:left w:val="single" w:color="auto" w:sz="4" w:space="0"/>
                    <w:right w:val="nil"/>
                  </w:tcBorders>
                  <w:vAlign w:val="center"/>
                </w:tcPr>
                <w:p w14:paraId="18C44B2F">
                  <w:pPr>
                    <w:adjustRightInd w:val="0"/>
                    <w:snapToGrid w:val="0"/>
                    <w:jc w:val="center"/>
                    <w:rPr>
                      <w:rFonts w:hint="default" w:ascii="Times New Roman" w:hAnsi="Times New Roman" w:eastAsia="宋体" w:cs="Times New Roman"/>
                      <w:color w:val="000000"/>
                      <w:sz w:val="18"/>
                      <w:szCs w:val="18"/>
                      <w:lang w:val="en-US" w:eastAsia="zh-CN"/>
                    </w:rPr>
                  </w:pPr>
                  <w:r>
                    <w:rPr>
                      <w:rFonts w:hint="default" w:ascii="Times New Roman" w:hAnsi="Times New Roman" w:cs="Times New Roman"/>
                      <w:color w:val="000000"/>
                      <w:sz w:val="18"/>
                      <w:szCs w:val="18"/>
                      <w:lang w:val="en-US" w:eastAsia="zh-CN"/>
                    </w:rPr>
                    <w:t>200</w:t>
                  </w:r>
                </w:p>
              </w:tc>
            </w:tr>
            <w:tr w14:paraId="0B5766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07" w:type="pct"/>
                  <w:vMerge w:val="continue"/>
                  <w:tcBorders>
                    <w:top w:val="single" w:color="auto" w:sz="4" w:space="0"/>
                    <w:left w:val="nil"/>
                    <w:bottom w:val="single" w:color="auto" w:sz="4" w:space="0"/>
                    <w:right w:val="single" w:color="auto" w:sz="4" w:space="0"/>
                  </w:tcBorders>
                  <w:vAlign w:val="center"/>
                </w:tcPr>
                <w:p w14:paraId="5C552CC5">
                  <w:pPr>
                    <w:widowControl/>
                    <w:jc w:val="left"/>
                    <w:rPr>
                      <w:rFonts w:hint="default" w:ascii="Times New Roman" w:hAnsi="Times New Roman" w:cs="Times New Roman"/>
                      <w:color w:val="000000"/>
                      <w:sz w:val="18"/>
                      <w:szCs w:val="18"/>
                    </w:rPr>
                  </w:pPr>
                </w:p>
              </w:tc>
              <w:tc>
                <w:tcPr>
                  <w:tcW w:w="703" w:type="pct"/>
                  <w:gridSpan w:val="2"/>
                  <w:tcBorders>
                    <w:top w:val="single" w:color="auto" w:sz="4" w:space="0"/>
                    <w:left w:val="single" w:color="auto" w:sz="4" w:space="0"/>
                    <w:bottom w:val="single" w:color="auto" w:sz="4" w:space="0"/>
                    <w:right w:val="single" w:color="auto" w:sz="4" w:space="0"/>
                  </w:tcBorders>
                  <w:vAlign w:val="center"/>
                </w:tcPr>
                <w:p w14:paraId="39A48995">
                  <w:pPr>
                    <w:jc w:val="center"/>
                    <w:rPr>
                      <w:rFonts w:hint="default" w:ascii="Times New Roman" w:hAnsi="Times New Roman" w:cs="Times New Roman"/>
                      <w:color w:val="000000"/>
                      <w:sz w:val="18"/>
                      <w:szCs w:val="18"/>
                    </w:rPr>
                  </w:pPr>
                  <w:r>
                    <w:rPr>
                      <w:rFonts w:hint="default" w:ascii="Times New Roman" w:hAnsi="Times New Roman" w:cs="Times New Roman"/>
                      <w:sz w:val="18"/>
                      <w:szCs w:val="18"/>
                    </w:rPr>
                    <w:t>趸船生活污水</w:t>
                  </w:r>
                </w:p>
              </w:tc>
              <w:tc>
                <w:tcPr>
                  <w:tcW w:w="570" w:type="pct"/>
                  <w:tcBorders>
                    <w:top w:val="single" w:color="auto" w:sz="4" w:space="0"/>
                    <w:left w:val="single" w:color="auto" w:sz="4" w:space="0"/>
                    <w:bottom w:val="single" w:color="auto" w:sz="4" w:space="0"/>
                    <w:right w:val="single" w:color="auto" w:sz="4" w:space="0"/>
                  </w:tcBorders>
                  <w:vAlign w:val="center"/>
                </w:tcPr>
                <w:p w14:paraId="587A4E6A">
                  <w:pPr>
                    <w:snapToGrid w:val="0"/>
                    <w:jc w:val="center"/>
                    <w:rPr>
                      <w:rFonts w:hint="default" w:ascii="Times New Roman" w:hAnsi="Times New Roman" w:cs="Times New Roman"/>
                      <w:color w:val="000000"/>
                      <w:sz w:val="18"/>
                      <w:szCs w:val="18"/>
                    </w:rPr>
                  </w:pPr>
                  <w:r>
                    <w:rPr>
                      <w:rFonts w:hint="default" w:ascii="Times New Roman" w:hAnsi="Times New Roman" w:cs="Times New Roman"/>
                      <w:sz w:val="18"/>
                      <w:szCs w:val="18"/>
                      <w:lang w:val="de-DE"/>
                    </w:rPr>
                    <w:t>SS、COD、BOD</w:t>
                  </w:r>
                  <w:r>
                    <w:rPr>
                      <w:rFonts w:hint="default" w:ascii="Times New Roman" w:hAnsi="Times New Roman" w:cs="Times New Roman"/>
                      <w:sz w:val="18"/>
                      <w:szCs w:val="18"/>
                      <w:vertAlign w:val="subscript"/>
                      <w:lang w:val="de-DE"/>
                    </w:rPr>
                    <w:t>5</w:t>
                  </w:r>
                  <w:r>
                    <w:rPr>
                      <w:rFonts w:hint="default" w:ascii="Times New Roman" w:hAnsi="Times New Roman" w:cs="Times New Roman"/>
                      <w:sz w:val="18"/>
                      <w:szCs w:val="18"/>
                      <w:lang w:val="de-DE"/>
                    </w:rPr>
                    <w:t>、NH</w:t>
                  </w:r>
                  <w:r>
                    <w:rPr>
                      <w:rFonts w:hint="default" w:ascii="Times New Roman" w:hAnsi="Times New Roman" w:cs="Times New Roman"/>
                      <w:sz w:val="18"/>
                      <w:szCs w:val="18"/>
                      <w:vertAlign w:val="subscript"/>
                      <w:lang w:val="de-DE"/>
                    </w:rPr>
                    <w:t>3</w:t>
                  </w:r>
                  <w:r>
                    <w:rPr>
                      <w:rFonts w:hint="default" w:ascii="Times New Roman" w:hAnsi="Times New Roman" w:cs="Times New Roman"/>
                      <w:sz w:val="18"/>
                      <w:szCs w:val="18"/>
                      <w:lang w:val="de-DE"/>
                    </w:rPr>
                    <w:t>-N</w:t>
                  </w:r>
                </w:p>
              </w:tc>
              <w:tc>
                <w:tcPr>
                  <w:tcW w:w="1385" w:type="pct"/>
                  <w:vMerge w:val="continue"/>
                  <w:tcBorders>
                    <w:left w:val="single" w:color="auto" w:sz="4" w:space="0"/>
                    <w:bottom w:val="single" w:color="auto" w:sz="4" w:space="0"/>
                    <w:right w:val="single" w:color="auto" w:sz="4" w:space="0"/>
                  </w:tcBorders>
                  <w:vAlign w:val="center"/>
                </w:tcPr>
                <w:p w14:paraId="089EBD60">
                  <w:pPr>
                    <w:adjustRightInd w:val="0"/>
                    <w:snapToGrid w:val="0"/>
                    <w:jc w:val="center"/>
                    <w:rPr>
                      <w:rFonts w:hint="default" w:ascii="Times New Roman" w:hAnsi="Times New Roman" w:cs="Times New Roman"/>
                      <w:color w:val="000000"/>
                      <w:sz w:val="18"/>
                      <w:szCs w:val="18"/>
                    </w:rPr>
                  </w:pPr>
                </w:p>
              </w:tc>
              <w:tc>
                <w:tcPr>
                  <w:tcW w:w="1253" w:type="pct"/>
                  <w:vMerge w:val="continue"/>
                  <w:tcBorders>
                    <w:left w:val="single" w:color="auto" w:sz="4" w:space="0"/>
                    <w:bottom w:val="single" w:color="auto" w:sz="4" w:space="0"/>
                    <w:right w:val="single" w:color="auto" w:sz="4" w:space="0"/>
                  </w:tcBorders>
                  <w:vAlign w:val="center"/>
                </w:tcPr>
                <w:p w14:paraId="55EA7A52">
                  <w:pPr>
                    <w:adjustRightInd w:val="0"/>
                    <w:snapToGrid w:val="0"/>
                    <w:jc w:val="center"/>
                    <w:rPr>
                      <w:rFonts w:hint="default" w:ascii="Times New Roman" w:hAnsi="Times New Roman" w:cs="Times New Roman"/>
                      <w:color w:val="000000"/>
                      <w:sz w:val="18"/>
                      <w:szCs w:val="18"/>
                    </w:rPr>
                  </w:pPr>
                </w:p>
              </w:tc>
              <w:tc>
                <w:tcPr>
                  <w:tcW w:w="390" w:type="pct"/>
                  <w:vMerge w:val="continue"/>
                  <w:tcBorders>
                    <w:top w:val="single" w:color="auto" w:sz="4" w:space="0"/>
                    <w:left w:val="single" w:color="auto" w:sz="4" w:space="0"/>
                    <w:bottom w:val="single" w:color="auto" w:sz="4" w:space="0"/>
                    <w:right w:val="nil"/>
                  </w:tcBorders>
                  <w:vAlign w:val="center"/>
                </w:tcPr>
                <w:p w14:paraId="60DEADF9">
                  <w:pPr>
                    <w:widowControl/>
                    <w:jc w:val="center"/>
                    <w:rPr>
                      <w:rFonts w:hint="default" w:ascii="Times New Roman" w:hAnsi="Times New Roman" w:cs="Times New Roman"/>
                      <w:color w:val="000000"/>
                      <w:sz w:val="18"/>
                      <w:szCs w:val="18"/>
                    </w:rPr>
                  </w:pPr>
                </w:p>
              </w:tc>
              <w:tc>
                <w:tcPr>
                  <w:tcW w:w="390" w:type="pct"/>
                  <w:vMerge w:val="continue"/>
                  <w:tcBorders>
                    <w:left w:val="single" w:color="auto" w:sz="4" w:space="0"/>
                    <w:bottom w:val="single" w:color="auto" w:sz="4" w:space="0"/>
                    <w:right w:val="nil"/>
                  </w:tcBorders>
                  <w:vAlign w:val="center"/>
                </w:tcPr>
                <w:p w14:paraId="1EAD7B64">
                  <w:pPr>
                    <w:widowControl/>
                    <w:jc w:val="center"/>
                    <w:rPr>
                      <w:rFonts w:hint="default" w:ascii="Times New Roman" w:hAnsi="Times New Roman" w:cs="Times New Roman"/>
                      <w:color w:val="000000"/>
                      <w:sz w:val="18"/>
                      <w:szCs w:val="18"/>
                    </w:rPr>
                  </w:pPr>
                </w:p>
              </w:tc>
            </w:tr>
            <w:tr w14:paraId="54A7CF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07" w:type="pct"/>
                  <w:vMerge w:val="continue"/>
                  <w:tcBorders>
                    <w:top w:val="single" w:color="auto" w:sz="4" w:space="0"/>
                    <w:left w:val="nil"/>
                    <w:bottom w:val="single" w:color="auto" w:sz="4" w:space="0"/>
                    <w:right w:val="single" w:color="auto" w:sz="4" w:space="0"/>
                  </w:tcBorders>
                  <w:vAlign w:val="center"/>
                </w:tcPr>
                <w:p w14:paraId="6B92EBDE">
                  <w:pPr>
                    <w:widowControl/>
                    <w:jc w:val="left"/>
                    <w:rPr>
                      <w:rFonts w:hint="default" w:ascii="Times New Roman" w:hAnsi="Times New Roman" w:cs="Times New Roman"/>
                      <w:color w:val="000000"/>
                      <w:sz w:val="18"/>
                      <w:szCs w:val="18"/>
                    </w:rPr>
                  </w:pPr>
                </w:p>
              </w:tc>
              <w:tc>
                <w:tcPr>
                  <w:tcW w:w="703" w:type="pct"/>
                  <w:gridSpan w:val="2"/>
                  <w:tcBorders>
                    <w:top w:val="single" w:color="auto" w:sz="4" w:space="0"/>
                    <w:left w:val="single" w:color="auto" w:sz="4" w:space="0"/>
                    <w:bottom w:val="single" w:color="auto" w:sz="4" w:space="0"/>
                    <w:right w:val="single" w:color="auto" w:sz="4" w:space="0"/>
                  </w:tcBorders>
                  <w:vAlign w:val="center"/>
                </w:tcPr>
                <w:p w14:paraId="3511574D">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噪声</w:t>
                  </w:r>
                </w:p>
              </w:tc>
              <w:tc>
                <w:tcPr>
                  <w:tcW w:w="570" w:type="pct"/>
                  <w:tcBorders>
                    <w:top w:val="single" w:color="auto" w:sz="4" w:space="0"/>
                    <w:left w:val="single" w:color="auto" w:sz="4" w:space="0"/>
                    <w:bottom w:val="single" w:color="auto" w:sz="4" w:space="0"/>
                    <w:right w:val="single" w:color="auto" w:sz="4" w:space="0"/>
                  </w:tcBorders>
                  <w:vAlign w:val="center"/>
                </w:tcPr>
                <w:p w14:paraId="3A34F327">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等效A声级</w:t>
                  </w:r>
                </w:p>
              </w:tc>
              <w:tc>
                <w:tcPr>
                  <w:tcW w:w="1385" w:type="pct"/>
                  <w:tcBorders>
                    <w:top w:val="single" w:color="auto" w:sz="4" w:space="0"/>
                    <w:left w:val="single" w:color="auto" w:sz="4" w:space="0"/>
                    <w:bottom w:val="single" w:color="auto" w:sz="4" w:space="0"/>
                    <w:right w:val="single" w:color="auto" w:sz="4" w:space="0"/>
                  </w:tcBorders>
                  <w:vAlign w:val="center"/>
                </w:tcPr>
                <w:p w14:paraId="12BB2C5D">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加强管理</w:t>
                  </w:r>
                </w:p>
              </w:tc>
              <w:tc>
                <w:tcPr>
                  <w:tcW w:w="1253" w:type="pct"/>
                  <w:tcBorders>
                    <w:top w:val="single" w:color="auto" w:sz="4" w:space="0"/>
                    <w:left w:val="single" w:color="auto" w:sz="4" w:space="0"/>
                    <w:bottom w:val="single" w:color="auto" w:sz="4" w:space="0"/>
                    <w:right w:val="single" w:color="auto" w:sz="4" w:space="0"/>
                  </w:tcBorders>
                  <w:vAlign w:val="center"/>
                </w:tcPr>
                <w:p w14:paraId="07721A98">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加强管理</w:t>
                  </w:r>
                </w:p>
              </w:tc>
              <w:tc>
                <w:tcPr>
                  <w:tcW w:w="390" w:type="pct"/>
                  <w:tcBorders>
                    <w:top w:val="single" w:color="auto" w:sz="4" w:space="0"/>
                    <w:left w:val="single" w:color="auto" w:sz="4" w:space="0"/>
                    <w:bottom w:val="single" w:color="auto" w:sz="4" w:space="0"/>
                    <w:right w:val="nil"/>
                  </w:tcBorders>
                  <w:vAlign w:val="center"/>
                </w:tcPr>
                <w:p w14:paraId="7920B5F6">
                  <w:pPr>
                    <w:adjustRightInd w:val="0"/>
                    <w:snapToGrid w:val="0"/>
                    <w:jc w:val="center"/>
                    <w:rPr>
                      <w:rFonts w:hint="default" w:ascii="Times New Roman" w:hAnsi="Times New Roman" w:eastAsia="宋体" w:cs="Times New Roman"/>
                      <w:color w:val="000000"/>
                      <w:sz w:val="18"/>
                      <w:szCs w:val="18"/>
                      <w:lang w:eastAsia="zh-CN"/>
                    </w:rPr>
                  </w:pPr>
                  <w:r>
                    <w:rPr>
                      <w:rFonts w:hint="default" w:ascii="Times New Roman" w:hAnsi="Times New Roman" w:cs="Times New Roman"/>
                      <w:color w:val="000000"/>
                      <w:sz w:val="18"/>
                      <w:szCs w:val="18"/>
                      <w:lang w:val="en-US" w:eastAsia="zh-CN"/>
                    </w:rPr>
                    <w:t>5</w:t>
                  </w:r>
                </w:p>
              </w:tc>
              <w:tc>
                <w:tcPr>
                  <w:tcW w:w="390" w:type="pct"/>
                  <w:tcBorders>
                    <w:top w:val="single" w:color="auto" w:sz="4" w:space="0"/>
                    <w:left w:val="single" w:color="auto" w:sz="4" w:space="0"/>
                    <w:bottom w:val="single" w:color="auto" w:sz="4" w:space="0"/>
                    <w:right w:val="nil"/>
                  </w:tcBorders>
                  <w:vAlign w:val="center"/>
                </w:tcPr>
                <w:p w14:paraId="0AB77F18">
                  <w:pPr>
                    <w:adjustRightInd w:val="0"/>
                    <w:snapToGrid w:val="0"/>
                    <w:jc w:val="center"/>
                    <w:rPr>
                      <w:rFonts w:hint="default" w:ascii="Times New Roman" w:hAnsi="Times New Roman" w:eastAsia="宋体" w:cs="Times New Roman"/>
                      <w:color w:val="000000"/>
                      <w:sz w:val="18"/>
                      <w:szCs w:val="18"/>
                      <w:lang w:eastAsia="zh-CN"/>
                    </w:rPr>
                  </w:pPr>
                  <w:r>
                    <w:rPr>
                      <w:rFonts w:hint="default" w:ascii="Times New Roman" w:hAnsi="Times New Roman" w:cs="Times New Roman"/>
                      <w:color w:val="000000"/>
                      <w:sz w:val="18"/>
                      <w:szCs w:val="18"/>
                      <w:lang w:val="en-US" w:eastAsia="zh-CN"/>
                    </w:rPr>
                    <w:t>5</w:t>
                  </w:r>
                </w:p>
              </w:tc>
            </w:tr>
            <w:tr w14:paraId="5F6946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07" w:type="pct"/>
                  <w:vMerge w:val="continue"/>
                  <w:tcBorders>
                    <w:top w:val="single" w:color="auto" w:sz="4" w:space="0"/>
                    <w:left w:val="nil"/>
                    <w:bottom w:val="single" w:color="auto" w:sz="4" w:space="0"/>
                    <w:right w:val="single" w:color="auto" w:sz="4" w:space="0"/>
                  </w:tcBorders>
                  <w:vAlign w:val="center"/>
                </w:tcPr>
                <w:p w14:paraId="43D17EF7">
                  <w:pPr>
                    <w:widowControl/>
                    <w:jc w:val="left"/>
                    <w:rPr>
                      <w:rFonts w:hint="default" w:ascii="Times New Roman" w:hAnsi="Times New Roman" w:cs="Times New Roman"/>
                      <w:color w:val="000000"/>
                      <w:sz w:val="18"/>
                      <w:szCs w:val="18"/>
                    </w:rPr>
                  </w:pPr>
                </w:p>
              </w:tc>
              <w:tc>
                <w:tcPr>
                  <w:tcW w:w="324" w:type="pct"/>
                  <w:vMerge w:val="restart"/>
                  <w:tcBorders>
                    <w:top w:val="single" w:color="auto" w:sz="4" w:space="0"/>
                    <w:left w:val="single" w:color="auto" w:sz="4" w:space="0"/>
                    <w:bottom w:val="single" w:color="auto" w:sz="4" w:space="0"/>
                    <w:right w:val="single" w:color="auto" w:sz="4" w:space="0"/>
                  </w:tcBorders>
                  <w:vAlign w:val="center"/>
                </w:tcPr>
                <w:p w14:paraId="00E8C115">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固体</w:t>
                  </w:r>
                </w:p>
                <w:p w14:paraId="69EE6F8B">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废物</w:t>
                  </w:r>
                </w:p>
              </w:tc>
              <w:tc>
                <w:tcPr>
                  <w:tcW w:w="379" w:type="pct"/>
                  <w:vMerge w:val="restart"/>
                  <w:tcBorders>
                    <w:top w:val="single" w:color="auto" w:sz="4" w:space="0"/>
                    <w:left w:val="single" w:color="auto" w:sz="4" w:space="0"/>
                    <w:bottom w:val="single" w:color="auto" w:sz="4" w:space="0"/>
                    <w:right w:val="single" w:color="auto" w:sz="4" w:space="0"/>
                  </w:tcBorders>
                  <w:vAlign w:val="center"/>
                </w:tcPr>
                <w:p w14:paraId="0307F58F">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固体废物</w:t>
                  </w:r>
                </w:p>
              </w:tc>
              <w:tc>
                <w:tcPr>
                  <w:tcW w:w="570" w:type="pct"/>
                  <w:tcBorders>
                    <w:top w:val="single" w:color="auto" w:sz="4" w:space="0"/>
                    <w:left w:val="single" w:color="auto" w:sz="4" w:space="0"/>
                    <w:bottom w:val="single" w:color="auto" w:sz="4" w:space="0"/>
                    <w:right w:val="single" w:color="auto" w:sz="4" w:space="0"/>
                  </w:tcBorders>
                  <w:vAlign w:val="center"/>
                </w:tcPr>
                <w:p w14:paraId="7FBA8CE3">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生活垃圾</w:t>
                  </w:r>
                </w:p>
              </w:tc>
              <w:tc>
                <w:tcPr>
                  <w:tcW w:w="1385" w:type="pct"/>
                  <w:tcBorders>
                    <w:top w:val="single" w:color="auto" w:sz="4" w:space="0"/>
                    <w:left w:val="single" w:color="auto" w:sz="4" w:space="0"/>
                    <w:bottom w:val="single" w:color="auto" w:sz="4" w:space="0"/>
                    <w:right w:val="single" w:color="auto" w:sz="4" w:space="0"/>
                  </w:tcBorders>
                  <w:vAlign w:val="center"/>
                </w:tcPr>
                <w:p w14:paraId="0CD94CC8">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委托环卫部门定期收集处理</w:t>
                  </w:r>
                </w:p>
              </w:tc>
              <w:tc>
                <w:tcPr>
                  <w:tcW w:w="1253" w:type="pct"/>
                  <w:tcBorders>
                    <w:top w:val="single" w:color="auto" w:sz="4" w:space="0"/>
                    <w:left w:val="single" w:color="auto" w:sz="4" w:space="0"/>
                    <w:bottom w:val="single" w:color="auto" w:sz="4" w:space="0"/>
                    <w:right w:val="single" w:color="auto" w:sz="4" w:space="0"/>
                  </w:tcBorders>
                  <w:vAlign w:val="center"/>
                </w:tcPr>
                <w:p w14:paraId="6E0DC9E8">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委托环卫部门定期收集处理</w:t>
                  </w:r>
                </w:p>
              </w:tc>
              <w:tc>
                <w:tcPr>
                  <w:tcW w:w="390" w:type="pct"/>
                  <w:vMerge w:val="restart"/>
                  <w:tcBorders>
                    <w:top w:val="single" w:color="auto" w:sz="4" w:space="0"/>
                    <w:left w:val="single" w:color="auto" w:sz="4" w:space="0"/>
                    <w:bottom w:val="single" w:color="auto" w:sz="4" w:space="0"/>
                    <w:right w:val="nil"/>
                  </w:tcBorders>
                  <w:vAlign w:val="center"/>
                </w:tcPr>
                <w:p w14:paraId="24D6E72F">
                  <w:pPr>
                    <w:adjustRightInd w:val="0"/>
                    <w:snapToGrid w:val="0"/>
                    <w:jc w:val="center"/>
                    <w:rPr>
                      <w:rFonts w:hint="default" w:ascii="Times New Roman" w:hAnsi="Times New Roman" w:eastAsia="宋体" w:cs="Times New Roman"/>
                      <w:color w:val="000000"/>
                      <w:sz w:val="18"/>
                      <w:szCs w:val="18"/>
                      <w:lang w:val="en-US" w:eastAsia="zh-CN"/>
                    </w:rPr>
                  </w:pPr>
                  <w:r>
                    <w:rPr>
                      <w:rFonts w:hint="default" w:ascii="Times New Roman" w:hAnsi="Times New Roman" w:cs="Times New Roman"/>
                      <w:color w:val="000000"/>
                      <w:sz w:val="18"/>
                      <w:szCs w:val="18"/>
                      <w:lang w:val="en-US" w:eastAsia="zh-CN"/>
                    </w:rPr>
                    <w:t>10</w:t>
                  </w:r>
                </w:p>
              </w:tc>
              <w:tc>
                <w:tcPr>
                  <w:tcW w:w="390" w:type="pct"/>
                  <w:vMerge w:val="restart"/>
                  <w:tcBorders>
                    <w:top w:val="single" w:color="auto" w:sz="4" w:space="0"/>
                    <w:left w:val="single" w:color="auto" w:sz="4" w:space="0"/>
                    <w:right w:val="nil"/>
                  </w:tcBorders>
                  <w:vAlign w:val="center"/>
                </w:tcPr>
                <w:p w14:paraId="396AF578">
                  <w:pPr>
                    <w:adjustRightInd w:val="0"/>
                    <w:snapToGrid w:val="0"/>
                    <w:jc w:val="center"/>
                    <w:rPr>
                      <w:rFonts w:hint="default" w:ascii="Times New Roman" w:hAnsi="Times New Roman" w:eastAsia="宋体" w:cs="Times New Roman"/>
                      <w:color w:val="000000"/>
                      <w:sz w:val="18"/>
                      <w:szCs w:val="18"/>
                      <w:lang w:val="en-US" w:eastAsia="zh-CN"/>
                    </w:rPr>
                  </w:pPr>
                  <w:r>
                    <w:rPr>
                      <w:rFonts w:hint="default" w:ascii="Times New Roman" w:hAnsi="Times New Roman" w:cs="Times New Roman"/>
                      <w:color w:val="000000"/>
                      <w:sz w:val="18"/>
                      <w:szCs w:val="18"/>
                      <w:lang w:val="en-US" w:eastAsia="zh-CN"/>
                    </w:rPr>
                    <w:t>10</w:t>
                  </w:r>
                </w:p>
              </w:tc>
            </w:tr>
            <w:tr w14:paraId="043281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690" w:hRule="atLeast"/>
                <w:jc w:val="center"/>
              </w:trPr>
              <w:tc>
                <w:tcPr>
                  <w:tcW w:w="307" w:type="pct"/>
                  <w:vMerge w:val="continue"/>
                  <w:tcBorders>
                    <w:top w:val="single" w:color="auto" w:sz="4" w:space="0"/>
                    <w:left w:val="nil"/>
                    <w:bottom w:val="single" w:color="auto" w:sz="4" w:space="0"/>
                    <w:right w:val="single" w:color="auto" w:sz="4" w:space="0"/>
                  </w:tcBorders>
                  <w:vAlign w:val="center"/>
                </w:tcPr>
                <w:p w14:paraId="72EE168C">
                  <w:pPr>
                    <w:widowControl/>
                    <w:jc w:val="left"/>
                    <w:rPr>
                      <w:rFonts w:hint="default" w:ascii="Times New Roman" w:hAnsi="Times New Roman" w:cs="Times New Roman"/>
                      <w:color w:val="000000"/>
                      <w:sz w:val="18"/>
                      <w:szCs w:val="18"/>
                    </w:rPr>
                  </w:pPr>
                </w:p>
              </w:tc>
              <w:tc>
                <w:tcPr>
                  <w:tcW w:w="324" w:type="pct"/>
                  <w:vMerge w:val="continue"/>
                  <w:tcBorders>
                    <w:top w:val="single" w:color="auto" w:sz="4" w:space="0"/>
                    <w:left w:val="single" w:color="auto" w:sz="4" w:space="0"/>
                    <w:bottom w:val="single" w:color="auto" w:sz="4" w:space="0"/>
                    <w:right w:val="single" w:color="auto" w:sz="4" w:space="0"/>
                  </w:tcBorders>
                  <w:vAlign w:val="center"/>
                </w:tcPr>
                <w:p w14:paraId="3CD5228C">
                  <w:pPr>
                    <w:widowControl/>
                    <w:jc w:val="left"/>
                    <w:rPr>
                      <w:rFonts w:hint="default" w:ascii="Times New Roman" w:hAnsi="Times New Roman" w:cs="Times New Roman"/>
                      <w:color w:val="000000"/>
                      <w:sz w:val="18"/>
                      <w:szCs w:val="18"/>
                    </w:rPr>
                  </w:pPr>
                </w:p>
              </w:tc>
              <w:tc>
                <w:tcPr>
                  <w:tcW w:w="379" w:type="pct"/>
                  <w:vMerge w:val="continue"/>
                  <w:tcBorders>
                    <w:top w:val="single" w:color="auto" w:sz="4" w:space="0"/>
                    <w:left w:val="single" w:color="auto" w:sz="4" w:space="0"/>
                    <w:bottom w:val="single" w:color="auto" w:sz="4" w:space="0"/>
                    <w:right w:val="single" w:color="auto" w:sz="4" w:space="0"/>
                  </w:tcBorders>
                  <w:vAlign w:val="center"/>
                </w:tcPr>
                <w:p w14:paraId="685547AC">
                  <w:pPr>
                    <w:widowControl/>
                    <w:jc w:val="left"/>
                    <w:rPr>
                      <w:rFonts w:hint="default" w:ascii="Times New Roman" w:hAnsi="Times New Roman" w:cs="Times New Roman"/>
                      <w:color w:val="000000"/>
                      <w:sz w:val="18"/>
                      <w:szCs w:val="18"/>
                    </w:rPr>
                  </w:pPr>
                </w:p>
              </w:tc>
              <w:tc>
                <w:tcPr>
                  <w:tcW w:w="570" w:type="pct"/>
                  <w:tcBorders>
                    <w:top w:val="single" w:color="auto" w:sz="4" w:space="0"/>
                    <w:left w:val="single" w:color="auto" w:sz="4" w:space="0"/>
                    <w:bottom w:val="single" w:color="auto" w:sz="4" w:space="0"/>
                    <w:right w:val="single" w:color="auto" w:sz="4" w:space="0"/>
                  </w:tcBorders>
                  <w:vAlign w:val="center"/>
                </w:tcPr>
                <w:p w14:paraId="59D0B718">
                  <w:pPr>
                    <w:jc w:val="center"/>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sz w:val="18"/>
                      <w:szCs w:val="18"/>
                    </w:rPr>
                    <w:t>到港船舶舱底油污水</w:t>
                  </w:r>
                </w:p>
              </w:tc>
              <w:tc>
                <w:tcPr>
                  <w:tcW w:w="1385" w:type="pct"/>
                  <w:tcBorders>
                    <w:top w:val="single" w:color="auto" w:sz="4" w:space="0"/>
                    <w:left w:val="single" w:color="auto" w:sz="4" w:space="0"/>
                    <w:bottom w:val="single" w:color="auto" w:sz="4" w:space="0"/>
                    <w:right w:val="single" w:color="auto" w:sz="4" w:space="0"/>
                  </w:tcBorders>
                  <w:vAlign w:val="center"/>
                </w:tcPr>
                <w:p w14:paraId="2842B01C">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bCs/>
                      <w:sz w:val="18"/>
                      <w:szCs w:val="18"/>
                    </w:rPr>
                    <w:t>由武汉长喆船舶技术有限公司的油污水处理接收船接收处理</w:t>
                  </w:r>
                </w:p>
              </w:tc>
              <w:tc>
                <w:tcPr>
                  <w:tcW w:w="1253" w:type="pct"/>
                  <w:tcBorders>
                    <w:top w:val="single" w:color="auto" w:sz="4" w:space="0"/>
                    <w:left w:val="single" w:color="auto" w:sz="4" w:space="0"/>
                    <w:right w:val="single" w:color="auto" w:sz="4" w:space="0"/>
                  </w:tcBorders>
                  <w:vAlign w:val="center"/>
                </w:tcPr>
                <w:p w14:paraId="1977087E">
                  <w:pPr>
                    <w:widowControl/>
                    <w:jc w:val="left"/>
                    <w:rPr>
                      <w:rFonts w:hint="default" w:ascii="Times New Roman" w:hAnsi="Times New Roman" w:cs="Times New Roman"/>
                      <w:color w:val="000000"/>
                      <w:sz w:val="18"/>
                      <w:szCs w:val="18"/>
                    </w:rPr>
                  </w:pPr>
                  <w:r>
                    <w:rPr>
                      <w:rFonts w:hint="default" w:ascii="Times New Roman" w:hAnsi="Times New Roman" w:cs="Times New Roman"/>
                      <w:bCs/>
                      <w:sz w:val="18"/>
                      <w:szCs w:val="18"/>
                    </w:rPr>
                    <w:t>由武汉长喆船舶技术有限公司的油污水处理接收船接收处理</w:t>
                  </w:r>
                </w:p>
              </w:tc>
              <w:tc>
                <w:tcPr>
                  <w:tcW w:w="390" w:type="pct"/>
                  <w:vMerge w:val="continue"/>
                  <w:tcBorders>
                    <w:top w:val="single" w:color="auto" w:sz="4" w:space="0"/>
                    <w:left w:val="single" w:color="auto" w:sz="4" w:space="0"/>
                    <w:bottom w:val="single" w:color="auto" w:sz="4" w:space="0"/>
                    <w:right w:val="nil"/>
                  </w:tcBorders>
                  <w:vAlign w:val="center"/>
                </w:tcPr>
                <w:p w14:paraId="13B985E6">
                  <w:pPr>
                    <w:widowControl/>
                    <w:jc w:val="center"/>
                    <w:rPr>
                      <w:rFonts w:hint="default" w:ascii="Times New Roman" w:hAnsi="Times New Roman" w:cs="Times New Roman"/>
                      <w:color w:val="000000"/>
                      <w:sz w:val="18"/>
                      <w:szCs w:val="18"/>
                    </w:rPr>
                  </w:pPr>
                </w:p>
              </w:tc>
              <w:tc>
                <w:tcPr>
                  <w:tcW w:w="390" w:type="pct"/>
                  <w:vMerge w:val="continue"/>
                  <w:tcBorders>
                    <w:left w:val="single" w:color="auto" w:sz="4" w:space="0"/>
                    <w:right w:val="nil"/>
                  </w:tcBorders>
                  <w:vAlign w:val="center"/>
                </w:tcPr>
                <w:p w14:paraId="25FCFB30">
                  <w:pPr>
                    <w:widowControl/>
                    <w:jc w:val="center"/>
                    <w:rPr>
                      <w:rFonts w:hint="default" w:ascii="Times New Roman" w:hAnsi="Times New Roman" w:cs="Times New Roman"/>
                      <w:color w:val="000000"/>
                      <w:sz w:val="18"/>
                      <w:szCs w:val="18"/>
                    </w:rPr>
                  </w:pPr>
                </w:p>
              </w:tc>
            </w:tr>
            <w:tr w14:paraId="6DBA2B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581" w:type="pct"/>
                  <w:gridSpan w:val="4"/>
                  <w:tcBorders>
                    <w:top w:val="single" w:color="auto" w:sz="4" w:space="0"/>
                    <w:left w:val="nil"/>
                    <w:bottom w:val="single" w:color="auto" w:sz="4" w:space="0"/>
                    <w:right w:val="single" w:color="auto" w:sz="4" w:space="0"/>
                  </w:tcBorders>
                  <w:vAlign w:val="center"/>
                </w:tcPr>
                <w:p w14:paraId="0201E673">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环境风险</w:t>
                  </w:r>
                </w:p>
              </w:tc>
              <w:tc>
                <w:tcPr>
                  <w:tcW w:w="1385" w:type="pct"/>
                  <w:tcBorders>
                    <w:top w:val="single" w:color="auto" w:sz="4" w:space="0"/>
                    <w:left w:val="single" w:color="auto" w:sz="4" w:space="0"/>
                    <w:bottom w:val="single" w:color="auto" w:sz="4" w:space="0"/>
                    <w:right w:val="single" w:color="auto" w:sz="4" w:space="0"/>
                  </w:tcBorders>
                  <w:vAlign w:val="center"/>
                </w:tcPr>
                <w:p w14:paraId="1B45637D">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加强事故风险防范措施及应急预案</w:t>
                  </w:r>
                </w:p>
              </w:tc>
              <w:tc>
                <w:tcPr>
                  <w:tcW w:w="1253" w:type="pct"/>
                  <w:tcBorders>
                    <w:top w:val="single" w:color="auto" w:sz="4" w:space="0"/>
                    <w:left w:val="single" w:color="auto" w:sz="4" w:space="0"/>
                    <w:bottom w:val="single" w:color="auto" w:sz="4" w:space="0"/>
                    <w:right w:val="single" w:color="auto" w:sz="4" w:space="0"/>
                  </w:tcBorders>
                  <w:vAlign w:val="center"/>
                </w:tcPr>
                <w:p w14:paraId="724C5EF8">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已编制环境风险应急预案</w:t>
                  </w:r>
                </w:p>
              </w:tc>
              <w:tc>
                <w:tcPr>
                  <w:tcW w:w="390" w:type="pct"/>
                  <w:tcBorders>
                    <w:top w:val="single" w:color="auto" w:sz="4" w:space="0"/>
                    <w:left w:val="single" w:color="auto" w:sz="4" w:space="0"/>
                    <w:bottom w:val="single" w:color="auto" w:sz="4" w:space="0"/>
                    <w:right w:val="nil"/>
                  </w:tcBorders>
                  <w:vAlign w:val="center"/>
                </w:tcPr>
                <w:p w14:paraId="0111F067">
                  <w:pPr>
                    <w:jc w:val="center"/>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sz w:val="18"/>
                      <w:szCs w:val="18"/>
                    </w:rPr>
                    <w:t>到港船舶舱底油污水</w:t>
                  </w:r>
                </w:p>
              </w:tc>
              <w:tc>
                <w:tcPr>
                  <w:tcW w:w="390" w:type="pct"/>
                  <w:tcBorders>
                    <w:top w:val="single" w:color="auto" w:sz="4" w:space="0"/>
                    <w:left w:val="single" w:color="auto" w:sz="4" w:space="0"/>
                    <w:bottom w:val="single" w:color="auto" w:sz="4" w:space="0"/>
                    <w:right w:val="nil"/>
                  </w:tcBorders>
                  <w:vAlign w:val="center"/>
                </w:tcPr>
                <w:p w14:paraId="7C997BA6">
                  <w:pPr>
                    <w:adjustRightInd w:val="0"/>
                    <w:snapToGrid w:val="0"/>
                    <w:jc w:val="center"/>
                    <w:rPr>
                      <w:rFonts w:hint="default" w:ascii="Times New Roman" w:hAnsi="Times New Roman" w:eastAsia="宋体" w:cs="Times New Roman"/>
                      <w:color w:val="000000"/>
                      <w:sz w:val="18"/>
                      <w:szCs w:val="18"/>
                      <w:lang w:val="en-US" w:eastAsia="zh-CN"/>
                    </w:rPr>
                  </w:pPr>
                  <w:r>
                    <w:rPr>
                      <w:rFonts w:hint="default" w:ascii="Times New Roman" w:hAnsi="Times New Roman" w:cs="Times New Roman"/>
                      <w:color w:val="000000"/>
                      <w:sz w:val="18"/>
                      <w:szCs w:val="18"/>
                      <w:lang w:val="en-US" w:eastAsia="zh-CN"/>
                    </w:rPr>
                    <w:t>15</w:t>
                  </w:r>
                </w:p>
              </w:tc>
            </w:tr>
            <w:tr w14:paraId="7CDC0F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219" w:type="pct"/>
                  <w:gridSpan w:val="6"/>
                  <w:tcBorders>
                    <w:top w:val="single" w:color="auto" w:sz="4" w:space="0"/>
                    <w:left w:val="nil"/>
                    <w:bottom w:val="single" w:color="auto" w:sz="12" w:space="0"/>
                    <w:right w:val="single" w:color="auto" w:sz="4" w:space="0"/>
                  </w:tcBorders>
                  <w:vAlign w:val="center"/>
                </w:tcPr>
                <w:p w14:paraId="74A16064">
                  <w:pPr>
                    <w:adjustRightInd w:val="0"/>
                    <w:snapToGrid w:val="0"/>
                    <w:jc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合计</w:t>
                  </w:r>
                </w:p>
              </w:tc>
              <w:tc>
                <w:tcPr>
                  <w:tcW w:w="390" w:type="pct"/>
                  <w:tcBorders>
                    <w:top w:val="single" w:color="auto" w:sz="4" w:space="0"/>
                    <w:left w:val="single" w:color="auto" w:sz="4" w:space="0"/>
                    <w:bottom w:val="single" w:color="auto" w:sz="12" w:space="0"/>
                    <w:right w:val="nil"/>
                  </w:tcBorders>
                  <w:vAlign w:val="center"/>
                </w:tcPr>
                <w:p w14:paraId="3E9CD6BC">
                  <w:pPr>
                    <w:adjustRightInd w:val="0"/>
                    <w:snapToGrid w:val="0"/>
                    <w:jc w:val="center"/>
                    <w:rPr>
                      <w:rFonts w:hint="default" w:ascii="Times New Roman" w:hAnsi="Times New Roman" w:eastAsia="宋体" w:cs="Times New Roman"/>
                      <w:color w:val="000000"/>
                      <w:sz w:val="18"/>
                      <w:szCs w:val="18"/>
                      <w:lang w:val="en-US" w:eastAsia="zh-CN"/>
                    </w:rPr>
                  </w:pPr>
                  <w:r>
                    <w:rPr>
                      <w:rFonts w:hint="default" w:ascii="Times New Roman" w:hAnsi="Times New Roman" w:cs="Times New Roman"/>
                      <w:color w:val="000000"/>
                      <w:sz w:val="18"/>
                      <w:szCs w:val="18"/>
                      <w:lang w:val="en-US" w:eastAsia="zh-CN"/>
                    </w:rPr>
                    <w:t>300</w:t>
                  </w:r>
                </w:p>
              </w:tc>
              <w:tc>
                <w:tcPr>
                  <w:tcW w:w="390" w:type="pct"/>
                  <w:tcBorders>
                    <w:top w:val="single" w:color="auto" w:sz="4" w:space="0"/>
                    <w:left w:val="single" w:color="auto" w:sz="4" w:space="0"/>
                    <w:bottom w:val="single" w:color="auto" w:sz="12" w:space="0"/>
                    <w:right w:val="nil"/>
                  </w:tcBorders>
                  <w:vAlign w:val="center"/>
                </w:tcPr>
                <w:p w14:paraId="07599971">
                  <w:pPr>
                    <w:adjustRightInd w:val="0"/>
                    <w:snapToGrid w:val="0"/>
                    <w:jc w:val="center"/>
                    <w:rPr>
                      <w:rFonts w:hint="default" w:ascii="Times New Roman" w:hAnsi="Times New Roman" w:eastAsia="宋体" w:cs="Times New Roman"/>
                      <w:color w:val="000000"/>
                      <w:sz w:val="18"/>
                      <w:szCs w:val="18"/>
                      <w:lang w:val="en-US" w:eastAsia="zh-CN"/>
                    </w:rPr>
                  </w:pPr>
                  <w:r>
                    <w:rPr>
                      <w:rFonts w:hint="default" w:ascii="Times New Roman" w:hAnsi="Times New Roman" w:cs="Times New Roman"/>
                      <w:color w:val="000000"/>
                      <w:sz w:val="18"/>
                      <w:szCs w:val="18"/>
                      <w:lang w:val="en-US" w:eastAsia="zh-CN"/>
                    </w:rPr>
                    <w:t>300</w:t>
                  </w:r>
                </w:p>
              </w:tc>
            </w:tr>
          </w:tbl>
          <w:p w14:paraId="27F74C4A">
            <w:pPr>
              <w:spacing w:line="440" w:lineRule="exact"/>
              <w:rPr>
                <w:rFonts w:hint="default" w:ascii="Times New Roman" w:hAnsi="Times New Roman" w:cs="Times New Roman"/>
                <w:b/>
                <w:sz w:val="24"/>
              </w:rPr>
            </w:pPr>
            <w:r>
              <w:rPr>
                <w:rFonts w:hint="default" w:ascii="Times New Roman" w:hAnsi="Times New Roman" w:cs="Times New Roman"/>
                <w:b/>
                <w:sz w:val="24"/>
              </w:rPr>
              <w:t>4.9与项目有关的生态破坏和污染物排放、主要环境问题及环境保护措施</w:t>
            </w:r>
          </w:p>
          <w:p w14:paraId="7E3F2B29">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经调查，项目施工期无遗留环境问题，本次验收项目施工期进行回顾性分析。</w:t>
            </w:r>
          </w:p>
          <w:p w14:paraId="58CBC5EE">
            <w:pPr>
              <w:spacing w:line="360" w:lineRule="auto"/>
              <w:rPr>
                <w:rFonts w:hint="default" w:ascii="Times New Roman" w:hAnsi="Times New Roman" w:cs="Times New Roman"/>
                <w:b/>
                <w:sz w:val="24"/>
              </w:rPr>
            </w:pPr>
            <w:r>
              <w:rPr>
                <w:rFonts w:hint="default" w:ascii="Times New Roman" w:hAnsi="Times New Roman" w:cs="Times New Roman"/>
                <w:b/>
                <w:sz w:val="24"/>
              </w:rPr>
              <w:t>4.9.1 施工期</w:t>
            </w:r>
          </w:p>
          <w:p w14:paraId="7DCA9918">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（1）大气环境影响</w:t>
            </w:r>
          </w:p>
          <w:p w14:paraId="59DF2BDD">
            <w:pPr>
              <w:spacing w:line="360" w:lineRule="auto"/>
              <w:ind w:firstLine="480" w:firstLineChars="200"/>
              <w:rPr>
                <w:rFonts w:hint="default" w:ascii="Times New Roman" w:hAnsi="Times New Roman" w:cs="Times New Roman"/>
                <w:sz w:val="24"/>
              </w:rPr>
            </w:pPr>
            <w:r>
              <w:rPr>
                <w:rFonts w:hint="default" w:ascii="Times New Roman" w:hAnsi="Times New Roman" w:cs="Times New Roman"/>
                <w:kern w:val="0"/>
                <w:sz w:val="24"/>
              </w:rPr>
              <w:t>施工期主要大气污染物为扬尘，</w:t>
            </w:r>
            <w:r>
              <w:rPr>
                <w:rFonts w:hint="default" w:ascii="Times New Roman" w:hAnsi="Times New Roman" w:cs="Times New Roman"/>
                <w:sz w:val="24"/>
              </w:rPr>
              <w:t>建筑材料和运输车辆通过加盖篷布，设置施工围挡，增加洒水等方式减少施工扬尘。加强施工机械维护保养。</w:t>
            </w:r>
          </w:p>
          <w:p w14:paraId="18803422">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（2）地表水环境影响</w:t>
            </w:r>
          </w:p>
          <w:p w14:paraId="55003BEA">
            <w:pPr>
              <w:pStyle w:val="91"/>
              <w:rPr>
                <w:rFonts w:hint="default" w:ascii="Times New Roman" w:hAnsi="Times New Roman" w:cs="Times New Roman"/>
                <w:color w:val="000000"/>
                <w:szCs w:val="20"/>
              </w:rPr>
            </w:pPr>
            <w:r>
              <w:rPr>
                <w:rFonts w:hint="default" w:ascii="Times New Roman" w:hAnsi="Times New Roman" w:cs="Times New Roman"/>
                <w:color w:val="000000"/>
                <w:szCs w:val="20"/>
              </w:rPr>
              <w:t>（1）施工人员生活污水</w:t>
            </w:r>
          </w:p>
          <w:p w14:paraId="45CDAAE8">
            <w:pPr>
              <w:pStyle w:val="91"/>
              <w:rPr>
                <w:rFonts w:hint="default" w:ascii="Times New Roman" w:hAnsi="Times New Roman" w:cs="Times New Roman"/>
                <w:color w:val="000000"/>
                <w:szCs w:val="20"/>
              </w:rPr>
            </w:pPr>
            <w:r>
              <w:rPr>
                <w:rFonts w:hint="default" w:ascii="Times New Roman" w:hAnsi="Times New Roman" w:cs="Times New Roman"/>
                <w:color w:val="000000"/>
                <w:szCs w:val="20"/>
              </w:rPr>
              <w:t>本项目不涉及施工人员集中生活的营地，施工人员的生活用水依托周边居民区进行解决，故本项目施工期无施工人员生活污水产生。</w:t>
            </w:r>
          </w:p>
          <w:p w14:paraId="4069169B">
            <w:pPr>
              <w:pStyle w:val="91"/>
              <w:rPr>
                <w:rFonts w:hint="default" w:ascii="Times New Roman" w:hAnsi="Times New Roman" w:cs="Times New Roman"/>
                <w:color w:val="000000"/>
                <w:szCs w:val="20"/>
              </w:rPr>
            </w:pPr>
            <w:r>
              <w:rPr>
                <w:rFonts w:hint="default" w:ascii="Times New Roman" w:hAnsi="Times New Roman" w:cs="Times New Roman"/>
                <w:color w:val="000000"/>
                <w:szCs w:val="20"/>
              </w:rPr>
              <w:t>（2）沙浆</w:t>
            </w:r>
          </w:p>
          <w:p w14:paraId="44DD0F00">
            <w:pPr>
              <w:spacing w:line="360" w:lineRule="auto"/>
              <w:ind w:firstLine="480" w:firstLineChars="200"/>
              <w:rPr>
                <w:rFonts w:hint="default" w:ascii="Times New Roman" w:hAnsi="Times New Roman" w:cs="Times New Roman"/>
                <w:sz w:val="32"/>
              </w:rPr>
            </w:pPr>
            <w:r>
              <w:rPr>
                <w:rFonts w:hint="default" w:ascii="Times New Roman" w:hAnsi="Times New Roman" w:cs="Times New Roman"/>
                <w:color w:val="000000"/>
                <w:sz w:val="24"/>
                <w:szCs w:val="20"/>
              </w:rPr>
              <w:t>本项目在江底沉锤基坑施工时，会产一定的砂浆，其主要污染物为SS，经设置的临时沉淀池（金属结构）先进行沉淀处理后，上清液回用于场区洒水降尘，</w:t>
            </w:r>
            <w:r>
              <w:rPr>
                <w:rFonts w:hint="default" w:ascii="Times New Roman" w:hAnsi="Times New Roman" w:cs="Times New Roman"/>
                <w:color w:val="000000"/>
                <w:sz w:val="24"/>
              </w:rPr>
              <w:t>下层泥沙经沉淀池晾晒处理后</w:t>
            </w:r>
            <w:r>
              <w:rPr>
                <w:rFonts w:hint="default" w:ascii="Times New Roman" w:hAnsi="Times New Roman" w:cs="Times New Roman"/>
                <w:color w:val="000000"/>
                <w:sz w:val="24"/>
                <w:szCs w:val="20"/>
              </w:rPr>
              <w:t>按《市人民政府关于加强施工渣土管理的通告》要求运至政府指定场所进行处理。</w:t>
            </w:r>
          </w:p>
          <w:p w14:paraId="36056EB9">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（3）噪声</w:t>
            </w:r>
          </w:p>
          <w:p w14:paraId="606838E2">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施工期噪声主要来源于起重机、搅拌机、打桩船等施工机械，噪声值为76~120dB（A）。</w:t>
            </w:r>
          </w:p>
          <w:p w14:paraId="10C0DCE9">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采取的降噪措施主要有：</w:t>
            </w:r>
          </w:p>
          <w:p w14:paraId="386EA966">
            <w:pPr>
              <w:pStyle w:val="61"/>
              <w:numPr>
                <w:ilvl w:val="0"/>
                <w:numId w:val="2"/>
              </w:numPr>
              <w:spacing w:after="0" w:line="360" w:lineRule="auto"/>
              <w:ind w:firstLineChars="0"/>
              <w:rPr>
                <w:rFonts w:hint="default" w:ascii="Times New Roman" w:hAnsi="Times New Roman" w:cs="Times New Roman" w:eastAsiaTheme="minorEastAsia"/>
                <w:sz w:val="24"/>
              </w:rPr>
            </w:pPr>
            <w:r>
              <w:rPr>
                <w:rFonts w:hint="default" w:ascii="Times New Roman" w:hAnsi="Times New Roman" w:cs="Times New Roman" w:eastAsiaTheme="minorEastAsia"/>
                <w:sz w:val="24"/>
              </w:rPr>
              <w:t>采用低噪声设备，对设备进行定期保养和维护；</w:t>
            </w:r>
          </w:p>
          <w:p w14:paraId="65D2789A">
            <w:pPr>
              <w:pStyle w:val="61"/>
              <w:numPr>
                <w:ilvl w:val="0"/>
                <w:numId w:val="2"/>
              </w:numPr>
              <w:spacing w:after="0" w:line="360" w:lineRule="auto"/>
              <w:ind w:firstLineChars="0"/>
              <w:rPr>
                <w:rFonts w:hint="default" w:ascii="Times New Roman" w:hAnsi="Times New Roman" w:cs="Times New Roman" w:eastAsiaTheme="minorEastAsia"/>
                <w:sz w:val="24"/>
              </w:rPr>
            </w:pPr>
            <w:r>
              <w:rPr>
                <w:rFonts w:hint="default" w:ascii="Times New Roman" w:hAnsi="Times New Roman" w:cs="Times New Roman" w:eastAsiaTheme="minorEastAsia"/>
                <w:sz w:val="24"/>
              </w:rPr>
              <w:t>设置临时屏障。</w:t>
            </w:r>
          </w:p>
          <w:p w14:paraId="646B0221">
            <w:pPr>
              <w:pStyle w:val="61"/>
              <w:numPr>
                <w:ilvl w:val="0"/>
                <w:numId w:val="2"/>
              </w:numPr>
              <w:spacing w:after="0" w:line="360" w:lineRule="auto"/>
              <w:ind w:firstLineChars="0"/>
              <w:rPr>
                <w:rFonts w:hint="default" w:ascii="Times New Roman" w:hAnsi="Times New Roman" w:cs="Times New Roman" w:eastAsiaTheme="minorEastAsia"/>
                <w:sz w:val="24"/>
              </w:rPr>
            </w:pPr>
            <w:r>
              <w:rPr>
                <w:rFonts w:hint="default" w:ascii="Times New Roman" w:hAnsi="Times New Roman" w:cs="Times New Roman" w:eastAsiaTheme="minorEastAsia"/>
                <w:sz w:val="24"/>
              </w:rPr>
              <w:t>禁止夜间施工。</w:t>
            </w:r>
          </w:p>
          <w:p w14:paraId="55967E34">
            <w:pPr>
              <w:pStyle w:val="61"/>
              <w:numPr>
                <w:ilvl w:val="0"/>
                <w:numId w:val="2"/>
              </w:numPr>
              <w:spacing w:after="0" w:line="360" w:lineRule="auto"/>
              <w:ind w:left="0" w:firstLine="480" w:firstLineChars="0"/>
              <w:rPr>
                <w:rFonts w:hint="default" w:ascii="Times New Roman" w:hAnsi="Times New Roman" w:cs="Times New Roman" w:eastAsiaTheme="minorEastAsia"/>
                <w:sz w:val="24"/>
              </w:rPr>
            </w:pPr>
            <w:r>
              <w:rPr>
                <w:rFonts w:hint="default" w:ascii="Times New Roman" w:hAnsi="Times New Roman" w:cs="Times New Roman" w:eastAsiaTheme="minorEastAsia"/>
                <w:sz w:val="24"/>
              </w:rPr>
              <w:t>施工场所的机动车辆出入地点远离环境敏感点，车辆出入现场时低速、禁止鸣笛。</w:t>
            </w:r>
          </w:p>
          <w:p w14:paraId="78093DAB">
            <w:pPr>
              <w:pStyle w:val="61"/>
              <w:numPr>
                <w:ilvl w:val="0"/>
                <w:numId w:val="2"/>
              </w:numPr>
              <w:spacing w:after="0" w:line="360" w:lineRule="auto"/>
              <w:ind w:firstLineChars="0"/>
              <w:rPr>
                <w:rFonts w:hint="default" w:ascii="Times New Roman" w:hAnsi="Times New Roman" w:cs="Times New Roman" w:eastAsiaTheme="minorEastAsia"/>
                <w:sz w:val="24"/>
              </w:rPr>
            </w:pPr>
            <w:r>
              <w:rPr>
                <w:rFonts w:hint="default" w:ascii="Times New Roman" w:hAnsi="Times New Roman" w:cs="Times New Roman" w:eastAsiaTheme="minorEastAsia"/>
                <w:sz w:val="24"/>
              </w:rPr>
              <w:t>将混凝土搅拌机等高噪声的作业点合理的布置尽量远离居住区；</w:t>
            </w:r>
          </w:p>
          <w:p w14:paraId="7587BD7C">
            <w:pPr>
              <w:pStyle w:val="61"/>
              <w:numPr>
                <w:ilvl w:val="0"/>
                <w:numId w:val="2"/>
              </w:numPr>
              <w:spacing w:after="0" w:line="360" w:lineRule="auto"/>
              <w:ind w:firstLineChars="0"/>
              <w:rPr>
                <w:rFonts w:hint="default" w:ascii="Times New Roman" w:hAnsi="Times New Roman" w:cs="Times New Roman" w:eastAsiaTheme="minorEastAsia"/>
                <w:sz w:val="24"/>
              </w:rPr>
            </w:pPr>
            <w:r>
              <w:rPr>
                <w:rFonts w:hint="default" w:ascii="Times New Roman" w:hAnsi="Times New Roman" w:cs="Times New Roman" w:eastAsiaTheme="minorEastAsia"/>
                <w:sz w:val="24"/>
              </w:rPr>
              <w:t>合理安排施工进度，加强管理，避免高噪声设备同步使用。</w:t>
            </w:r>
          </w:p>
          <w:p w14:paraId="703025D5">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经调查，本项目在施工期间采取以上噪声防治措施，未对周围声环境产生不利影响。</w:t>
            </w:r>
          </w:p>
          <w:p w14:paraId="3F18304F">
            <w:pPr>
              <w:spacing w:line="336" w:lineRule="auto"/>
              <w:ind w:firstLine="480" w:firstLineChars="200"/>
              <w:rPr>
                <w:rFonts w:hint="default" w:ascii="Times New Roman" w:hAnsi="Times New Roman" w:cs="Times New Roman"/>
                <w:sz w:val="24"/>
              </w:rPr>
            </w:pPr>
            <w:r>
              <w:rPr>
                <w:rFonts w:hint="default" w:ascii="Times New Roman" w:hAnsi="Times New Roman" w:cs="Times New Roman"/>
                <w:sz w:val="24"/>
              </w:rPr>
              <w:t>（4）固体废物</w:t>
            </w:r>
          </w:p>
          <w:p w14:paraId="1F89F146">
            <w:pPr>
              <w:pStyle w:val="91"/>
              <w:rPr>
                <w:rFonts w:hint="default" w:ascii="Times New Roman" w:hAnsi="Times New Roman" w:cs="Times New Roman"/>
                <w:color w:val="000000"/>
                <w:szCs w:val="20"/>
              </w:rPr>
            </w:pPr>
            <w:r>
              <w:rPr>
                <w:rFonts w:hint="default" w:ascii="Times New Roman" w:hAnsi="Times New Roman" w:cs="Times New Roman"/>
                <w:color w:val="000000"/>
                <w:szCs w:val="20"/>
              </w:rPr>
              <w:t>本项目固体废弃物主要来源于施工人员的生活垃圾、废弃的土方和疏浚泥沙。生活垃圾交由环卫部门清运。废弃的土方和疏浚泥沙，经“沉淀+晾晒”处理，按《市人民政府关于加强施工渣土管理的通告》要求运至政府指定场所进行处理。项目在进行斜坡道的施工过程中需要在江滩进行土石方开挖，土方施工产生的土石方一部分用于回填，其他富余土方由施工单位按《市人民政府关于加强施工渣土管理的通告》要求运至政府指定场所。</w:t>
            </w:r>
          </w:p>
          <w:p w14:paraId="6F043243">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经调查，本项目在施工期间采取以上固废防治措施，未对周围环境产生不利影响。</w:t>
            </w:r>
          </w:p>
          <w:p w14:paraId="6DD812A1">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（5）生态影响</w:t>
            </w:r>
          </w:p>
          <w:p w14:paraId="4F657828">
            <w:pPr>
              <w:pStyle w:val="90"/>
              <w:adjustRightInd/>
              <w:spacing w:line="360" w:lineRule="auto"/>
              <w:ind w:firstLine="480" w:firstLineChars="200"/>
              <w:jc w:val="both"/>
              <w:rPr>
                <w:rFonts w:hint="default" w:ascii="Times New Roman" w:hAnsi="Times New Roman" w:cs="Times New Roman"/>
                <w:bCs/>
              </w:rPr>
            </w:pPr>
            <w:r>
              <w:rPr>
                <w:rFonts w:hint="default" w:ascii="Times New Roman" w:hAnsi="Times New Roman" w:cs="Times New Roman"/>
                <w:bCs/>
              </w:rPr>
              <w:t>①对水生动植物的影响</w:t>
            </w:r>
          </w:p>
          <w:p w14:paraId="0D9C089A">
            <w:pPr>
              <w:pStyle w:val="90"/>
              <w:adjustRightInd/>
              <w:spacing w:line="360" w:lineRule="auto"/>
              <w:ind w:firstLine="480" w:firstLineChars="200"/>
              <w:jc w:val="both"/>
              <w:rPr>
                <w:rFonts w:hint="default" w:ascii="Times New Roman" w:hAnsi="Times New Roman" w:cs="Times New Roman"/>
              </w:rPr>
            </w:pPr>
            <w:r>
              <w:rPr>
                <w:rFonts w:hint="default" w:ascii="Times New Roman" w:hAnsi="Times New Roman" w:cs="Times New Roman"/>
                <w:bCs/>
              </w:rPr>
              <w:t>本工程施工面较小，施工活动对水体的扰动影响有限，不足以对生态系统产生明显影响，且水下施工选择在枯水期施工，最大限度的避免江水扰动，因此对水生动植物未造成明显影响。</w:t>
            </w:r>
          </w:p>
          <w:p w14:paraId="3BD4689E">
            <w:pPr>
              <w:pStyle w:val="90"/>
              <w:adjustRightInd/>
              <w:spacing w:line="360" w:lineRule="auto"/>
              <w:ind w:firstLine="480" w:firstLineChars="200"/>
              <w:jc w:val="both"/>
              <w:rPr>
                <w:rFonts w:hint="default" w:ascii="Times New Roman" w:hAnsi="Times New Roman" w:cs="Times New Roman"/>
              </w:rPr>
            </w:pPr>
            <w:r>
              <w:rPr>
                <w:rFonts w:hint="default" w:ascii="Times New Roman" w:hAnsi="Times New Roman" w:cs="Times New Roman"/>
              </w:rPr>
              <w:t>②对陆生动植物的影响</w:t>
            </w:r>
          </w:p>
          <w:p w14:paraId="57CD082D">
            <w:pPr>
              <w:pStyle w:val="90"/>
              <w:adjustRightInd/>
              <w:spacing w:line="360" w:lineRule="auto"/>
              <w:ind w:firstLine="480" w:firstLineChars="200"/>
              <w:jc w:val="both"/>
              <w:rPr>
                <w:rFonts w:hint="default" w:ascii="Times New Roman" w:hAnsi="Times New Roman" w:cs="Times New Roman"/>
              </w:rPr>
            </w:pPr>
            <w:r>
              <w:rPr>
                <w:rFonts w:hint="default" w:ascii="Times New Roman" w:hAnsi="Times New Roman" w:cs="Times New Roman"/>
              </w:rPr>
              <w:t>本项目占用陆地范围内无任何植被，不会造成地表植被损失。施工过程中的噪声虽然会对周边陆生动物造成惊扰，但本项目工程只在动物的主要活动时间（白天）施工，随着施工的结束，对动物的惊扰将逐渐恢复。</w:t>
            </w:r>
          </w:p>
          <w:p w14:paraId="4E3B1353">
            <w:pPr>
              <w:spacing w:line="360" w:lineRule="auto"/>
              <w:ind w:firstLine="480" w:firstLineChars="200"/>
              <w:rPr>
                <w:rFonts w:hint="default" w:ascii="Times New Roman" w:hAnsi="Times New Roman" w:cs="Times New Roman"/>
                <w:bCs/>
                <w:sz w:val="24"/>
              </w:rPr>
            </w:pPr>
            <w:r>
              <w:rPr>
                <w:rFonts w:hint="default" w:ascii="Times New Roman" w:hAnsi="Times New Roman" w:cs="Times New Roman"/>
                <w:bCs/>
                <w:sz w:val="24"/>
              </w:rPr>
              <w:t>③采取的生态保护措施</w:t>
            </w:r>
          </w:p>
          <w:p w14:paraId="70ED83C9">
            <w:pPr>
              <w:pStyle w:val="90"/>
              <w:adjustRightInd/>
              <w:spacing w:line="360" w:lineRule="auto"/>
              <w:ind w:firstLine="480" w:firstLineChars="200"/>
              <w:jc w:val="both"/>
              <w:rPr>
                <w:rFonts w:hint="default" w:ascii="Times New Roman" w:hAnsi="Times New Roman" w:cs="Times New Roman"/>
              </w:rPr>
            </w:pPr>
            <w:r>
              <w:rPr>
                <w:rFonts w:hint="default" w:ascii="Times New Roman" w:hAnsi="Times New Roman" w:cs="Times New Roman"/>
              </w:rPr>
              <w:t>a.加强施工管理，严格按照施工布置，控制施工范围，禁止随意设置施工场地；</w:t>
            </w:r>
          </w:p>
          <w:p w14:paraId="2EDA83C4">
            <w:pPr>
              <w:spacing w:line="360" w:lineRule="auto"/>
              <w:ind w:firstLine="480" w:firstLineChars="200"/>
              <w:rPr>
                <w:rFonts w:hint="default" w:ascii="Times New Roman" w:hAnsi="Times New Roman" w:cs="Times New Roman"/>
                <w:bCs/>
                <w:sz w:val="24"/>
              </w:rPr>
            </w:pPr>
            <w:r>
              <w:rPr>
                <w:rFonts w:hint="default" w:ascii="Times New Roman" w:hAnsi="Times New Roman" w:cs="Times New Roman"/>
                <w:bCs/>
                <w:sz w:val="24"/>
              </w:rPr>
              <w:t>b.制定严格的作业规程，加强施工人员管理，不得随意破坏洲滩和岸坡上的植被。。</w:t>
            </w:r>
          </w:p>
          <w:p w14:paraId="412E4346">
            <w:pPr>
              <w:spacing w:line="360" w:lineRule="auto"/>
              <w:ind w:firstLine="480" w:firstLineChars="200"/>
              <w:rPr>
                <w:rFonts w:hint="default" w:ascii="Times New Roman" w:hAnsi="Times New Roman" w:cs="Times New Roman"/>
                <w:bCs/>
                <w:sz w:val="24"/>
              </w:rPr>
            </w:pPr>
            <w:r>
              <w:rPr>
                <w:rFonts w:hint="default" w:ascii="Times New Roman" w:hAnsi="Times New Roman" w:cs="Times New Roman"/>
                <w:bCs/>
                <w:sz w:val="24"/>
              </w:rPr>
              <w:t>c.对施工人员进行珍稀保护水生动物的科普宣传工作，使施工人员了解保护水生生态环境的意义，提高施工人员保护水环境意识，禁止施工人员进行捕捞活动。</w:t>
            </w:r>
          </w:p>
          <w:p w14:paraId="6645ADAE">
            <w:pPr>
              <w:spacing w:line="360" w:lineRule="auto"/>
              <w:ind w:firstLine="480" w:firstLineChars="200"/>
              <w:rPr>
                <w:rFonts w:hint="default" w:ascii="Times New Roman" w:hAnsi="Times New Roman" w:cs="Times New Roman"/>
                <w:bCs/>
                <w:sz w:val="24"/>
              </w:rPr>
            </w:pPr>
            <w:r>
              <w:rPr>
                <w:rFonts w:hint="default" w:ascii="Times New Roman" w:hAnsi="Times New Roman" w:cs="Times New Roman"/>
                <w:bCs/>
                <w:sz w:val="24"/>
              </w:rPr>
              <w:t>④临时占地</w:t>
            </w:r>
          </w:p>
          <w:p w14:paraId="0FD9946E">
            <w:pPr>
              <w:spacing w:line="360" w:lineRule="auto"/>
              <w:ind w:firstLine="480" w:firstLineChars="200"/>
              <w:rPr>
                <w:rFonts w:hint="default" w:ascii="Times New Roman" w:hAnsi="Times New Roman" w:cs="Times New Roman"/>
                <w:bCs/>
                <w:sz w:val="24"/>
              </w:rPr>
            </w:pPr>
            <w:r>
              <w:rPr>
                <w:rFonts w:hint="default" w:ascii="Times New Roman" w:hAnsi="Times New Roman" w:cs="Times New Roman"/>
                <w:bCs/>
                <w:color w:val="000000"/>
                <w:sz w:val="24"/>
              </w:rPr>
              <w:t>本项目不提供施工人员住宿，工作人员租住于周边社区民房中，故临时占地主要包括临时施工材料和设备存放地、临时沉淀池区域。施工完成后，对临时占地进行植被恢复，绿化情况见下图。</w:t>
            </w:r>
          </w:p>
          <w:p w14:paraId="7129E77A">
            <w:pPr>
              <w:spacing w:line="360" w:lineRule="auto"/>
              <w:ind w:firstLine="480" w:firstLineChars="200"/>
              <w:rPr>
                <w:rFonts w:hint="default" w:ascii="Times New Roman" w:hAnsi="Times New Roman" w:cs="Times New Roman"/>
                <w:bCs/>
                <w:sz w:val="24"/>
              </w:rPr>
            </w:pPr>
            <w:r>
              <w:rPr>
                <w:rFonts w:hint="default" w:ascii="Times New Roman" w:hAnsi="Times New Roman" w:cs="Times New Roman"/>
                <w:bCs/>
                <w:sz w:val="24"/>
              </w:rPr>
              <w:t>采取上述措施后，施工期未对生态环境产生不利影响。</w:t>
            </w:r>
          </w:p>
          <w:tbl>
            <w:tblPr>
              <w:tblStyle w:val="2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27"/>
              <w:gridCol w:w="4528"/>
            </w:tblGrid>
            <w:tr w14:paraId="0ECAAD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27" w:type="dxa"/>
                </w:tcPr>
                <w:p w14:paraId="2B13E297">
                  <w:pPr>
                    <w:spacing w:line="360" w:lineRule="auto"/>
                    <w:rPr>
                      <w:rFonts w:hint="default" w:ascii="Times New Roman" w:hAnsi="Times New Roman" w:eastAsia="宋体" w:cs="Times New Roman"/>
                      <w:bCs/>
                      <w:sz w:val="24"/>
                      <w:lang w:eastAsia="zh-CN"/>
                    </w:rPr>
                  </w:pPr>
                  <w:r>
                    <w:rPr>
                      <w:rFonts w:hint="default" w:ascii="Times New Roman" w:hAnsi="Times New Roman" w:eastAsia="宋体" w:cs="Times New Roman"/>
                      <w:bCs/>
                      <w:sz w:val="24"/>
                      <w:lang w:eastAsia="zh-CN"/>
                    </w:rPr>
                    <w:drawing>
                      <wp:anchor distT="0" distB="0" distL="114300" distR="114300" simplePos="0" relativeHeight="251660288" behindDoc="0" locked="0" layoutInCell="1" allowOverlap="1">
                        <wp:simplePos x="0" y="0"/>
                        <wp:positionH relativeFrom="column">
                          <wp:posOffset>-8255</wp:posOffset>
                        </wp:positionH>
                        <wp:positionV relativeFrom="paragraph">
                          <wp:posOffset>70485</wp:posOffset>
                        </wp:positionV>
                        <wp:extent cx="2734310" cy="2035810"/>
                        <wp:effectExtent l="0" t="0" r="8890" b="2540"/>
                        <wp:wrapSquare wrapText="bothSides"/>
                        <wp:docPr id="3" name="图片 3" descr="98682e4e64b5287dcba1fa5153da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98682e4e64b5287dcba1fa5153da748"/>
                                <pic:cNvPicPr>
                                  <a:picLocks noChangeAspect="1"/>
                                </pic:cNvPicPr>
                              </pic:nvPicPr>
                              <pic:blipFill>
                                <a:blip r:embed="rId10"/>
                                <a:stretch>
                                  <a:fillRect/>
                                </a:stretch>
                              </pic:blipFill>
                              <pic:spPr>
                                <a:xfrm>
                                  <a:off x="0" y="0"/>
                                  <a:ext cx="2734310" cy="2035810"/>
                                </a:xfrm>
                                <a:prstGeom prst="rect">
                                  <a:avLst/>
                                </a:prstGeom>
                              </pic:spPr>
                            </pic:pic>
                          </a:graphicData>
                        </a:graphic>
                      </wp:anchor>
                    </w:drawing>
                  </w:r>
                </w:p>
              </w:tc>
              <w:tc>
                <w:tcPr>
                  <w:tcW w:w="4528" w:type="dxa"/>
                </w:tcPr>
                <w:p w14:paraId="0AB000EF">
                  <w:pPr>
                    <w:spacing w:line="360" w:lineRule="auto"/>
                    <w:rPr>
                      <w:rFonts w:hint="default" w:ascii="Times New Roman" w:hAnsi="Times New Roman" w:eastAsia="宋体" w:cs="Times New Roman"/>
                      <w:bCs/>
                      <w:sz w:val="24"/>
                      <w:lang w:eastAsia="zh-CN"/>
                    </w:rPr>
                  </w:pPr>
                  <w:r>
                    <w:rPr>
                      <w:rFonts w:hint="default" w:ascii="Times New Roman" w:hAnsi="Times New Roman" w:eastAsia="宋体" w:cs="Times New Roman"/>
                      <w:bCs/>
                      <w:sz w:val="24"/>
                      <w:lang w:eastAsia="zh-CN"/>
                    </w:rPr>
                    <w:drawing>
                      <wp:anchor distT="0" distB="0" distL="114300" distR="114300" simplePos="0" relativeHeight="251659264" behindDoc="0" locked="0" layoutInCell="1" allowOverlap="1">
                        <wp:simplePos x="0" y="0"/>
                        <wp:positionH relativeFrom="column">
                          <wp:posOffset>-27305</wp:posOffset>
                        </wp:positionH>
                        <wp:positionV relativeFrom="paragraph">
                          <wp:posOffset>70485</wp:posOffset>
                        </wp:positionV>
                        <wp:extent cx="2734310" cy="2050415"/>
                        <wp:effectExtent l="0" t="0" r="8890" b="6985"/>
                        <wp:wrapSquare wrapText="bothSides"/>
                        <wp:docPr id="2" name="图片 2" descr="6e425bf3c623dcdeac0d84d1125bb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6e425bf3c623dcdeac0d84d1125bb52"/>
                                <pic:cNvPicPr>
                                  <a:picLocks noChangeAspect="1"/>
                                </pic:cNvPicPr>
                              </pic:nvPicPr>
                              <pic:blipFill>
                                <a:blip r:embed="rId11"/>
                                <a:stretch>
                                  <a:fillRect/>
                                </a:stretch>
                              </pic:blipFill>
                              <pic:spPr>
                                <a:xfrm>
                                  <a:off x="0" y="0"/>
                                  <a:ext cx="2734310" cy="2050415"/>
                                </a:xfrm>
                                <a:prstGeom prst="rect">
                                  <a:avLst/>
                                </a:prstGeom>
                              </pic:spPr>
                            </pic:pic>
                          </a:graphicData>
                        </a:graphic>
                      </wp:anchor>
                    </w:drawing>
                  </w:r>
                </w:p>
              </w:tc>
            </w:tr>
            <w:tr w14:paraId="3901F9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27" w:type="dxa"/>
                </w:tcPr>
                <w:p w14:paraId="6DDA5114">
                  <w:pPr>
                    <w:spacing w:line="360" w:lineRule="auto"/>
                    <w:rPr>
                      <w:rFonts w:hint="default" w:ascii="Times New Roman" w:hAnsi="Times New Roman" w:eastAsia="宋体" w:cs="Times New Roman"/>
                      <w:bCs/>
                      <w:sz w:val="24"/>
                      <w:lang w:eastAsia="zh-CN"/>
                    </w:rPr>
                  </w:pPr>
                  <w:r>
                    <w:rPr>
                      <w:rFonts w:hint="default" w:ascii="Times New Roman" w:hAnsi="Times New Roman" w:eastAsia="宋体" w:cs="Times New Roman"/>
                      <w:bCs/>
                      <w:sz w:val="24"/>
                      <w:lang w:eastAsia="zh-CN"/>
                    </w:rPr>
                    <w:drawing>
                      <wp:anchor distT="0" distB="0" distL="114300" distR="114300" simplePos="0" relativeHeight="251661312" behindDoc="0" locked="0" layoutInCell="1" allowOverlap="1">
                        <wp:simplePos x="0" y="0"/>
                        <wp:positionH relativeFrom="column">
                          <wp:posOffset>-17780</wp:posOffset>
                        </wp:positionH>
                        <wp:positionV relativeFrom="paragraph">
                          <wp:posOffset>71755</wp:posOffset>
                        </wp:positionV>
                        <wp:extent cx="2735580" cy="2222500"/>
                        <wp:effectExtent l="0" t="0" r="7620" b="6350"/>
                        <wp:wrapSquare wrapText="bothSides"/>
                        <wp:docPr id="4" name="图片 4" descr="788a2bd28fcc78e3833726393d20e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788a2bd28fcc78e3833726393d20ed7"/>
                                <pic:cNvPicPr>
                                  <a:picLocks noChangeAspect="1"/>
                                </pic:cNvPicPr>
                              </pic:nvPicPr>
                              <pic:blipFill>
                                <a:blip r:embed="rId12"/>
                                <a:stretch>
                                  <a:fillRect/>
                                </a:stretch>
                              </pic:blipFill>
                              <pic:spPr>
                                <a:xfrm>
                                  <a:off x="0" y="0"/>
                                  <a:ext cx="2735580" cy="2222500"/>
                                </a:xfrm>
                                <a:prstGeom prst="rect">
                                  <a:avLst/>
                                </a:prstGeom>
                              </pic:spPr>
                            </pic:pic>
                          </a:graphicData>
                        </a:graphic>
                      </wp:anchor>
                    </w:drawing>
                  </w:r>
                </w:p>
              </w:tc>
              <w:tc>
                <w:tcPr>
                  <w:tcW w:w="4528" w:type="dxa"/>
                </w:tcPr>
                <w:p w14:paraId="733F4C7F">
                  <w:pPr>
                    <w:spacing w:line="360" w:lineRule="auto"/>
                    <w:rPr>
                      <w:rFonts w:hint="default" w:ascii="Times New Roman" w:hAnsi="Times New Roman" w:eastAsia="宋体" w:cs="Times New Roman"/>
                      <w:bCs/>
                      <w:sz w:val="24"/>
                      <w:lang w:eastAsia="zh-CN"/>
                    </w:rPr>
                  </w:pPr>
                  <w:r>
                    <w:rPr>
                      <w:rFonts w:hint="default" w:ascii="Times New Roman" w:hAnsi="Times New Roman" w:eastAsia="宋体" w:cs="Times New Roman"/>
                      <w:bCs/>
                      <w:sz w:val="24"/>
                      <w:lang w:eastAsia="zh-CN"/>
                    </w:rPr>
                    <w:drawing>
                      <wp:anchor distT="0" distB="0" distL="114300" distR="114300" simplePos="0" relativeHeight="251663360" behindDoc="0" locked="0" layoutInCell="1" allowOverlap="1">
                        <wp:simplePos x="0" y="0"/>
                        <wp:positionH relativeFrom="column">
                          <wp:posOffset>15875</wp:posOffset>
                        </wp:positionH>
                        <wp:positionV relativeFrom="paragraph">
                          <wp:posOffset>102235</wp:posOffset>
                        </wp:positionV>
                        <wp:extent cx="2737485" cy="2204720"/>
                        <wp:effectExtent l="0" t="0" r="5715" b="5080"/>
                        <wp:wrapSquare wrapText="bothSides"/>
                        <wp:docPr id="10" name="图片 10" descr="b9a28e94d9fb7144bc1b4c7831c13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b9a28e94d9fb7144bc1b4c7831c134e"/>
                                <pic:cNvPicPr>
                                  <a:picLocks noChangeAspect="1"/>
                                </pic:cNvPicPr>
                              </pic:nvPicPr>
                              <pic:blipFill>
                                <a:blip r:embed="rId13"/>
                                <a:stretch>
                                  <a:fillRect/>
                                </a:stretch>
                              </pic:blipFill>
                              <pic:spPr>
                                <a:xfrm>
                                  <a:off x="0" y="0"/>
                                  <a:ext cx="2737485" cy="2204720"/>
                                </a:xfrm>
                                <a:prstGeom prst="rect">
                                  <a:avLst/>
                                </a:prstGeom>
                              </pic:spPr>
                            </pic:pic>
                          </a:graphicData>
                        </a:graphic>
                      </wp:anchor>
                    </w:drawing>
                  </w:r>
                </w:p>
              </w:tc>
            </w:tr>
            <w:tr w14:paraId="601430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27" w:type="dxa"/>
                </w:tcPr>
                <w:p w14:paraId="556D9CCE">
                  <w:pPr>
                    <w:spacing w:line="360" w:lineRule="auto"/>
                    <w:rPr>
                      <w:rFonts w:hint="default" w:ascii="Times New Roman" w:hAnsi="Times New Roman" w:eastAsia="宋体" w:cs="Times New Roman"/>
                      <w:bCs/>
                      <w:sz w:val="24"/>
                      <w:lang w:eastAsia="zh-CN"/>
                    </w:rPr>
                  </w:pPr>
                  <w:r>
                    <w:rPr>
                      <w:rFonts w:hint="default" w:ascii="Times New Roman" w:hAnsi="Times New Roman" w:eastAsia="宋体" w:cs="Times New Roman"/>
                      <w:bCs/>
                      <w:sz w:val="24"/>
                      <w:lang w:eastAsia="zh-CN"/>
                    </w:rPr>
                    <w:drawing>
                      <wp:anchor distT="0" distB="0" distL="114300" distR="114300" simplePos="0" relativeHeight="251662336" behindDoc="0" locked="0" layoutInCell="1" allowOverlap="1">
                        <wp:simplePos x="0" y="0"/>
                        <wp:positionH relativeFrom="column">
                          <wp:posOffset>16510</wp:posOffset>
                        </wp:positionH>
                        <wp:positionV relativeFrom="paragraph">
                          <wp:posOffset>132715</wp:posOffset>
                        </wp:positionV>
                        <wp:extent cx="2600325" cy="2056765"/>
                        <wp:effectExtent l="0" t="0" r="9525" b="635"/>
                        <wp:wrapSquare wrapText="bothSides"/>
                        <wp:docPr id="9" name="图片 9" descr="7473477871712954819d98063b472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7473477871712954819d98063b472dc"/>
                                <pic:cNvPicPr>
                                  <a:picLocks noChangeAspect="1"/>
                                </pic:cNvPicPr>
                              </pic:nvPicPr>
                              <pic:blipFill>
                                <a:blip r:embed="rId14"/>
                                <a:stretch>
                                  <a:fillRect/>
                                </a:stretch>
                              </pic:blipFill>
                              <pic:spPr>
                                <a:xfrm>
                                  <a:off x="0" y="0"/>
                                  <a:ext cx="2600325" cy="2056765"/>
                                </a:xfrm>
                                <a:prstGeom prst="rect">
                                  <a:avLst/>
                                </a:prstGeom>
                              </pic:spPr>
                            </pic:pic>
                          </a:graphicData>
                        </a:graphic>
                      </wp:anchor>
                    </w:drawing>
                  </w:r>
                </w:p>
              </w:tc>
              <w:tc>
                <w:tcPr>
                  <w:tcW w:w="4528" w:type="dxa"/>
                </w:tcPr>
                <w:p w14:paraId="18F13E63">
                  <w:pPr>
                    <w:spacing w:line="360" w:lineRule="auto"/>
                    <w:rPr>
                      <w:rFonts w:hint="default" w:ascii="Times New Roman" w:hAnsi="Times New Roman" w:eastAsia="宋体" w:cs="Times New Roman"/>
                      <w:bCs/>
                      <w:sz w:val="24"/>
                      <w:lang w:eastAsia="zh-CN"/>
                    </w:rPr>
                  </w:pPr>
                  <w:r>
                    <w:rPr>
                      <w:rFonts w:hint="default" w:ascii="Times New Roman" w:hAnsi="Times New Roman" w:eastAsia="宋体" w:cs="Times New Roman"/>
                      <w:bCs/>
                      <w:sz w:val="24"/>
                      <w:lang w:eastAsia="zh-CN"/>
                    </w:rPr>
                    <w:drawing>
                      <wp:anchor distT="0" distB="0" distL="114300" distR="114300" simplePos="0" relativeHeight="251664384" behindDoc="0" locked="0" layoutInCell="1" allowOverlap="1">
                        <wp:simplePos x="0" y="0"/>
                        <wp:positionH relativeFrom="column">
                          <wp:posOffset>44450</wp:posOffset>
                        </wp:positionH>
                        <wp:positionV relativeFrom="paragraph">
                          <wp:posOffset>102235</wp:posOffset>
                        </wp:positionV>
                        <wp:extent cx="2441575" cy="2099310"/>
                        <wp:effectExtent l="0" t="0" r="15875" b="15240"/>
                        <wp:wrapSquare wrapText="bothSides"/>
                        <wp:docPr id="11" name="图片 11" descr="4e6a806902f796d08f5af90436d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4e6a806902f796d08f5af90436d1958"/>
                                <pic:cNvPicPr>
                                  <a:picLocks noChangeAspect="1"/>
                                </pic:cNvPicPr>
                              </pic:nvPicPr>
                              <pic:blipFill>
                                <a:blip r:embed="rId15"/>
                                <a:stretch>
                                  <a:fillRect/>
                                </a:stretch>
                              </pic:blipFill>
                              <pic:spPr>
                                <a:xfrm>
                                  <a:off x="0" y="0"/>
                                  <a:ext cx="2441575" cy="2099310"/>
                                </a:xfrm>
                                <a:prstGeom prst="rect">
                                  <a:avLst/>
                                </a:prstGeom>
                              </pic:spPr>
                            </pic:pic>
                          </a:graphicData>
                        </a:graphic>
                      </wp:anchor>
                    </w:drawing>
                  </w:r>
                </w:p>
              </w:tc>
            </w:tr>
          </w:tbl>
          <w:p w14:paraId="5C90F664">
            <w:pPr>
              <w:spacing w:after="156" w:afterLines="50"/>
              <w:ind w:firstLine="420" w:firstLineChars="200"/>
              <w:jc w:val="center"/>
              <w:rPr>
                <w:rFonts w:hint="default" w:ascii="Times New Roman" w:hAnsi="Times New Roman" w:cs="Times New Roman"/>
                <w:bCs/>
                <w:sz w:val="24"/>
              </w:rPr>
            </w:pPr>
            <w:r>
              <w:rPr>
                <w:rFonts w:hint="default" w:ascii="Times New Roman" w:hAnsi="Times New Roman" w:eastAsia="黑体" w:cs="Times New Roman"/>
                <w:bCs/>
              </w:rPr>
              <w:t>图4-7  施工期相关措施照片</w:t>
            </w:r>
          </w:p>
          <w:p w14:paraId="410067B7">
            <w:pPr>
              <w:spacing w:line="360" w:lineRule="auto"/>
              <w:rPr>
                <w:rFonts w:hint="default" w:ascii="Times New Roman" w:hAnsi="Times New Roman" w:cs="Times New Roman"/>
                <w:b/>
                <w:sz w:val="24"/>
              </w:rPr>
            </w:pPr>
            <w:r>
              <w:rPr>
                <w:rFonts w:hint="default" w:ascii="Times New Roman" w:hAnsi="Times New Roman" w:cs="Times New Roman"/>
                <w:b/>
                <w:sz w:val="24"/>
              </w:rPr>
              <w:t>4.9.2 运营期</w:t>
            </w:r>
          </w:p>
          <w:p w14:paraId="0A861B9E">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（1）废气</w:t>
            </w:r>
          </w:p>
          <w:p w14:paraId="6E28CF31">
            <w:pPr>
              <w:pStyle w:val="91"/>
              <w:rPr>
                <w:rFonts w:hint="default" w:ascii="Times New Roman" w:hAnsi="Times New Roman" w:cs="Times New Roman"/>
                <w:color w:val="000000"/>
                <w:szCs w:val="20"/>
              </w:rPr>
            </w:pPr>
            <w:bookmarkStart w:id="10" w:name="_Hlk55813013"/>
            <w:r>
              <w:rPr>
                <w:rFonts w:hint="default" w:ascii="Times New Roman" w:hAnsi="Times New Roman" w:cs="Times New Roman"/>
              </w:rPr>
              <w:t>项目运营期产生的废气主要为污水处理装置产生的少量恶臭及客运、旅游船进出码头所产生的船舶废气，其中污水处理装置产生的少量恶臭主要污染物为硫化氢和氨，由于项目仅产生生活污水，污水成分较为简单，且污水处理装置位于趸船底舱，因此对周边环境影响较小。</w:t>
            </w:r>
            <w:r>
              <w:rPr>
                <w:rFonts w:hint="default" w:ascii="Times New Roman" w:hAnsi="Times New Roman" w:cs="Times New Roman"/>
                <w:lang w:eastAsia="zh-CN"/>
              </w:rPr>
              <w:t>轮渡船舶运行过程会产生少量辅机废气，该部分废气自然扩散</w:t>
            </w:r>
            <w:r>
              <w:rPr>
                <w:rFonts w:hint="default" w:ascii="Times New Roman" w:hAnsi="Times New Roman" w:cs="Times New Roman"/>
              </w:rPr>
              <w:t>，</w:t>
            </w:r>
            <w:r>
              <w:rPr>
                <w:rFonts w:hint="default" w:ascii="Times New Roman" w:hAnsi="Times New Roman" w:cs="Times New Roman"/>
                <w:lang w:eastAsia="zh-CN"/>
              </w:rPr>
              <w:t>由于</w:t>
            </w:r>
            <w:r>
              <w:rPr>
                <w:rFonts w:hint="default" w:ascii="Times New Roman" w:hAnsi="Times New Roman" w:cs="Times New Roman"/>
              </w:rPr>
              <w:t>项目设置在长江边，环境空旷有利于废气的扩散，故本工程的船舶废气不会对环境空气保护目标产生污染影响。</w:t>
            </w:r>
          </w:p>
          <w:bookmarkEnd w:id="10"/>
          <w:p w14:paraId="0B6A9AB4">
            <w:pPr>
              <w:spacing w:line="336" w:lineRule="auto"/>
              <w:ind w:firstLine="480" w:firstLineChars="200"/>
              <w:rPr>
                <w:rFonts w:hint="default" w:ascii="Times New Roman" w:hAnsi="Times New Roman" w:cs="Times New Roman"/>
                <w:sz w:val="24"/>
              </w:rPr>
            </w:pPr>
            <w:r>
              <w:rPr>
                <w:rFonts w:hint="default" w:ascii="Times New Roman" w:hAnsi="Times New Roman" w:cs="Times New Roman"/>
                <w:sz w:val="24"/>
              </w:rPr>
              <w:t>（2）废水</w:t>
            </w:r>
          </w:p>
          <w:p w14:paraId="4625D0D0">
            <w:pPr>
              <w:spacing w:line="336" w:lineRule="auto"/>
              <w:ind w:firstLine="480" w:firstLineChars="200"/>
              <w:rPr>
                <w:rFonts w:hint="default" w:ascii="Times New Roman" w:hAnsi="Times New Roman" w:cs="Times New Roman"/>
                <w:sz w:val="24"/>
              </w:rPr>
            </w:pPr>
            <w:bookmarkStart w:id="11" w:name="_Hlk55812965"/>
            <w:r>
              <w:rPr>
                <w:rFonts w:hint="default" w:ascii="Times New Roman" w:hAnsi="Times New Roman" w:cs="Times New Roman"/>
                <w:sz w:val="24"/>
              </w:rPr>
              <w:t>工程运营期废水主要为员工生活污水。</w:t>
            </w:r>
            <w:r>
              <w:rPr>
                <w:rFonts w:hint="default" w:ascii="Times New Roman" w:hAnsi="Times New Roman" w:cs="Times New Roman"/>
                <w:sz w:val="24"/>
                <w:lang w:eastAsia="zh-CN"/>
              </w:rPr>
              <w:t>根据环评核算，</w:t>
            </w:r>
            <w:r>
              <w:rPr>
                <w:rFonts w:hint="default" w:ascii="Times New Roman" w:hAnsi="Times New Roman" w:cs="Times New Roman"/>
                <w:sz w:val="24"/>
              </w:rPr>
              <w:t>项目日排放量为</w:t>
            </w:r>
            <w:r>
              <w:rPr>
                <w:rFonts w:hint="default" w:ascii="Times New Roman" w:hAnsi="Times New Roman" w:cs="Times New Roman"/>
                <w:sz w:val="24"/>
                <w:lang w:val="en-US" w:eastAsia="zh-CN"/>
              </w:rPr>
              <w:t>80.2</w:t>
            </w:r>
            <w:r>
              <w:rPr>
                <w:rFonts w:hint="default" w:ascii="Times New Roman" w:hAnsi="Times New Roman" w:cs="Times New Roman"/>
                <w:sz w:val="24"/>
              </w:rPr>
              <w:t>m</w:t>
            </w:r>
            <w:r>
              <w:rPr>
                <w:rFonts w:hint="default" w:ascii="Times New Roman" w:hAnsi="Times New Roman" w:cs="Times New Roman"/>
                <w:sz w:val="24"/>
                <w:vertAlign w:val="superscript"/>
              </w:rPr>
              <w:t>3</w:t>
            </w:r>
            <w:r>
              <w:rPr>
                <w:rFonts w:hint="default" w:ascii="Times New Roman" w:hAnsi="Times New Roman" w:cs="Times New Roman"/>
                <w:sz w:val="24"/>
              </w:rPr>
              <w:t>，年排水量为</w:t>
            </w:r>
            <w:r>
              <w:rPr>
                <w:rFonts w:hint="default" w:ascii="Times New Roman" w:hAnsi="Times New Roman" w:cs="Times New Roman"/>
                <w:sz w:val="24"/>
                <w:lang w:val="en-US" w:eastAsia="zh-CN"/>
              </w:rPr>
              <w:t>28080</w:t>
            </w:r>
            <w:r>
              <w:rPr>
                <w:rFonts w:hint="default" w:ascii="Times New Roman" w:hAnsi="Times New Roman" w:cs="Times New Roman"/>
                <w:sz w:val="24"/>
              </w:rPr>
              <w:t>m</w:t>
            </w:r>
            <w:r>
              <w:rPr>
                <w:rFonts w:hint="default" w:ascii="Times New Roman" w:hAnsi="Times New Roman" w:cs="Times New Roman"/>
                <w:sz w:val="24"/>
                <w:vertAlign w:val="superscript"/>
              </w:rPr>
              <w:t>3</w:t>
            </w:r>
            <w:bookmarkEnd w:id="11"/>
            <w:bookmarkStart w:id="12" w:name="_Hlk55812983"/>
            <w:r>
              <w:rPr>
                <w:rFonts w:hint="default" w:ascii="Times New Roman" w:hAnsi="Times New Roman" w:cs="Times New Roman"/>
                <w:sz w:val="24"/>
              </w:rPr>
              <w:t>。本项目的地面采用湿拖把擦拭的方式进行清洗，不采用清水直接冲洗的方式。本工程生活污水经</w:t>
            </w:r>
            <w:r>
              <w:rPr>
                <w:rFonts w:hint="default" w:ascii="Times New Roman" w:hAnsi="Times New Roman" w:cs="Times New Roman"/>
                <w:bCs/>
                <w:color w:val="000000"/>
                <w:sz w:val="24"/>
              </w:rPr>
              <w:t>趸船底舱的生活污水</w:t>
            </w:r>
            <w:bookmarkEnd w:id="12"/>
            <w:r>
              <w:rPr>
                <w:rFonts w:hint="default" w:ascii="Times New Roman" w:hAnsi="Times New Roman" w:cs="Times New Roman"/>
                <w:bCs/>
                <w:color w:val="000000"/>
                <w:sz w:val="24"/>
                <w:lang w:eastAsia="zh-CN"/>
              </w:rPr>
              <w:t>处理装置（曝气+紫外线消毒处理）处理后排入</w:t>
            </w:r>
            <w:r>
              <w:rPr>
                <w:rFonts w:hint="default" w:ascii="Times New Roman" w:hAnsi="Times New Roman" w:cs="Times New Roman"/>
                <w:bCs/>
                <w:color w:val="000000"/>
                <w:sz w:val="24"/>
              </w:rPr>
              <w:t>市政污水管网后</w:t>
            </w:r>
            <w:r>
              <w:rPr>
                <w:rFonts w:hint="default" w:ascii="Times New Roman" w:hAnsi="Times New Roman" w:cs="Times New Roman"/>
                <w:bCs/>
                <w:color w:val="000000"/>
                <w:sz w:val="24"/>
                <w:lang w:eastAsia="zh-CN"/>
              </w:rPr>
              <w:t>由二廊庙</w:t>
            </w:r>
            <w:r>
              <w:rPr>
                <w:rFonts w:hint="default" w:ascii="Times New Roman" w:hAnsi="Times New Roman" w:cs="Times New Roman"/>
                <w:bCs/>
                <w:color w:val="000000"/>
                <w:sz w:val="24"/>
              </w:rPr>
              <w:t>污水处理厂进一步处理。</w:t>
            </w:r>
          </w:p>
          <w:tbl>
            <w:tblPr>
              <w:tblStyle w:val="2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0"/>
            </w:tblGrid>
            <w:tr w14:paraId="5638CB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070" w:type="dxa"/>
                </w:tcPr>
                <w:p w14:paraId="770400E8">
                  <w:pPr>
                    <w:spacing w:line="336" w:lineRule="auto"/>
                    <w:jc w:val="center"/>
                    <w:rPr>
                      <w:rFonts w:hint="default" w:ascii="Times New Roman" w:hAnsi="Times New Roman" w:cs="Times New Roman"/>
                      <w:sz w:val="24"/>
                    </w:rPr>
                  </w:pPr>
                  <w:r>
                    <w:rPr>
                      <w:rFonts w:hint="default" w:ascii="Times New Roman" w:hAnsi="Times New Roman" w:eastAsia="宋体" w:cs="Times New Roman"/>
                      <w:lang w:eastAsia="zh-CN"/>
                    </w:rPr>
                    <w:drawing>
                      <wp:anchor distT="0" distB="0" distL="114300" distR="114300" simplePos="0" relativeHeight="251665408" behindDoc="0" locked="0" layoutInCell="1" allowOverlap="1">
                        <wp:simplePos x="0" y="0"/>
                        <wp:positionH relativeFrom="column">
                          <wp:posOffset>2889885</wp:posOffset>
                        </wp:positionH>
                        <wp:positionV relativeFrom="paragraph">
                          <wp:posOffset>74295</wp:posOffset>
                        </wp:positionV>
                        <wp:extent cx="2790190" cy="2416175"/>
                        <wp:effectExtent l="0" t="0" r="10160" b="3175"/>
                        <wp:wrapSquare wrapText="bothSides"/>
                        <wp:docPr id="13" name="图片 13" descr="3ee7ed8d8be4d74a9bcc4faf62db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3ee7ed8d8be4d74a9bcc4faf62db675"/>
                                <pic:cNvPicPr>
                                  <a:picLocks noChangeAspect="1"/>
                                </pic:cNvPicPr>
                              </pic:nvPicPr>
                              <pic:blipFill>
                                <a:blip r:embed="rId16"/>
                                <a:stretch>
                                  <a:fillRect/>
                                </a:stretch>
                              </pic:blipFill>
                              <pic:spPr>
                                <a:xfrm>
                                  <a:off x="0" y="0"/>
                                  <a:ext cx="2790190" cy="2416175"/>
                                </a:xfrm>
                                <a:prstGeom prst="rect">
                                  <a:avLst/>
                                </a:prstGeom>
                              </pic:spPr>
                            </pic:pic>
                          </a:graphicData>
                        </a:graphic>
                      </wp:anchor>
                    </w:drawing>
                  </w:r>
                  <w:r>
                    <w:rPr>
                      <w:rFonts w:hint="default" w:ascii="Times New Roman" w:hAnsi="Times New Roman" w:eastAsia="宋体" w:cs="Times New Roman"/>
                      <w:lang w:eastAsia="zh-CN"/>
                    </w:rPr>
                    <w:drawing>
                      <wp:anchor distT="0" distB="0" distL="114300" distR="114300" simplePos="0" relativeHeight="251666432" behindDoc="0" locked="0" layoutInCell="1" allowOverlap="1">
                        <wp:simplePos x="0" y="0"/>
                        <wp:positionH relativeFrom="column">
                          <wp:posOffset>-87630</wp:posOffset>
                        </wp:positionH>
                        <wp:positionV relativeFrom="paragraph">
                          <wp:posOffset>88900</wp:posOffset>
                        </wp:positionV>
                        <wp:extent cx="2907665" cy="2432050"/>
                        <wp:effectExtent l="0" t="0" r="6985" b="6350"/>
                        <wp:wrapSquare wrapText="bothSides"/>
                        <wp:docPr id="12" name="图片 2" descr="e6571fc7148c137ca32e102ce6e99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descr="e6571fc7148c137ca32e102ce6e99d6"/>
                                <pic:cNvPicPr>
                                  <a:picLocks noChangeAspect="1"/>
                                </pic:cNvPicPr>
                              </pic:nvPicPr>
                              <pic:blipFill>
                                <a:blip r:embed="rId17"/>
                                <a:stretch>
                                  <a:fillRect/>
                                </a:stretch>
                              </pic:blipFill>
                              <pic:spPr>
                                <a:xfrm>
                                  <a:off x="0" y="0"/>
                                  <a:ext cx="2907665" cy="2432050"/>
                                </a:xfrm>
                                <a:prstGeom prst="rect">
                                  <a:avLst/>
                                </a:prstGeom>
                                <a:noFill/>
                                <a:ln>
                                  <a:noFill/>
                                </a:ln>
                              </pic:spPr>
                            </pic:pic>
                          </a:graphicData>
                        </a:graphic>
                      </wp:anchor>
                    </w:drawing>
                  </w:r>
                </w:p>
              </w:tc>
            </w:tr>
          </w:tbl>
          <w:p w14:paraId="4B840CD4">
            <w:pPr>
              <w:ind w:right="178" w:rightChars="85"/>
              <w:jc w:val="center"/>
              <w:rPr>
                <w:rFonts w:hint="default" w:ascii="Times New Roman" w:hAnsi="Times New Roman" w:eastAsia="黑体" w:cs="Times New Roman"/>
                <w:bCs/>
                <w:lang w:eastAsia="zh-CN"/>
              </w:rPr>
            </w:pPr>
            <w:r>
              <w:rPr>
                <w:rFonts w:hint="default" w:ascii="Times New Roman" w:hAnsi="Times New Roman" w:eastAsia="黑体" w:cs="Times New Roman"/>
                <w:bCs/>
              </w:rPr>
              <w:t xml:space="preserve">图4-9  </w:t>
            </w:r>
            <w:r>
              <w:rPr>
                <w:rFonts w:hint="default" w:ascii="Times New Roman" w:hAnsi="Times New Roman" w:eastAsia="黑体" w:cs="Times New Roman"/>
                <w:bCs/>
                <w:lang w:eastAsia="zh-CN"/>
              </w:rPr>
              <w:t>生活污水处理装置照</w:t>
            </w:r>
            <w:r>
              <w:rPr>
                <w:rFonts w:hint="default" w:ascii="Times New Roman" w:hAnsi="Times New Roman" w:eastAsia="黑体" w:cs="Times New Roman"/>
                <w:bCs/>
              </w:rPr>
              <w:t>片</w:t>
            </w:r>
            <w:r>
              <w:rPr>
                <w:rFonts w:hint="default" w:ascii="Times New Roman" w:hAnsi="Times New Roman" w:eastAsia="黑体" w:cs="Times New Roman"/>
                <w:bCs/>
                <w:lang w:eastAsia="zh-CN"/>
              </w:rPr>
              <w:t>及管线</w:t>
            </w:r>
          </w:p>
          <w:p w14:paraId="5A269E9D">
            <w:pPr>
              <w:spacing w:line="336" w:lineRule="auto"/>
              <w:ind w:firstLine="480" w:firstLineChars="200"/>
              <w:rPr>
                <w:rFonts w:hint="default" w:ascii="Times New Roman" w:hAnsi="Times New Roman" w:cs="Times New Roman"/>
                <w:sz w:val="24"/>
              </w:rPr>
            </w:pPr>
            <w:r>
              <w:rPr>
                <w:rFonts w:hint="default" w:ascii="Times New Roman" w:hAnsi="Times New Roman" w:cs="Times New Roman"/>
                <w:sz w:val="24"/>
              </w:rPr>
              <w:t>（3）噪声</w:t>
            </w:r>
          </w:p>
          <w:p w14:paraId="3828AE01">
            <w:pPr>
              <w:pStyle w:val="90"/>
              <w:spacing w:line="360" w:lineRule="auto"/>
              <w:ind w:firstLine="480" w:firstLineChars="200"/>
              <w:jc w:val="both"/>
              <w:rPr>
                <w:rFonts w:hint="default" w:ascii="Times New Roman" w:hAnsi="Times New Roman" w:cs="Times New Roman"/>
              </w:rPr>
            </w:pPr>
            <w:bookmarkStart w:id="13" w:name="_Hlk55813036"/>
            <w:r>
              <w:rPr>
                <w:rFonts w:hint="default" w:ascii="Times New Roman" w:hAnsi="Times New Roman" w:cs="Times New Roman"/>
                <w:color w:val="auto"/>
              </w:rPr>
              <w:t>本项目运营期噪声主要为</w:t>
            </w:r>
            <w:r>
              <w:rPr>
                <w:rFonts w:hint="default" w:ascii="Times New Roman" w:hAnsi="Times New Roman" w:cs="Times New Roman"/>
              </w:rPr>
              <w:t>船舶</w:t>
            </w:r>
            <w:r>
              <w:rPr>
                <w:rFonts w:hint="default" w:ascii="Times New Roman" w:hAnsi="Times New Roman" w:cs="Times New Roman"/>
                <w:color w:val="auto"/>
              </w:rPr>
              <w:t>的运行噪声</w:t>
            </w:r>
            <w:r>
              <w:rPr>
                <w:rFonts w:hint="default" w:ascii="Times New Roman" w:hAnsi="Times New Roman" w:cs="Times New Roman"/>
              </w:rPr>
              <w:t>，其源强值一般在65~75dB。项目单位通过加强各类设备的日常维护管理，可避免因设备运转不正常导致噪声的增高。加强管理，建立设备定期维护、保养的管理制度，以防止设备故障形成的非生产噪声，同时确保环保措施发挥最有效的功能；加强职工环保意识教育，提倡文明生产，防止人为噪声。通过采取上述措施后，项目厂界能满足《工业企业厂界环境噪声排放标准》（GB12348-2008）中4类标准，对周围环境无明显影响。</w:t>
            </w:r>
          </w:p>
          <w:bookmarkEnd w:id="13"/>
          <w:p w14:paraId="5F1DC426">
            <w:pPr>
              <w:spacing w:line="336" w:lineRule="auto"/>
              <w:ind w:firstLine="480" w:firstLineChars="200"/>
              <w:rPr>
                <w:rFonts w:hint="default" w:ascii="Times New Roman" w:hAnsi="Times New Roman" w:cs="Times New Roman"/>
                <w:sz w:val="24"/>
              </w:rPr>
            </w:pPr>
            <w:r>
              <w:rPr>
                <w:rFonts w:hint="default" w:ascii="Times New Roman" w:hAnsi="Times New Roman" w:cs="Times New Roman"/>
                <w:sz w:val="24"/>
              </w:rPr>
              <w:t>（4）固体废物</w:t>
            </w:r>
          </w:p>
          <w:p w14:paraId="6E637D70">
            <w:pPr>
              <w:pStyle w:val="90"/>
              <w:spacing w:line="360" w:lineRule="auto"/>
              <w:ind w:firstLine="480" w:firstLineChars="200"/>
              <w:jc w:val="both"/>
              <w:rPr>
                <w:rFonts w:hint="default" w:ascii="Times New Roman" w:hAnsi="Times New Roman" w:cs="Times New Roman"/>
                <w:color w:val="auto"/>
              </w:rPr>
            </w:pPr>
            <w:bookmarkStart w:id="14" w:name="_Hlk55813054"/>
            <w:r>
              <w:rPr>
                <w:rFonts w:hint="default" w:ascii="Times New Roman" w:hAnsi="Times New Roman" w:cs="Times New Roman"/>
                <w:color w:val="auto"/>
              </w:rPr>
              <w:t>建设</w:t>
            </w:r>
            <w:r>
              <w:rPr>
                <w:rFonts w:hint="default" w:ascii="Times New Roman" w:hAnsi="Times New Roman" w:cs="Times New Roman"/>
                <w:color w:val="auto"/>
                <w:lang w:eastAsia="zh-CN"/>
              </w:rPr>
              <w:t>单位</w:t>
            </w:r>
            <w:r>
              <w:rPr>
                <w:rFonts w:hint="default" w:ascii="Times New Roman" w:hAnsi="Times New Roman" w:cs="Times New Roman"/>
                <w:color w:val="auto"/>
              </w:rPr>
              <w:t>应严格加强固体废物，特别是危险废物的贮存和处置全过程的管理。危险废物应与其他固体废物严格隔离，禁止一般工业固废和生活垃圾混入；同时也禁止危险废物混入一般工业固废和生活垃圾中。</w:t>
            </w:r>
          </w:p>
          <w:p w14:paraId="1A6DC32E">
            <w:pPr>
              <w:pStyle w:val="90"/>
              <w:spacing w:line="360" w:lineRule="auto"/>
              <w:ind w:firstLine="480" w:firstLineChars="200"/>
              <w:jc w:val="both"/>
              <w:rPr>
                <w:rFonts w:hint="default" w:ascii="Times New Roman" w:hAnsi="Times New Roman" w:cs="Times New Roman"/>
                <w:color w:val="auto"/>
              </w:rPr>
            </w:pPr>
            <w:r>
              <w:rPr>
                <w:rFonts w:hint="default" w:ascii="Times New Roman" w:hAnsi="Times New Roman" w:cs="Times New Roman"/>
                <w:color w:val="auto"/>
              </w:rPr>
              <w:t>（1）危险废物暂存间设置要求</w:t>
            </w:r>
          </w:p>
          <w:p w14:paraId="022443A3">
            <w:pPr>
              <w:pStyle w:val="90"/>
              <w:spacing w:line="360" w:lineRule="auto"/>
              <w:ind w:firstLine="480" w:firstLineChars="200"/>
              <w:jc w:val="both"/>
              <w:rPr>
                <w:rFonts w:hint="default" w:ascii="Times New Roman" w:hAnsi="Times New Roman" w:cs="Times New Roman"/>
                <w:color w:val="auto"/>
              </w:rPr>
            </w:pPr>
            <w:r>
              <w:rPr>
                <w:rFonts w:hint="default" w:ascii="Times New Roman" w:hAnsi="Times New Roman" w:cs="Times New Roman"/>
                <w:color w:val="auto"/>
              </w:rPr>
              <w:t>项目不单独设置危废暂存间，运营船舶产生的舱底油污水由有资质处理单位带走处理，目前合作单位为</w:t>
            </w:r>
            <w:r>
              <w:rPr>
                <w:rFonts w:hint="default" w:ascii="Times New Roman" w:hAnsi="Times New Roman" w:cs="Times New Roman"/>
                <w:bCs/>
                <w:sz w:val="24"/>
                <w:lang w:eastAsia="zh-CN"/>
              </w:rPr>
              <w:t>武汉发顺船舶保洁服务有限公司</w:t>
            </w:r>
            <w:r>
              <w:rPr>
                <w:rFonts w:hint="default" w:ascii="Times New Roman" w:hAnsi="Times New Roman" w:cs="Times New Roman"/>
                <w:color w:val="auto"/>
                <w:lang w:eastAsia="zh-CN"/>
              </w:rPr>
              <w:t>，营业执照及武汉市港航局备案许可回执详见附件</w:t>
            </w:r>
            <w:r>
              <w:rPr>
                <w:rFonts w:hint="default" w:ascii="Times New Roman" w:hAnsi="Times New Roman" w:cs="Times New Roman"/>
                <w:color w:val="auto"/>
                <w:lang w:val="en-US" w:eastAsia="zh-CN"/>
              </w:rPr>
              <w:t>6</w:t>
            </w:r>
            <w:r>
              <w:rPr>
                <w:rFonts w:hint="default" w:ascii="Times New Roman" w:hAnsi="Times New Roman" w:cs="Times New Roman"/>
                <w:color w:val="auto"/>
              </w:rPr>
              <w:t>。</w:t>
            </w:r>
          </w:p>
          <w:p w14:paraId="7C8678C2">
            <w:pPr>
              <w:pStyle w:val="90"/>
              <w:spacing w:line="360" w:lineRule="auto"/>
              <w:ind w:firstLine="480" w:firstLineChars="200"/>
              <w:jc w:val="both"/>
              <w:rPr>
                <w:rFonts w:hint="default" w:ascii="Times New Roman" w:hAnsi="Times New Roman" w:cs="Times New Roman"/>
                <w:color w:val="auto"/>
              </w:rPr>
            </w:pPr>
            <w:r>
              <w:rPr>
                <w:rFonts w:hint="default" w:ascii="Times New Roman" w:hAnsi="Times New Roman" w:cs="Times New Roman"/>
                <w:color w:val="auto"/>
              </w:rPr>
              <w:t>（2）收集措施</w:t>
            </w:r>
          </w:p>
          <w:p w14:paraId="1CC870A4">
            <w:pPr>
              <w:pStyle w:val="90"/>
              <w:spacing w:line="360" w:lineRule="auto"/>
              <w:ind w:firstLine="480" w:firstLineChars="200"/>
              <w:jc w:val="both"/>
              <w:rPr>
                <w:rFonts w:hint="default" w:ascii="Times New Roman" w:hAnsi="Times New Roman" w:cs="Times New Roman"/>
                <w:color w:val="auto"/>
              </w:rPr>
            </w:pPr>
            <w:r>
              <w:rPr>
                <w:rFonts w:hint="default" w:ascii="Times New Roman" w:hAnsi="Times New Roman" w:cs="Times New Roman"/>
                <w:color w:val="auto"/>
              </w:rPr>
              <w:t>建设单位在采取处理废物的同时，加强对废物的管理，特别是对危险废物的管理。为防止废弃物逸散、流失，采取有害废物分类集中堆放、专人负责等措施，可有效地防止废物的二次污染。对危险废物的收集和管理，拟采用以下措施：</w:t>
            </w:r>
          </w:p>
          <w:p w14:paraId="6412A31A">
            <w:pPr>
              <w:pStyle w:val="90"/>
              <w:spacing w:line="360" w:lineRule="auto"/>
              <w:ind w:firstLine="480" w:firstLineChars="200"/>
              <w:jc w:val="both"/>
              <w:rPr>
                <w:rFonts w:hint="default" w:ascii="Times New Roman" w:hAnsi="Times New Roman" w:cs="Times New Roman"/>
                <w:color w:val="auto"/>
              </w:rPr>
            </w:pPr>
            <w:r>
              <w:rPr>
                <w:rFonts w:hint="default" w:ascii="Times New Roman" w:hAnsi="Times New Roman" w:cs="Times New Roman"/>
                <w:color w:val="auto"/>
              </w:rPr>
              <w:t>①分类收集是减少危害和安全处理的前堤。对液状的危废和中间品应采用废液缸或包装桶进行收集，对废弃的固态状产品可采用塑料袋收集。</w:t>
            </w:r>
          </w:p>
          <w:p w14:paraId="1648DCC5">
            <w:pPr>
              <w:pStyle w:val="90"/>
              <w:spacing w:line="360" w:lineRule="auto"/>
              <w:ind w:firstLine="480" w:firstLineChars="200"/>
              <w:jc w:val="both"/>
              <w:rPr>
                <w:rFonts w:hint="default" w:ascii="Times New Roman" w:hAnsi="Times New Roman" w:cs="Times New Roman"/>
                <w:color w:val="auto"/>
              </w:rPr>
            </w:pPr>
            <w:r>
              <w:rPr>
                <w:rFonts w:hint="default" w:ascii="Times New Roman" w:hAnsi="Times New Roman" w:cs="Times New Roman"/>
                <w:color w:val="auto"/>
              </w:rPr>
              <w:t>②建设单位应监督所有危险废物的收集，禁止将危险废物混入废水中排放。</w:t>
            </w:r>
          </w:p>
          <w:p w14:paraId="5B0C501B">
            <w:pPr>
              <w:pStyle w:val="90"/>
              <w:spacing w:line="360" w:lineRule="auto"/>
              <w:ind w:firstLine="480" w:firstLineChars="200"/>
              <w:jc w:val="both"/>
              <w:rPr>
                <w:rFonts w:hint="default" w:ascii="Times New Roman" w:hAnsi="Times New Roman" w:cs="Times New Roman"/>
                <w:color w:val="auto"/>
              </w:rPr>
            </w:pPr>
            <w:r>
              <w:rPr>
                <w:rFonts w:hint="default" w:ascii="Times New Roman" w:hAnsi="Times New Roman" w:cs="Times New Roman"/>
                <w:color w:val="auto"/>
              </w:rPr>
              <w:t>（3）控制要求</w:t>
            </w:r>
          </w:p>
          <w:p w14:paraId="276A0637">
            <w:pPr>
              <w:pStyle w:val="90"/>
              <w:spacing w:line="360" w:lineRule="auto"/>
              <w:ind w:firstLine="480" w:firstLineChars="200"/>
              <w:jc w:val="both"/>
              <w:rPr>
                <w:rFonts w:hint="default" w:ascii="Times New Roman" w:hAnsi="Times New Roman" w:cs="Times New Roman"/>
                <w:color w:val="auto"/>
              </w:rPr>
            </w:pPr>
            <w:r>
              <w:rPr>
                <w:rFonts w:hint="default" w:ascii="Times New Roman" w:hAnsi="Times New Roman" w:cs="Times New Roman"/>
                <w:color w:val="auto"/>
              </w:rPr>
              <w:t>企业应严格加强固体废物贮存和处置全过程的管理，具体可如下执行：</w:t>
            </w:r>
          </w:p>
          <w:p w14:paraId="3AA20BC2">
            <w:pPr>
              <w:pStyle w:val="90"/>
              <w:spacing w:line="360" w:lineRule="auto"/>
              <w:ind w:firstLine="480" w:firstLineChars="200"/>
              <w:jc w:val="both"/>
              <w:rPr>
                <w:rFonts w:hint="default" w:ascii="Times New Roman" w:hAnsi="Times New Roman" w:cs="Times New Roman"/>
                <w:color w:val="auto"/>
              </w:rPr>
            </w:pPr>
            <w:r>
              <w:rPr>
                <w:rFonts w:hint="default" w:ascii="Times New Roman" w:hAnsi="Times New Roman" w:cs="Times New Roman"/>
                <w:color w:val="auto"/>
              </w:rPr>
              <w:t>①定期检查趸船的防渗性能。</w:t>
            </w:r>
          </w:p>
          <w:p w14:paraId="54AA5CF2">
            <w:pPr>
              <w:pStyle w:val="90"/>
              <w:spacing w:line="360" w:lineRule="auto"/>
              <w:ind w:firstLine="480" w:firstLineChars="200"/>
              <w:jc w:val="both"/>
              <w:rPr>
                <w:rFonts w:hint="default" w:ascii="Times New Roman" w:hAnsi="Times New Roman" w:cs="Times New Roman"/>
                <w:color w:val="auto"/>
              </w:rPr>
            </w:pPr>
            <w:r>
              <w:rPr>
                <w:rFonts w:hint="default" w:ascii="Times New Roman" w:hAnsi="Times New Roman" w:cs="Times New Roman"/>
                <w:color w:val="auto"/>
              </w:rPr>
              <w:t>②检查通讯设备、照明设施、安全防护服装及工具，检查应急防护设施。</w:t>
            </w:r>
          </w:p>
          <w:p w14:paraId="3E66AE31">
            <w:pPr>
              <w:pStyle w:val="90"/>
              <w:spacing w:line="360" w:lineRule="auto"/>
              <w:ind w:firstLine="480" w:firstLineChars="200"/>
              <w:jc w:val="both"/>
              <w:rPr>
                <w:rFonts w:hint="default" w:ascii="Times New Roman" w:hAnsi="Times New Roman" w:cs="Times New Roman"/>
                <w:color w:val="auto"/>
              </w:rPr>
            </w:pPr>
            <w:r>
              <w:rPr>
                <w:rFonts w:hint="default" w:ascii="Times New Roman" w:hAnsi="Times New Roman" w:cs="Times New Roman"/>
                <w:color w:val="auto"/>
              </w:rPr>
              <w:t>③完善维护制度，详细记录入场固体废物的种类和数量以及其他相关资料并长期保存，供随时查阅。</w:t>
            </w:r>
          </w:p>
          <w:p w14:paraId="1BF78D94">
            <w:pPr>
              <w:pStyle w:val="90"/>
              <w:spacing w:line="360" w:lineRule="auto"/>
              <w:ind w:firstLine="480" w:firstLineChars="200"/>
              <w:jc w:val="both"/>
              <w:rPr>
                <w:rFonts w:hint="default" w:ascii="Times New Roman" w:hAnsi="Times New Roman" w:cs="Times New Roman"/>
                <w:color w:val="auto"/>
              </w:rPr>
            </w:pPr>
            <w:r>
              <w:rPr>
                <w:rFonts w:hint="default" w:ascii="Times New Roman" w:hAnsi="Times New Roman" w:cs="Times New Roman"/>
                <w:color w:val="auto"/>
              </w:rPr>
              <w:t>综上，项目产生的固体废物采取上述措施后，不会对周边环境产生影响。</w:t>
            </w:r>
          </w:p>
          <w:bookmarkEnd w:id="14"/>
          <w:p w14:paraId="5DEF074C">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（5）生态环境</w:t>
            </w:r>
          </w:p>
          <w:p w14:paraId="4E74CC2D">
            <w:pPr>
              <w:spacing w:line="360" w:lineRule="auto"/>
              <w:ind w:firstLine="480" w:firstLineChars="200"/>
              <w:rPr>
                <w:rFonts w:hint="default" w:ascii="Times New Roman" w:hAnsi="Times New Roman" w:cs="Times New Roman"/>
                <w:sz w:val="24"/>
              </w:rPr>
            </w:pPr>
            <w:bookmarkStart w:id="15" w:name="_Hlk55813067"/>
            <w:r>
              <w:rPr>
                <w:rFonts w:hint="default" w:ascii="Times New Roman" w:hAnsi="Times New Roman" w:cs="Times New Roman"/>
                <w:sz w:val="24"/>
              </w:rPr>
              <w:t>运营期工程对水生生态环境的影响主要体现在对鱼类资源的影响。工程建成后，平台和引桥部分采用透空式高桩结构，鱼类仍可在趸船及引桥下面游动，因此尽管项目建设导致过水断面有所减小但是这种减小相对整个航道而言几乎是可以忽略的，其对鱼类的影响十分微小。</w:t>
            </w:r>
            <w:bookmarkEnd w:id="15"/>
          </w:p>
          <w:p w14:paraId="04E11E7D">
            <w:pPr>
              <w:spacing w:line="360" w:lineRule="auto"/>
              <w:ind w:firstLine="420" w:firstLineChars="200"/>
              <w:rPr>
                <w:rFonts w:hint="default" w:ascii="Times New Roman" w:hAnsi="Times New Roman" w:eastAsia="黑体" w:cs="Times New Roman"/>
                <w:bCs/>
              </w:rPr>
            </w:pPr>
          </w:p>
        </w:tc>
      </w:tr>
    </w:tbl>
    <w:p w14:paraId="615CA307">
      <w:pPr>
        <w:pStyle w:val="4"/>
        <w:keepLines w:val="0"/>
        <w:rPr>
          <w:rFonts w:ascii="Times New Roman" w:hAnsi="Times New Roman"/>
          <w:color w:val="auto"/>
        </w:rPr>
      </w:pPr>
      <w:bookmarkStart w:id="16" w:name="_Toc520382821"/>
      <w:r>
        <w:rPr>
          <w:rFonts w:ascii="Times New Roman" w:hAnsi="Times New Roman"/>
          <w:color w:val="auto"/>
        </w:rPr>
        <w:t xml:space="preserve">表五  </w:t>
      </w:r>
      <w:bookmarkEnd w:id="16"/>
      <w:r>
        <w:rPr>
          <w:rFonts w:ascii="Times New Roman" w:hAnsi="Times New Roman" w:eastAsiaTheme="minorEastAsia"/>
        </w:rPr>
        <w:t>环评报告表的主要结论与环评批复要求</w:t>
      </w:r>
    </w:p>
    <w:tbl>
      <w:tblPr>
        <w:tblStyle w:val="23"/>
        <w:tblW w:w="924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42"/>
      </w:tblGrid>
      <w:tr w14:paraId="454B5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48" w:hRule="atLeast"/>
        </w:trPr>
        <w:tc>
          <w:tcPr>
            <w:tcW w:w="9242" w:type="dxa"/>
          </w:tcPr>
          <w:p w14:paraId="766FBF03">
            <w:pPr>
              <w:spacing w:line="360" w:lineRule="auto"/>
              <w:rPr>
                <w:b/>
                <w:sz w:val="24"/>
              </w:rPr>
            </w:pPr>
            <w:r>
              <w:rPr>
                <w:rFonts w:hint="eastAsia"/>
                <w:b/>
                <w:sz w:val="24"/>
              </w:rPr>
              <w:t>5.1 环境影响评价过程</w:t>
            </w:r>
          </w:p>
          <w:p w14:paraId="097B0271">
            <w:pPr>
              <w:spacing w:line="360" w:lineRule="auto"/>
              <w:ind w:firstLine="480" w:firstLineChars="200"/>
              <w:rPr>
                <w:rFonts w:hint="eastAsia"/>
                <w:sz w:val="24"/>
                <w:lang w:eastAsia="zh-CN"/>
              </w:rPr>
            </w:pPr>
            <w:r>
              <w:rPr>
                <w:rFonts w:hint="eastAsia"/>
                <w:sz w:val="24"/>
              </w:rPr>
              <w:t>根据国家相关环境影响评价法律法规，2020年</w:t>
            </w:r>
            <w:r>
              <w:rPr>
                <w:rFonts w:hint="eastAsia"/>
                <w:sz w:val="24"/>
                <w:lang w:val="en-US" w:eastAsia="zh-CN"/>
              </w:rPr>
              <w:t>9</w:t>
            </w:r>
            <w:r>
              <w:rPr>
                <w:rFonts w:hint="eastAsia"/>
                <w:sz w:val="24"/>
              </w:rPr>
              <w:t>月，</w:t>
            </w:r>
            <w:r>
              <w:rPr>
                <w:rFonts w:hint="eastAsia"/>
                <w:sz w:val="24"/>
                <w:lang w:eastAsia="zh-CN"/>
              </w:rPr>
              <w:t>武汉两江轮渡有限责任公司通过项目代建方中交武汉港湾工程设计研究院有限公司</w:t>
            </w:r>
            <w:r>
              <w:rPr>
                <w:rFonts w:hint="eastAsia"/>
                <w:sz w:val="24"/>
              </w:rPr>
              <w:t>委托武汉智汇元环保科技有限公司编制</w:t>
            </w:r>
            <w:r>
              <w:rPr>
                <w:rFonts w:hint="eastAsia"/>
                <w:sz w:val="24"/>
                <w:lang w:eastAsia="zh-CN"/>
              </w:rPr>
              <w:t>武汉港核心区趸船码头改造提升项目（中华路客运码头）</w:t>
            </w:r>
            <w:r>
              <w:rPr>
                <w:rFonts w:hint="eastAsia"/>
                <w:sz w:val="24"/>
                <w:szCs w:val="28"/>
              </w:rPr>
              <w:t>的环境影响评价工作，并于202</w:t>
            </w:r>
            <w:r>
              <w:rPr>
                <w:rFonts w:hint="eastAsia"/>
                <w:sz w:val="24"/>
                <w:szCs w:val="28"/>
                <w:lang w:val="en-US" w:eastAsia="zh-CN"/>
              </w:rPr>
              <w:t>1</w:t>
            </w:r>
            <w:r>
              <w:rPr>
                <w:rFonts w:hint="eastAsia"/>
                <w:sz w:val="24"/>
                <w:szCs w:val="28"/>
              </w:rPr>
              <w:t>年</w:t>
            </w:r>
            <w:r>
              <w:rPr>
                <w:sz w:val="24"/>
                <w:szCs w:val="28"/>
              </w:rPr>
              <w:t>10</w:t>
            </w:r>
            <w:r>
              <w:rPr>
                <w:rFonts w:hint="eastAsia"/>
                <w:sz w:val="24"/>
                <w:szCs w:val="28"/>
              </w:rPr>
              <w:t>月完成《</w:t>
            </w:r>
            <w:r>
              <w:rPr>
                <w:rFonts w:hint="eastAsia"/>
                <w:sz w:val="24"/>
                <w:lang w:eastAsia="zh-CN"/>
              </w:rPr>
              <w:t>武汉港核心区趸船码头改造提升项目（中华路客运码头）</w:t>
            </w:r>
            <w:r>
              <w:rPr>
                <w:rFonts w:hint="eastAsia"/>
                <w:sz w:val="24"/>
                <w:szCs w:val="28"/>
              </w:rPr>
              <w:t>环境影响报告表》的编制；</w:t>
            </w:r>
            <w:r>
              <w:rPr>
                <w:rFonts w:hint="eastAsia"/>
                <w:sz w:val="24"/>
              </w:rPr>
              <w:t>202</w:t>
            </w:r>
            <w:r>
              <w:rPr>
                <w:rFonts w:hint="eastAsia"/>
                <w:sz w:val="24"/>
                <w:lang w:val="en-US" w:eastAsia="zh-CN"/>
              </w:rPr>
              <w:t>1</w:t>
            </w:r>
            <w:r>
              <w:rPr>
                <w:rFonts w:hint="eastAsia"/>
                <w:sz w:val="24"/>
              </w:rPr>
              <w:t>年</w:t>
            </w:r>
            <w:r>
              <w:rPr>
                <w:rFonts w:hint="eastAsia"/>
                <w:sz w:val="24"/>
                <w:lang w:val="en-US" w:eastAsia="zh-CN"/>
              </w:rPr>
              <w:t>11</w:t>
            </w:r>
            <w:r>
              <w:rPr>
                <w:rFonts w:hint="eastAsia"/>
                <w:sz w:val="24"/>
              </w:rPr>
              <w:t>月</w:t>
            </w:r>
            <w:r>
              <w:rPr>
                <w:rFonts w:hint="eastAsia"/>
                <w:sz w:val="24"/>
                <w:lang w:val="en-US" w:eastAsia="zh-CN"/>
              </w:rPr>
              <w:t>11</w:t>
            </w:r>
            <w:r>
              <w:rPr>
                <w:rFonts w:hint="eastAsia"/>
                <w:sz w:val="24"/>
                <w:lang w:eastAsia="zh-CN"/>
              </w:rPr>
              <w:t>日，武汉市生态环境局武昌区分局以武环武昌审[2021]4号批复了该项目环境影响报告表。</w:t>
            </w:r>
          </w:p>
          <w:p w14:paraId="1A6D013D">
            <w:pPr>
              <w:spacing w:line="360" w:lineRule="auto"/>
              <w:rPr>
                <w:b/>
                <w:sz w:val="24"/>
              </w:rPr>
            </w:pPr>
            <w:r>
              <w:rPr>
                <w:rFonts w:hint="eastAsia"/>
                <w:b/>
                <w:sz w:val="24"/>
              </w:rPr>
              <w:t>5.2</w:t>
            </w:r>
            <w:r>
              <w:rPr>
                <w:b/>
                <w:sz w:val="24"/>
              </w:rPr>
              <w:t xml:space="preserve"> </w:t>
            </w:r>
            <w:r>
              <w:rPr>
                <w:rFonts w:hint="eastAsia"/>
                <w:b/>
                <w:sz w:val="24"/>
              </w:rPr>
              <w:t>环境</w:t>
            </w:r>
            <w:r>
              <w:rPr>
                <w:b/>
                <w:sz w:val="24"/>
              </w:rPr>
              <w:t>影响评价的主要环境影响预测及结论</w:t>
            </w:r>
          </w:p>
          <w:p w14:paraId="34389C78">
            <w:pPr>
              <w:pStyle w:val="91"/>
              <w:rPr>
                <w:color w:val="000000"/>
                <w:szCs w:val="20"/>
              </w:rPr>
            </w:pPr>
            <w:r>
              <w:rPr>
                <w:rFonts w:hint="eastAsia"/>
                <w:color w:val="000000"/>
                <w:szCs w:val="20"/>
              </w:rPr>
              <w:t>（1）施工期</w:t>
            </w:r>
          </w:p>
          <w:p w14:paraId="56B5F959">
            <w:pPr>
              <w:pStyle w:val="91"/>
              <w:rPr>
                <w:color w:val="000000"/>
                <w:szCs w:val="20"/>
              </w:rPr>
            </w:pPr>
            <w:r>
              <w:rPr>
                <w:rFonts w:hint="eastAsia"/>
                <w:color w:val="000000"/>
                <w:szCs w:val="20"/>
              </w:rPr>
              <w:t>通过分析，项目施工期会给所在区域空气环境、地表水环境、声环境造成不同程度的影响。建设单位应要求施工单位严格按《武汉市建筑工程文明施工管理办法》文明施工，合理布置施工营地和安排施工进度，并采取必要污染防治措施，以控制各项污染源及其污染物对周围环境和敏感点的影响。</w:t>
            </w:r>
          </w:p>
          <w:p w14:paraId="66DA229D">
            <w:pPr>
              <w:pStyle w:val="91"/>
              <w:rPr>
                <w:color w:val="000000"/>
                <w:szCs w:val="20"/>
              </w:rPr>
            </w:pPr>
            <w:r>
              <w:rPr>
                <w:rFonts w:hint="eastAsia"/>
                <w:color w:val="000000"/>
                <w:szCs w:val="20"/>
              </w:rPr>
              <w:t>①环境空气影响分析</w:t>
            </w:r>
          </w:p>
          <w:p w14:paraId="5AC45045">
            <w:pPr>
              <w:pStyle w:val="91"/>
              <w:rPr>
                <w:color w:val="000000"/>
                <w:szCs w:val="20"/>
              </w:rPr>
            </w:pPr>
            <w:r>
              <w:rPr>
                <w:rFonts w:hint="eastAsia"/>
                <w:color w:val="000000"/>
                <w:szCs w:val="20"/>
              </w:rPr>
              <w:t>施工期环境空气污染主要源于土石方工程及物料装卸运输产生的扬尘，车辆行驶产生的二次扬尘，以及施工机械和车辆产生的废气。在做好施工期环境空气污染临时防护措施的基础上，施工期产生的扬尘及废气对周围环境影响轻微。</w:t>
            </w:r>
          </w:p>
          <w:p w14:paraId="636847C3">
            <w:pPr>
              <w:pStyle w:val="91"/>
              <w:rPr>
                <w:color w:val="000000"/>
                <w:szCs w:val="20"/>
              </w:rPr>
            </w:pPr>
            <w:r>
              <w:rPr>
                <w:rFonts w:hint="eastAsia"/>
                <w:color w:val="000000"/>
                <w:szCs w:val="20"/>
              </w:rPr>
              <w:t>②地表水环境影响分析</w:t>
            </w:r>
          </w:p>
          <w:p w14:paraId="0C9186E6">
            <w:pPr>
              <w:pStyle w:val="91"/>
              <w:rPr>
                <w:color w:val="000000"/>
                <w:szCs w:val="20"/>
              </w:rPr>
            </w:pPr>
            <w:r>
              <w:rPr>
                <w:rFonts w:hint="eastAsia"/>
                <w:color w:val="000000"/>
                <w:szCs w:val="20"/>
              </w:rPr>
              <w:t>项目产生的废水不会对区域的水环境造成不良影响。</w:t>
            </w:r>
          </w:p>
          <w:p w14:paraId="09973AF4">
            <w:pPr>
              <w:pStyle w:val="91"/>
              <w:rPr>
                <w:color w:val="000000"/>
                <w:szCs w:val="20"/>
              </w:rPr>
            </w:pPr>
            <w:r>
              <w:rPr>
                <w:rFonts w:hint="eastAsia"/>
                <w:color w:val="000000"/>
                <w:szCs w:val="20"/>
              </w:rPr>
              <w:t>③噪声环境影响分析</w:t>
            </w:r>
          </w:p>
          <w:p w14:paraId="0E9CBEC5">
            <w:pPr>
              <w:pStyle w:val="91"/>
              <w:rPr>
                <w:color w:val="000000"/>
                <w:szCs w:val="20"/>
              </w:rPr>
            </w:pPr>
            <w:r>
              <w:rPr>
                <w:rFonts w:hint="eastAsia"/>
                <w:color w:val="000000"/>
                <w:szCs w:val="20"/>
              </w:rPr>
              <w:t>施工期噪声主要来自施工机械设备和运输车辆。类比类似工程根据。根据现场查勘和调查，施工机械设备和运输车辆产生的噪声对项目周边居民及管理人员生活可能造成影响，但是随着施工结束，这部分影响也随之消失。</w:t>
            </w:r>
          </w:p>
          <w:p w14:paraId="0BEC4FA2">
            <w:pPr>
              <w:pStyle w:val="91"/>
              <w:rPr>
                <w:color w:val="000000"/>
                <w:szCs w:val="20"/>
              </w:rPr>
            </w:pPr>
            <w:r>
              <w:rPr>
                <w:rFonts w:hint="eastAsia"/>
                <w:color w:val="000000"/>
                <w:szCs w:val="20"/>
              </w:rPr>
              <w:t>④固体废物环境影响分析</w:t>
            </w:r>
          </w:p>
          <w:p w14:paraId="63F8993E">
            <w:pPr>
              <w:pStyle w:val="91"/>
              <w:rPr>
                <w:color w:val="000000"/>
                <w:szCs w:val="20"/>
              </w:rPr>
            </w:pPr>
            <w:r>
              <w:rPr>
                <w:rFonts w:hint="eastAsia"/>
                <w:color w:val="000000"/>
                <w:szCs w:val="20"/>
              </w:rPr>
              <w:t>施工期建筑垃圾交由具有建筑垃圾运输资质的单位进行处置；生活垃圾收集后委托环卫部门定期清运。</w:t>
            </w:r>
          </w:p>
          <w:p w14:paraId="2D897862">
            <w:pPr>
              <w:pStyle w:val="91"/>
              <w:rPr>
                <w:color w:val="000000"/>
                <w:szCs w:val="20"/>
              </w:rPr>
            </w:pPr>
            <w:r>
              <w:rPr>
                <w:rFonts w:hint="eastAsia"/>
                <w:color w:val="000000"/>
                <w:szCs w:val="20"/>
              </w:rPr>
              <w:t>采取以上措施后，项目施工期对周围环境的影响可以得到有效控制。施工结束后，这些影响即可得到消除，因此，项目施工期对周围环境的影响是有限的。</w:t>
            </w:r>
          </w:p>
          <w:p w14:paraId="4B12E16C">
            <w:pPr>
              <w:pStyle w:val="91"/>
              <w:rPr>
                <w:color w:val="000000"/>
                <w:szCs w:val="20"/>
              </w:rPr>
            </w:pPr>
            <w:r>
              <w:rPr>
                <w:rFonts w:hint="eastAsia"/>
                <w:color w:val="000000"/>
                <w:szCs w:val="20"/>
              </w:rPr>
              <w:t>（2）运营期</w:t>
            </w:r>
          </w:p>
          <w:p w14:paraId="44F5FB3F">
            <w:pPr>
              <w:pStyle w:val="91"/>
              <w:rPr>
                <w:color w:val="000000"/>
                <w:szCs w:val="20"/>
              </w:rPr>
            </w:pPr>
            <w:r>
              <w:rPr>
                <w:rFonts w:hint="eastAsia"/>
                <w:color w:val="000000"/>
                <w:szCs w:val="20"/>
              </w:rPr>
              <w:t>①大气环境影响分析结论</w:t>
            </w:r>
          </w:p>
          <w:p w14:paraId="31998D1C">
            <w:pPr>
              <w:spacing w:line="360" w:lineRule="auto"/>
              <w:ind w:firstLine="480" w:firstLineChars="200"/>
              <w:rPr>
                <w:color w:val="000000"/>
                <w:sz w:val="24"/>
              </w:rPr>
            </w:pPr>
            <w:r>
              <w:rPr>
                <w:rFonts w:hint="eastAsia"/>
                <w:color w:val="000000"/>
                <w:sz w:val="24"/>
              </w:rPr>
              <w:t>本项目运营期的主要废气来自于</w:t>
            </w:r>
            <w:r>
              <w:rPr>
                <w:rFonts w:hint="eastAsia"/>
                <w:color w:val="000000"/>
                <w:sz w:val="24"/>
                <w:lang w:eastAsia="zh-CN"/>
              </w:rPr>
              <w:t>客运船舶</w:t>
            </w:r>
            <w:r>
              <w:rPr>
                <w:rFonts w:hint="eastAsia"/>
                <w:color w:val="000000"/>
                <w:sz w:val="24"/>
              </w:rPr>
              <w:t>进出码头所产生的船舶废气，主要污染物为CO、NO</w:t>
            </w:r>
            <w:r>
              <w:rPr>
                <w:rFonts w:hint="eastAsia"/>
                <w:color w:val="000000"/>
                <w:sz w:val="24"/>
                <w:vertAlign w:val="subscript"/>
              </w:rPr>
              <w:t>X</w:t>
            </w:r>
            <w:r>
              <w:rPr>
                <w:rFonts w:hint="eastAsia"/>
                <w:color w:val="000000"/>
                <w:sz w:val="24"/>
              </w:rPr>
              <w:t>、CH等。由于进出码头时间较短，其排放量相对较少，同时本</w:t>
            </w:r>
            <w:r>
              <w:rPr>
                <w:color w:val="000000"/>
                <w:sz w:val="24"/>
              </w:rPr>
              <w:t>项目设置在</w:t>
            </w:r>
            <w:r>
              <w:rPr>
                <w:rFonts w:hint="eastAsia"/>
                <w:color w:val="000000"/>
                <w:sz w:val="24"/>
                <w:lang w:eastAsia="zh-CN"/>
              </w:rPr>
              <w:t>长</w:t>
            </w:r>
            <w:r>
              <w:rPr>
                <w:color w:val="000000"/>
                <w:sz w:val="24"/>
              </w:rPr>
              <w:t>江边，环境空旷有利于废气的扩散，</w:t>
            </w:r>
            <w:r>
              <w:rPr>
                <w:rFonts w:hint="eastAsia"/>
                <w:color w:val="000000"/>
                <w:sz w:val="24"/>
              </w:rPr>
              <w:t>故本工程的船舶废气不会对环境空气保护目标产生污染影响。</w:t>
            </w:r>
          </w:p>
          <w:p w14:paraId="7F453E29">
            <w:pPr>
              <w:pStyle w:val="91"/>
              <w:rPr>
                <w:color w:val="000000"/>
                <w:szCs w:val="20"/>
              </w:rPr>
            </w:pPr>
            <w:r>
              <w:rPr>
                <w:rFonts w:hint="eastAsia"/>
                <w:color w:val="000000"/>
                <w:szCs w:val="20"/>
              </w:rPr>
              <w:t>②地表水环境影响</w:t>
            </w:r>
          </w:p>
          <w:p w14:paraId="2F21A539">
            <w:pPr>
              <w:pStyle w:val="91"/>
              <w:rPr>
                <w:rFonts w:cs="宋体"/>
                <w:color w:val="000000"/>
                <w:szCs w:val="20"/>
              </w:rPr>
            </w:pPr>
            <w:r>
              <w:rPr>
                <w:rFonts w:hint="eastAsia" w:ascii="Times New Roman"/>
                <w:bCs/>
              </w:rPr>
              <w:t>本项目的生活污水经趸船底舱的生活污水</w:t>
            </w:r>
            <w:r>
              <w:rPr>
                <w:rFonts w:hint="eastAsia" w:ascii="Times New Roman"/>
                <w:bCs/>
                <w:lang w:eastAsia="zh-CN"/>
              </w:rPr>
              <w:t>处理装置</w:t>
            </w:r>
            <w:r>
              <w:rPr>
                <w:rFonts w:hint="eastAsia" w:ascii="Times New Roman"/>
                <w:bCs/>
              </w:rPr>
              <w:t>（等同于化粪池）</w:t>
            </w:r>
            <w:r>
              <w:rPr>
                <w:rFonts w:hint="eastAsia" w:cs="宋体"/>
                <w:color w:val="000000"/>
                <w:szCs w:val="20"/>
              </w:rPr>
              <w:t>预处理达到《污水综合排放标准》（GB8978-1996）表4中的三级标准和《污水排入城镇下水道水质标准》（GB/T31962-2015）表1中B级标准后通过市政污水管网排入</w:t>
            </w:r>
            <w:r>
              <w:rPr>
                <w:rFonts w:hint="eastAsia" w:cs="宋体"/>
                <w:color w:val="000000"/>
                <w:szCs w:val="20"/>
                <w:lang w:eastAsia="zh-CN"/>
              </w:rPr>
              <w:t>二廊庙</w:t>
            </w:r>
            <w:r>
              <w:rPr>
                <w:rFonts w:hint="eastAsia" w:cs="宋体"/>
                <w:color w:val="000000"/>
                <w:szCs w:val="20"/>
              </w:rPr>
              <w:t>污水处理厂处理达到《城镇污水处理厂污染物排放标准》（GB18918-2002）一级A标准后，尾水排入</w:t>
            </w:r>
            <w:r>
              <w:rPr>
                <w:rFonts w:hint="eastAsia" w:cs="宋体"/>
                <w:color w:val="000000"/>
                <w:szCs w:val="20"/>
                <w:lang w:eastAsia="zh-CN"/>
              </w:rPr>
              <w:t>长江</w:t>
            </w:r>
            <w:r>
              <w:rPr>
                <w:rFonts w:hint="eastAsia" w:cs="宋体"/>
                <w:color w:val="000000"/>
                <w:szCs w:val="20"/>
              </w:rPr>
              <w:t>。</w:t>
            </w:r>
          </w:p>
          <w:p w14:paraId="2453E247">
            <w:pPr>
              <w:pStyle w:val="91"/>
              <w:rPr>
                <w:color w:val="000000"/>
                <w:szCs w:val="20"/>
              </w:rPr>
            </w:pPr>
            <w:r>
              <w:rPr>
                <w:rFonts w:hint="eastAsia"/>
                <w:color w:val="000000"/>
                <w:szCs w:val="20"/>
              </w:rPr>
              <w:t>③声环境影响</w:t>
            </w:r>
          </w:p>
          <w:p w14:paraId="0D5CCD58">
            <w:pPr>
              <w:pStyle w:val="91"/>
              <w:rPr>
                <w:color w:val="000000"/>
              </w:rPr>
            </w:pPr>
            <w:r>
              <w:rPr>
                <w:rFonts w:hint="eastAsia"/>
                <w:color w:val="000000"/>
                <w:szCs w:val="20"/>
              </w:rPr>
              <w:t>在采取隔声降噪措施的情况下，</w:t>
            </w:r>
            <w:r>
              <w:rPr>
                <w:color w:val="000000"/>
              </w:rPr>
              <w:t>本项目运行噪声</w:t>
            </w:r>
            <w:r>
              <w:rPr>
                <w:rFonts w:hint="eastAsia"/>
                <w:color w:val="000000"/>
              </w:rPr>
              <w:t>排放</w:t>
            </w:r>
            <w:r>
              <w:rPr>
                <w:color w:val="000000"/>
              </w:rPr>
              <w:t>满足《工业企业厂界环境噪声排放标准》（GB12348-2008）中</w:t>
            </w:r>
            <w:r>
              <w:rPr>
                <w:rFonts w:hint="eastAsia"/>
                <w:color w:val="000000"/>
              </w:rPr>
              <w:t>4类</w:t>
            </w:r>
            <w:r>
              <w:rPr>
                <w:color w:val="000000"/>
              </w:rPr>
              <w:t>标准要求</w:t>
            </w:r>
            <w:r>
              <w:rPr>
                <w:rFonts w:hint="eastAsia"/>
                <w:color w:val="000000"/>
              </w:rPr>
              <w:t>。</w:t>
            </w:r>
          </w:p>
          <w:p w14:paraId="28B49ADC">
            <w:pPr>
              <w:pStyle w:val="91"/>
              <w:rPr>
                <w:color w:val="000000"/>
                <w:szCs w:val="20"/>
              </w:rPr>
            </w:pPr>
            <w:r>
              <w:rPr>
                <w:rFonts w:hint="eastAsia"/>
                <w:color w:val="000000"/>
                <w:szCs w:val="20"/>
              </w:rPr>
              <w:t>④固体废物环境影响</w:t>
            </w:r>
          </w:p>
          <w:p w14:paraId="17B733AC">
            <w:pPr>
              <w:pStyle w:val="91"/>
              <w:rPr>
                <w:color w:val="000000"/>
                <w:szCs w:val="20"/>
              </w:rPr>
            </w:pPr>
            <w:r>
              <w:rPr>
                <w:rFonts w:hint="eastAsia"/>
                <w:color w:val="000000"/>
                <w:szCs w:val="20"/>
              </w:rPr>
              <w:t>本项目运营后总体工程产生的固体废物实现零排放，不会对周围环境造成不利影响。</w:t>
            </w:r>
          </w:p>
          <w:p w14:paraId="528CAA1A">
            <w:pPr>
              <w:pStyle w:val="91"/>
              <w:rPr>
                <w:color w:val="000000"/>
                <w:szCs w:val="20"/>
              </w:rPr>
            </w:pPr>
            <w:r>
              <w:rPr>
                <w:color w:val="000000"/>
                <w:szCs w:val="20"/>
              </w:rPr>
              <w:t>⑤生态环境影响分析</w:t>
            </w:r>
          </w:p>
          <w:p w14:paraId="1DEBE053">
            <w:pPr>
              <w:pStyle w:val="91"/>
              <w:rPr>
                <w:color w:val="000000"/>
                <w:szCs w:val="20"/>
              </w:rPr>
            </w:pPr>
            <w:r>
              <w:rPr>
                <w:color w:val="000000"/>
                <w:szCs w:val="20"/>
              </w:rPr>
              <w:t>项目完工后，项目及周边的生态系统逐渐恢复和稳定，原来受项目施工影响而离开的动物又会逐步返回原生境，形成稳定的生态系统。</w:t>
            </w:r>
          </w:p>
          <w:p w14:paraId="5416DDCD">
            <w:pPr>
              <w:spacing w:line="360" w:lineRule="auto"/>
              <w:ind w:firstLine="482" w:firstLineChars="200"/>
              <w:rPr>
                <w:b/>
                <w:sz w:val="24"/>
              </w:rPr>
            </w:pPr>
            <w:r>
              <w:rPr>
                <w:rFonts w:hint="eastAsia"/>
                <w:b/>
                <w:sz w:val="24"/>
              </w:rPr>
              <w:t>3、国家产业政策、城市规划及法律法规相符性结论</w:t>
            </w:r>
          </w:p>
          <w:p w14:paraId="3C026C9D">
            <w:pPr>
              <w:pStyle w:val="91"/>
              <w:rPr>
                <w:color w:val="000000"/>
                <w:szCs w:val="20"/>
              </w:rPr>
            </w:pPr>
            <w:r>
              <w:rPr>
                <w:rFonts w:hint="eastAsia"/>
                <w:color w:val="000000"/>
                <w:szCs w:val="20"/>
              </w:rPr>
              <w:t>本项目为</w:t>
            </w:r>
            <w:r>
              <w:rPr>
                <w:rFonts w:hint="eastAsia"/>
                <w:color w:val="000000"/>
                <w:szCs w:val="20"/>
                <w:lang w:eastAsia="zh-CN"/>
              </w:rPr>
              <w:t>旅游客运码头</w:t>
            </w:r>
            <w:r>
              <w:rPr>
                <w:rFonts w:hint="eastAsia"/>
                <w:color w:val="000000"/>
                <w:szCs w:val="20"/>
              </w:rPr>
              <w:t>工程，属于国家发改委《产业结构调整指导目录（20</w:t>
            </w:r>
            <w:r>
              <w:rPr>
                <w:rFonts w:hint="eastAsia"/>
                <w:color w:val="000000"/>
                <w:szCs w:val="20"/>
                <w:lang w:val="en-US" w:eastAsia="zh-CN"/>
              </w:rPr>
              <w:t>24</w:t>
            </w:r>
            <w:r>
              <w:rPr>
                <w:rFonts w:hint="eastAsia"/>
                <w:color w:val="000000"/>
                <w:szCs w:val="20"/>
              </w:rPr>
              <w:t>年本）》中“第一大类（鼓励类）、第二十五小类（水运）、第</w:t>
            </w:r>
            <w:r>
              <w:rPr>
                <w:rFonts w:hint="eastAsia"/>
                <w:color w:val="000000"/>
                <w:szCs w:val="20"/>
                <w:lang w:val="en-US" w:eastAsia="zh-CN"/>
              </w:rPr>
              <w:t>2</w:t>
            </w:r>
            <w:r>
              <w:rPr>
                <w:rFonts w:hint="eastAsia"/>
                <w:color w:val="000000"/>
                <w:szCs w:val="20"/>
              </w:rPr>
              <w:t>项（港口枢纽建设）”的类别，因此，本项目建设符合国家产业政策。</w:t>
            </w:r>
          </w:p>
          <w:p w14:paraId="7847710F">
            <w:pPr>
              <w:spacing w:line="360" w:lineRule="auto"/>
              <w:ind w:firstLine="482" w:firstLineChars="200"/>
              <w:rPr>
                <w:b/>
                <w:sz w:val="24"/>
              </w:rPr>
            </w:pPr>
            <w:r>
              <w:rPr>
                <w:b/>
                <w:sz w:val="24"/>
              </w:rPr>
              <w:t>4</w:t>
            </w:r>
            <w:r>
              <w:rPr>
                <w:rFonts w:hint="eastAsia"/>
                <w:b/>
                <w:sz w:val="24"/>
              </w:rPr>
              <w:t>、环保投资</w:t>
            </w:r>
          </w:p>
          <w:p w14:paraId="789E692E">
            <w:pPr>
              <w:spacing w:line="360" w:lineRule="auto"/>
              <w:ind w:firstLine="480" w:firstLineChars="200"/>
              <w:rPr>
                <w:sz w:val="24"/>
              </w:rPr>
            </w:pPr>
            <w:r>
              <w:rPr>
                <w:rFonts w:hint="eastAsia"/>
                <w:color w:val="000000"/>
                <w:sz w:val="24"/>
              </w:rPr>
              <w:t>本项目环保投资估算</w:t>
            </w:r>
            <w:r>
              <w:rPr>
                <w:rFonts w:hint="eastAsia"/>
                <w:color w:val="000000"/>
                <w:sz w:val="24"/>
                <w:lang w:val="en-US" w:eastAsia="zh-CN"/>
              </w:rPr>
              <w:t>300</w:t>
            </w:r>
            <w:r>
              <w:rPr>
                <w:rFonts w:hint="eastAsia"/>
                <w:color w:val="000000"/>
                <w:sz w:val="24"/>
              </w:rPr>
              <w:t>万元，占项目总投资的0.</w:t>
            </w:r>
            <w:r>
              <w:rPr>
                <w:rFonts w:hint="eastAsia"/>
                <w:color w:val="000000"/>
                <w:sz w:val="24"/>
                <w:lang w:val="en-US" w:eastAsia="zh-CN"/>
              </w:rPr>
              <w:t>5</w:t>
            </w:r>
            <w:r>
              <w:rPr>
                <w:rFonts w:hint="eastAsia"/>
                <w:color w:val="000000"/>
                <w:sz w:val="24"/>
              </w:rPr>
              <w:t>%</w:t>
            </w:r>
            <w:r>
              <w:rPr>
                <w:rFonts w:hint="eastAsia"/>
                <w:sz w:val="24"/>
              </w:rPr>
              <w:t>。</w:t>
            </w:r>
          </w:p>
          <w:p w14:paraId="6FD43EA9">
            <w:pPr>
              <w:spacing w:line="360" w:lineRule="auto"/>
              <w:ind w:firstLine="482" w:firstLineChars="200"/>
              <w:rPr>
                <w:b/>
                <w:sz w:val="24"/>
              </w:rPr>
            </w:pPr>
            <w:r>
              <w:rPr>
                <w:b/>
                <w:sz w:val="24"/>
              </w:rPr>
              <w:t>5</w:t>
            </w:r>
            <w:r>
              <w:rPr>
                <w:rFonts w:hint="eastAsia"/>
                <w:b/>
                <w:sz w:val="24"/>
              </w:rPr>
              <w:t>、总量控制指标</w:t>
            </w:r>
          </w:p>
          <w:p w14:paraId="16159F1B">
            <w:pPr>
              <w:pStyle w:val="92"/>
              <w:spacing w:line="360" w:lineRule="auto"/>
              <w:rPr>
                <w:sz w:val="24"/>
                <w:szCs w:val="24"/>
              </w:rPr>
            </w:pPr>
            <w:r>
              <w:rPr>
                <w:rFonts w:hint="eastAsia"/>
                <w:sz w:val="24"/>
                <w:szCs w:val="24"/>
              </w:rPr>
              <w:t>根据《市生态环境局关于进一步做好建设项目重点污染物排放总量指标审核和替代有关工作的通知》（武环[2019] 50号），除城镇（乡、村）生活污水处理厂、垃圾处理场（不含垃圾焚烧发电厂）、危险废物和医疗废物处置厂、污水进入城镇污水处理厂的非工业项目（仅限水污染物指标）等建设项目外，按照法律法规要求进行环境影响评价审批并新增重点污染物排放的建设项目，均纳入总量替代工作范围。</w:t>
            </w:r>
          </w:p>
          <w:p w14:paraId="077E7003">
            <w:pPr>
              <w:pStyle w:val="92"/>
              <w:spacing w:line="360" w:lineRule="auto"/>
              <w:rPr>
                <w:sz w:val="24"/>
                <w:szCs w:val="24"/>
              </w:rPr>
            </w:pPr>
            <w:r>
              <w:rPr>
                <w:rFonts w:hint="eastAsia"/>
                <w:sz w:val="24"/>
                <w:szCs w:val="24"/>
              </w:rPr>
              <w:t>本项目</w:t>
            </w:r>
            <w:r>
              <w:rPr>
                <w:rFonts w:hint="eastAsia"/>
                <w:sz w:val="24"/>
                <w:szCs w:val="24"/>
                <w:lang w:eastAsia="zh-CN"/>
              </w:rPr>
              <w:t>属于旅游码头</w:t>
            </w:r>
            <w:r>
              <w:rPr>
                <w:rFonts w:hint="eastAsia"/>
                <w:sz w:val="24"/>
                <w:szCs w:val="24"/>
              </w:rPr>
              <w:t>项目，属于非工业项目。且本项目生活污水经</w:t>
            </w:r>
            <w:r>
              <w:rPr>
                <w:rFonts w:hint="eastAsia"/>
                <w:sz w:val="24"/>
                <w:szCs w:val="24"/>
                <w:lang w:eastAsia="zh-CN"/>
              </w:rPr>
              <w:t>生活污水处理装置</w:t>
            </w:r>
            <w:r>
              <w:rPr>
                <w:rFonts w:hint="eastAsia"/>
                <w:sz w:val="24"/>
                <w:szCs w:val="24"/>
              </w:rPr>
              <w:t>预处理后可以进入</w:t>
            </w:r>
            <w:r>
              <w:rPr>
                <w:rFonts w:hint="eastAsia"/>
                <w:sz w:val="24"/>
                <w:szCs w:val="24"/>
                <w:lang w:eastAsia="zh-CN"/>
              </w:rPr>
              <w:t>二廊庙</w:t>
            </w:r>
            <w:r>
              <w:rPr>
                <w:rFonts w:hint="eastAsia"/>
                <w:sz w:val="24"/>
                <w:szCs w:val="24"/>
              </w:rPr>
              <w:t>污水处理厂处理。故本项目无需申请污染物排放总量指标。</w:t>
            </w:r>
          </w:p>
          <w:p w14:paraId="473C249B">
            <w:pPr>
              <w:spacing w:line="360" w:lineRule="auto"/>
              <w:ind w:firstLine="482" w:firstLineChars="200"/>
              <w:rPr>
                <w:b/>
                <w:sz w:val="24"/>
              </w:rPr>
            </w:pPr>
            <w:r>
              <w:rPr>
                <w:b/>
                <w:sz w:val="24"/>
              </w:rPr>
              <w:t>6</w:t>
            </w:r>
            <w:r>
              <w:rPr>
                <w:rFonts w:hint="eastAsia"/>
                <w:b/>
                <w:sz w:val="24"/>
              </w:rPr>
              <w:t>、</w:t>
            </w:r>
            <w:r>
              <w:rPr>
                <w:b/>
                <w:sz w:val="24"/>
              </w:rPr>
              <w:t>评价结论</w:t>
            </w:r>
          </w:p>
          <w:p w14:paraId="052E3155">
            <w:pPr>
              <w:spacing w:line="360" w:lineRule="auto"/>
              <w:ind w:firstLine="480" w:firstLineChars="200"/>
              <w:rPr>
                <w:sz w:val="24"/>
              </w:rPr>
            </w:pPr>
            <w:r>
              <w:rPr>
                <w:rFonts w:hint="eastAsia"/>
                <w:color w:val="000000"/>
                <w:sz w:val="24"/>
              </w:rPr>
              <w:t>综上所述，拟建项目建成运行将对环境产生一定影响，建设单位在严格执行“三同时”制度，全面落实项目建设内容和报批后的《报告表》所规定的各项环保措施的前提下，项目对周围环境的影响可控制在国家有关标准和要求的允许范围以内。项目的建设符合城市规划、国家产业政策，能做到社会、经济、环境效益协调发展。从环境保护角度分析，该项目实施具有可行性，可按照拟定的规模，在拟定的地点建设。</w:t>
            </w:r>
          </w:p>
          <w:p w14:paraId="1D537B24">
            <w:pPr>
              <w:spacing w:line="360" w:lineRule="auto"/>
              <w:rPr>
                <w:b/>
                <w:sz w:val="24"/>
              </w:rPr>
            </w:pPr>
            <w:r>
              <w:rPr>
                <w:rFonts w:hint="eastAsia"/>
                <w:b/>
                <w:sz w:val="24"/>
              </w:rPr>
              <w:t>5.3 各级环境保护行政主管部门的审批意见</w:t>
            </w:r>
          </w:p>
          <w:p w14:paraId="70E44A3A">
            <w:pPr>
              <w:spacing w:line="360" w:lineRule="auto"/>
              <w:ind w:firstLine="480" w:firstLineChars="200"/>
              <w:rPr>
                <w:rFonts w:hint="eastAsia"/>
                <w:color w:val="000000"/>
                <w:sz w:val="24"/>
              </w:rPr>
            </w:pPr>
            <w:r>
              <w:rPr>
                <w:rFonts w:hint="eastAsia"/>
                <w:color w:val="000000"/>
                <w:sz w:val="24"/>
              </w:rPr>
              <w:t>武汉市生态环境局</w:t>
            </w:r>
            <w:r>
              <w:rPr>
                <w:rFonts w:hint="eastAsia"/>
                <w:color w:val="000000"/>
                <w:sz w:val="24"/>
                <w:lang w:eastAsia="zh-CN"/>
              </w:rPr>
              <w:t>武昌</w:t>
            </w:r>
            <w:r>
              <w:rPr>
                <w:rFonts w:hint="eastAsia"/>
                <w:color w:val="000000"/>
                <w:sz w:val="24"/>
              </w:rPr>
              <w:t>区分局于20</w:t>
            </w:r>
            <w:r>
              <w:rPr>
                <w:rFonts w:hint="eastAsia"/>
                <w:color w:val="000000"/>
                <w:sz w:val="24"/>
                <w:lang w:val="en-US" w:eastAsia="zh-CN"/>
              </w:rPr>
              <w:t>21</w:t>
            </w:r>
            <w:r>
              <w:rPr>
                <w:rFonts w:hint="eastAsia"/>
                <w:color w:val="000000"/>
                <w:sz w:val="24"/>
              </w:rPr>
              <w:t>年</w:t>
            </w:r>
            <w:r>
              <w:rPr>
                <w:rFonts w:hint="eastAsia"/>
                <w:color w:val="000000"/>
                <w:sz w:val="24"/>
                <w:lang w:val="en-US" w:eastAsia="zh-CN"/>
              </w:rPr>
              <w:t>11</w:t>
            </w:r>
            <w:r>
              <w:rPr>
                <w:rFonts w:hint="eastAsia"/>
                <w:color w:val="000000"/>
                <w:sz w:val="24"/>
              </w:rPr>
              <w:t>月</w:t>
            </w:r>
            <w:r>
              <w:rPr>
                <w:rFonts w:hint="eastAsia"/>
                <w:color w:val="000000"/>
                <w:sz w:val="24"/>
                <w:lang w:val="en-US" w:eastAsia="zh-CN"/>
              </w:rPr>
              <w:t>11</w:t>
            </w:r>
            <w:r>
              <w:rPr>
                <w:rFonts w:hint="eastAsia"/>
                <w:color w:val="000000"/>
                <w:sz w:val="24"/>
              </w:rPr>
              <w:t>日以</w:t>
            </w:r>
            <w:r>
              <w:rPr>
                <w:rFonts w:hint="eastAsia"/>
                <w:color w:val="000000"/>
                <w:sz w:val="24"/>
                <w:lang w:eastAsia="zh-CN"/>
              </w:rPr>
              <w:t>武环武昌审</w:t>
            </w:r>
            <w:r>
              <w:rPr>
                <w:rFonts w:hint="eastAsia"/>
                <w:color w:val="000000"/>
                <w:sz w:val="24"/>
              </w:rPr>
              <w:t>[202</w:t>
            </w:r>
            <w:r>
              <w:rPr>
                <w:rFonts w:hint="eastAsia"/>
                <w:color w:val="000000"/>
                <w:sz w:val="24"/>
                <w:lang w:val="en-US" w:eastAsia="zh-CN"/>
              </w:rPr>
              <w:t>1</w:t>
            </w:r>
            <w:r>
              <w:rPr>
                <w:rFonts w:hint="eastAsia"/>
                <w:color w:val="000000"/>
                <w:sz w:val="24"/>
              </w:rPr>
              <w:t>]</w:t>
            </w:r>
            <w:r>
              <w:rPr>
                <w:rFonts w:hint="eastAsia"/>
                <w:color w:val="000000"/>
                <w:sz w:val="24"/>
                <w:lang w:val="en-US" w:eastAsia="zh-CN"/>
              </w:rPr>
              <w:t>4</w:t>
            </w:r>
            <w:r>
              <w:rPr>
                <w:rFonts w:hint="eastAsia"/>
                <w:color w:val="000000"/>
                <w:sz w:val="24"/>
              </w:rPr>
              <w:t>号文对本项目环境影响报告表做了批复，内容如下：</w:t>
            </w:r>
          </w:p>
          <w:p w14:paraId="1A11D472">
            <w:pPr>
              <w:spacing w:line="360" w:lineRule="auto"/>
              <w:ind w:firstLine="480" w:firstLineChars="200"/>
              <w:rPr>
                <w:rFonts w:hint="eastAsia"/>
                <w:color w:val="000000"/>
                <w:sz w:val="24"/>
              </w:rPr>
            </w:pPr>
            <w:r>
              <w:rPr>
                <w:rFonts w:hint="eastAsia"/>
                <w:color w:val="000000"/>
                <w:sz w:val="24"/>
              </w:rPr>
              <w:t>拟建工程(登记备案项目代码：2020-420106-55-03-032389)位于武汉市武昌江滩，武汉长江大桥下游约400m处。距离本岸上游平湖门取水口1650米，距离本项目同岸下游余家头取水口9200米，项目范围内存在一座筷子口泵站，项目1#趸船和2#-4#趸船间存在丁家巷军用码头。项目由原中华路客运码头及红巷码头合并组成，工程内容将现有中华路客运码头趸船，原红巷码头趸船、引桥等构筑物全部拆除更新改造，仅保留原中华路客运码头闸口处的售票房、办公室、变电所和引桥。码头提升改造后拟建8个泊位，设置4艘104×28m(总长×型宽)趸船，配套建设钢引桥、提升楼、固定墩台、固定钢引桥、踏步及撑杆(钢管定位桩)消能系统、给排水管网等。其中1号趸船利用原中华路客运码头岸线，2-4号趸船利用原红巷码头岸线，其中1#、3#、5#、7#为旅游泊位，共占用岸线268m,已取得交通运输部出具的岸线批复</w:t>
            </w:r>
            <w:r>
              <w:rPr>
                <w:rFonts w:hint="eastAsia"/>
                <w:color w:val="000000"/>
                <w:sz w:val="24"/>
                <w:lang w:eastAsia="zh-CN"/>
              </w:rPr>
              <w:t>，</w:t>
            </w:r>
            <w:r>
              <w:rPr>
                <w:rFonts w:hint="eastAsia"/>
                <w:color w:val="000000"/>
                <w:sz w:val="24"/>
              </w:rPr>
              <w:t>2#、4#、6#、8#为轮渡泊位，共占用岸线248m,设计年通过能力660万人次(旅游335万人次、轮渡325万人次)。该项目在落实《报告表》及本批复提出的环境保护措施后，外排各类污染物能够满足相关环境保护要求，从环境保护角度，我局原则同意你单位按照《报告表》中所列的建设性质、规模、地点进行项目建设。</w:t>
            </w:r>
          </w:p>
          <w:p w14:paraId="3DE76F20">
            <w:pPr>
              <w:spacing w:line="360" w:lineRule="auto"/>
              <w:ind w:firstLine="480" w:firstLineChars="200"/>
              <w:rPr>
                <w:rFonts w:hint="eastAsia"/>
                <w:color w:val="000000"/>
                <w:sz w:val="24"/>
              </w:rPr>
            </w:pPr>
            <w:r>
              <w:rPr>
                <w:rFonts w:hint="eastAsia"/>
                <w:color w:val="000000"/>
                <w:sz w:val="24"/>
              </w:rPr>
              <w:t>一、同意《报告表》中采用的评价标准。该报告表可以作为项目环保设计和环境管理的依据。</w:t>
            </w:r>
          </w:p>
          <w:p w14:paraId="36C1A8DA">
            <w:pPr>
              <w:spacing w:line="360" w:lineRule="auto"/>
              <w:ind w:firstLine="480" w:firstLineChars="200"/>
              <w:rPr>
                <w:rFonts w:hint="eastAsia"/>
                <w:color w:val="000000"/>
                <w:sz w:val="24"/>
              </w:rPr>
            </w:pPr>
            <w:r>
              <w:rPr>
                <w:rFonts w:hint="eastAsia"/>
                <w:color w:val="000000"/>
                <w:sz w:val="24"/>
              </w:rPr>
              <w:t>二、在实施该项目过程中，你单位应重点做好以下环保工作：</w:t>
            </w:r>
          </w:p>
          <w:p w14:paraId="6C7E0F78">
            <w:pPr>
              <w:spacing w:line="360" w:lineRule="auto"/>
              <w:ind w:firstLine="480" w:firstLineChars="200"/>
              <w:rPr>
                <w:rFonts w:hint="eastAsia"/>
                <w:color w:val="000000"/>
                <w:sz w:val="24"/>
              </w:rPr>
            </w:pPr>
            <w:r>
              <w:rPr>
                <w:rFonts w:hint="eastAsia"/>
                <w:color w:val="000000"/>
                <w:sz w:val="24"/>
              </w:rPr>
              <w:t>1、加强环境宣传教育与管理。项目施工场地濒临长江、处于长江大堤外，必须加强施工管理，优化施工方案，缩短施工时间；严格按照施工布置，控制施工范围；制定严格的作业规程，不得随意破坏江滩和岸坡上的植被；提高保护意识，严禁捕猎水生动物；对施工废水和固体废物等采取严格的环境管理措施，严禁排入长江污染水体。施工结束后应及时对临时堆土场、施工场地等受影响区域生态环境予以修复。</w:t>
            </w:r>
          </w:p>
          <w:p w14:paraId="5BCEF5B9">
            <w:pPr>
              <w:spacing w:line="360" w:lineRule="auto"/>
              <w:ind w:firstLine="480" w:firstLineChars="200"/>
              <w:rPr>
                <w:rFonts w:hint="eastAsia"/>
                <w:color w:val="000000"/>
                <w:sz w:val="24"/>
              </w:rPr>
            </w:pPr>
            <w:r>
              <w:rPr>
                <w:rFonts w:hint="eastAsia"/>
                <w:color w:val="000000"/>
                <w:sz w:val="24"/>
              </w:rPr>
              <w:t>2、项目的废水经船用污水收集设备收集处理，满足《污水综合排放标准》(GB8978-1996)三级标准及《污水排入城镇下水道水质标准》(GB/T31962-2015)B级标准要求标后，通过泵送至临江大道市政管网后排入二郎庙污水处理厂。运营期需加强污水处理装置设备保养工作，定期维护、检查确保设备正常运行。</w:t>
            </w:r>
          </w:p>
          <w:p w14:paraId="318B452F">
            <w:pPr>
              <w:spacing w:line="360" w:lineRule="auto"/>
              <w:ind w:firstLine="480" w:firstLineChars="200"/>
              <w:rPr>
                <w:rFonts w:hint="eastAsia"/>
                <w:color w:val="000000"/>
                <w:sz w:val="24"/>
              </w:rPr>
            </w:pPr>
            <w:r>
              <w:rPr>
                <w:rFonts w:hint="eastAsia"/>
                <w:color w:val="000000"/>
                <w:sz w:val="24"/>
              </w:rPr>
              <w:t>3、选用噪声低、振动小、高质量的设备，从声源上降低噪声强度。通过安装减震器等措施以减少振动，降低噪声。确保项目厂界噪声达到《工业企业厂界环境噪声排放标准》(GB12348-2008)4类标准要求。</w:t>
            </w:r>
          </w:p>
          <w:p w14:paraId="2D3E299D">
            <w:pPr>
              <w:spacing w:line="360" w:lineRule="auto"/>
              <w:ind w:firstLine="480" w:firstLineChars="200"/>
              <w:rPr>
                <w:rFonts w:hint="eastAsia"/>
                <w:color w:val="000000"/>
                <w:sz w:val="24"/>
              </w:rPr>
            </w:pPr>
            <w:r>
              <w:rPr>
                <w:rFonts w:hint="eastAsia"/>
                <w:color w:val="000000"/>
                <w:sz w:val="24"/>
              </w:rPr>
              <w:t>4、对各类危险废物要严格按照《危险废物贮存污染控制标准》(GB18597-2001)相关规定，进行危险废物管理。舱底油污水专门贮存，防止泄漏污染长江水质，并交由有资质单位定时清运处置；员工生活垃圾及清理过程中产生的废布拖由城管部门统一收集处理。</w:t>
            </w:r>
          </w:p>
          <w:p w14:paraId="50C30035">
            <w:pPr>
              <w:spacing w:line="360" w:lineRule="auto"/>
              <w:ind w:firstLine="480" w:firstLineChars="200"/>
              <w:rPr>
                <w:rFonts w:hint="eastAsia"/>
                <w:color w:val="000000"/>
                <w:sz w:val="24"/>
              </w:rPr>
            </w:pPr>
            <w:r>
              <w:rPr>
                <w:rFonts w:hint="eastAsia"/>
                <w:color w:val="000000"/>
                <w:sz w:val="24"/>
              </w:rPr>
              <w:t>三、落实组织机构和责任部门，制定完善的环境管理制度，落实安全生产责任。按《报告表》要求制定并落实环境事故应急预案，杜绝因安全事故造成环境污染。</w:t>
            </w:r>
          </w:p>
          <w:p w14:paraId="69ED55C3">
            <w:pPr>
              <w:spacing w:line="360" w:lineRule="auto"/>
              <w:ind w:firstLine="480" w:firstLineChars="200"/>
              <w:rPr>
                <w:rFonts w:hint="eastAsia"/>
                <w:color w:val="000000"/>
                <w:sz w:val="24"/>
              </w:rPr>
            </w:pPr>
            <w:r>
              <w:rPr>
                <w:rFonts w:hint="eastAsia"/>
                <w:color w:val="000000"/>
                <w:sz w:val="24"/>
              </w:rPr>
              <w:t>四、落实各项环保措施，按照有关法律法规规定，你单位自行组织建设项目竣工环境保护验收并予以公示相关内容，验收合格后方能投入使用。</w:t>
            </w:r>
          </w:p>
          <w:p w14:paraId="17023D82">
            <w:pPr>
              <w:spacing w:line="360" w:lineRule="auto"/>
              <w:ind w:firstLine="480" w:firstLineChars="200"/>
              <w:rPr>
                <w:rFonts w:hint="eastAsia"/>
                <w:color w:val="000000"/>
                <w:sz w:val="24"/>
              </w:rPr>
            </w:pPr>
            <w:r>
              <w:rPr>
                <w:rFonts w:hint="eastAsia"/>
                <w:color w:val="000000"/>
                <w:sz w:val="24"/>
              </w:rPr>
              <w:t>五、项目采取的处理工艺或防治污染措施发生重大变动的，应重新报批该项目的环境影响评价文件。在项目实施过程中，你单位应主动接受环保主管部门的监督管理。国家有新规定的，从其规定。</w:t>
            </w:r>
          </w:p>
          <w:p w14:paraId="3B09AF4B">
            <w:pPr>
              <w:pStyle w:val="21"/>
              <w:keepNext w:val="0"/>
              <w:keepLines w:val="0"/>
              <w:widowControl/>
              <w:suppressLineNumbers w:val="0"/>
              <w:spacing w:before="0" w:beforeAutospacing="0" w:after="0" w:afterAutospacing="0"/>
              <w:ind w:left="0" w:right="0" w:firstLine="0"/>
            </w:pPr>
          </w:p>
          <w:p w14:paraId="462B0E33">
            <w:pPr>
              <w:pStyle w:val="21"/>
              <w:keepNext w:val="0"/>
              <w:keepLines w:val="0"/>
              <w:widowControl/>
              <w:suppressLineNumbers w:val="0"/>
              <w:spacing w:before="0" w:beforeAutospacing="0" w:after="0" w:afterAutospacing="0"/>
              <w:ind w:left="0" w:right="0" w:firstLine="0"/>
            </w:pPr>
          </w:p>
          <w:p w14:paraId="3EE13AAE">
            <w:pPr>
              <w:pStyle w:val="21"/>
              <w:keepNext w:val="0"/>
              <w:keepLines w:val="0"/>
              <w:widowControl/>
              <w:suppressLineNumbers w:val="0"/>
              <w:spacing w:before="0" w:beforeAutospacing="0" w:after="0" w:afterAutospacing="0"/>
              <w:ind w:left="0" w:right="0" w:firstLine="0"/>
            </w:pPr>
          </w:p>
          <w:p w14:paraId="77643570">
            <w:pPr>
              <w:spacing w:line="500" w:lineRule="exact"/>
              <w:ind w:firstLine="480" w:firstLineChars="200"/>
              <w:rPr>
                <w:sz w:val="24"/>
              </w:rPr>
            </w:pPr>
          </w:p>
        </w:tc>
      </w:tr>
    </w:tbl>
    <w:p w14:paraId="17112929">
      <w:pPr>
        <w:sectPr>
          <w:headerReference r:id="rId6" w:type="default"/>
          <w:footerReference r:id="rId7" w:type="default"/>
          <w:pgSz w:w="11906" w:h="16838"/>
          <w:pgMar w:top="1418" w:right="1418" w:bottom="1418" w:left="1418" w:header="851" w:footer="992" w:gutter="0"/>
          <w:pgBorders>
            <w:top w:val="none" w:sz="0" w:space="0"/>
            <w:left w:val="none" w:sz="0" w:space="0"/>
            <w:bottom w:val="none" w:sz="0" w:space="0"/>
            <w:right w:val="none" w:sz="0" w:space="0"/>
          </w:pgBorders>
          <w:pgNumType w:start="1"/>
          <w:cols w:space="720" w:num="1"/>
          <w:docGrid w:type="lines" w:linePitch="312" w:charSpace="0"/>
        </w:sectPr>
      </w:pPr>
      <w:bookmarkStart w:id="17" w:name="_Toc520382822"/>
    </w:p>
    <w:p w14:paraId="1F06030C">
      <w:pPr>
        <w:pStyle w:val="4"/>
        <w:rPr>
          <w:rFonts w:ascii="Times New Roman" w:hAnsi="Times New Roman"/>
          <w:color w:val="auto"/>
        </w:rPr>
      </w:pPr>
      <w:r>
        <w:rPr>
          <w:rFonts w:ascii="Times New Roman" w:hAnsi="Times New Roman"/>
          <w:color w:val="auto"/>
        </w:rPr>
        <w:t>表六  环境</w:t>
      </w:r>
      <w:r>
        <w:rPr>
          <w:rFonts w:hint="eastAsia" w:ascii="Times New Roman" w:hAnsi="Times New Roman"/>
          <w:color w:val="auto"/>
        </w:rPr>
        <w:t>保护</w:t>
      </w:r>
      <w:r>
        <w:rPr>
          <w:rFonts w:ascii="Times New Roman" w:hAnsi="Times New Roman"/>
          <w:color w:val="auto"/>
        </w:rPr>
        <w:t>措施执行情况</w:t>
      </w:r>
      <w:bookmarkEnd w:id="17"/>
    </w:p>
    <w:tbl>
      <w:tblPr>
        <w:tblStyle w:val="24"/>
        <w:tblW w:w="924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42"/>
      </w:tblGrid>
      <w:tr w14:paraId="01034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42" w:hRule="atLeast"/>
        </w:trPr>
        <w:tc>
          <w:tcPr>
            <w:tcW w:w="9242" w:type="dxa"/>
          </w:tcPr>
          <w:p w14:paraId="277A0960">
            <w:pPr>
              <w:spacing w:line="360" w:lineRule="auto"/>
              <w:rPr>
                <w:b/>
                <w:sz w:val="24"/>
              </w:rPr>
            </w:pPr>
            <w:r>
              <w:rPr>
                <w:rFonts w:hint="eastAsia"/>
                <w:b/>
                <w:sz w:val="24"/>
              </w:rPr>
              <w:t>6.1 环境影响报告表提出的环保措施执行情况</w:t>
            </w:r>
          </w:p>
          <w:p w14:paraId="525B9B97">
            <w:pPr>
              <w:pStyle w:val="51"/>
              <w:rPr>
                <w:rFonts w:ascii="Times New Roman" w:hAnsi="Times New Roman" w:eastAsia="黑体" w:cs="Times New Roman"/>
                <w:b w:val="0"/>
                <w:bCs/>
                <w:color w:val="auto"/>
                <w:sz w:val="21"/>
              </w:rPr>
            </w:pPr>
            <w:r>
              <w:rPr>
                <w:rFonts w:ascii="Times New Roman" w:hAnsi="Times New Roman" w:eastAsia="黑体" w:cs="Times New Roman"/>
                <w:b w:val="0"/>
                <w:bCs/>
                <w:color w:val="auto"/>
                <w:sz w:val="21"/>
              </w:rPr>
              <w:t>表6-</w:t>
            </w:r>
            <w:r>
              <w:rPr>
                <w:rFonts w:hint="eastAsia" w:ascii="Times New Roman" w:hAnsi="Times New Roman" w:eastAsia="黑体" w:cs="Times New Roman"/>
                <w:b w:val="0"/>
                <w:bCs/>
                <w:color w:val="auto"/>
                <w:sz w:val="21"/>
              </w:rPr>
              <w:t>1</w:t>
            </w:r>
            <w:r>
              <w:rPr>
                <w:rFonts w:ascii="Times New Roman" w:hAnsi="Times New Roman" w:eastAsia="黑体" w:cs="Times New Roman"/>
                <w:b w:val="0"/>
                <w:bCs/>
                <w:color w:val="auto"/>
                <w:sz w:val="21"/>
              </w:rPr>
              <w:t xml:space="preserve">  环境影响报告表中环保措施执行情况一览表</w:t>
            </w:r>
          </w:p>
          <w:tbl>
            <w:tblPr>
              <w:tblStyle w:val="23"/>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825"/>
              <w:gridCol w:w="504"/>
              <w:gridCol w:w="980"/>
              <w:gridCol w:w="2759"/>
              <w:gridCol w:w="2398"/>
              <w:gridCol w:w="1560"/>
            </w:tblGrid>
            <w:tr w14:paraId="632339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7" w:type="pct"/>
                  <w:vMerge w:val="restart"/>
                  <w:vAlign w:val="center"/>
                </w:tcPr>
                <w:p w14:paraId="749765A9">
                  <w:pPr>
                    <w:adjustRightInd w:val="0"/>
                    <w:snapToGrid w:val="0"/>
                    <w:jc w:val="center"/>
                    <w:rPr>
                      <w:color w:val="000000"/>
                      <w:sz w:val="18"/>
                      <w:szCs w:val="18"/>
                    </w:rPr>
                  </w:pPr>
                  <w:r>
                    <w:rPr>
                      <w:rFonts w:hint="eastAsia"/>
                      <w:color w:val="000000"/>
                      <w:sz w:val="18"/>
                      <w:szCs w:val="18"/>
                    </w:rPr>
                    <w:t>类别</w:t>
                  </w:r>
                </w:p>
              </w:tc>
              <w:tc>
                <w:tcPr>
                  <w:tcW w:w="822" w:type="pct"/>
                  <w:gridSpan w:val="2"/>
                  <w:vMerge w:val="restart"/>
                  <w:vAlign w:val="center"/>
                </w:tcPr>
                <w:p w14:paraId="431764EF">
                  <w:pPr>
                    <w:adjustRightInd w:val="0"/>
                    <w:snapToGrid w:val="0"/>
                    <w:jc w:val="center"/>
                    <w:rPr>
                      <w:color w:val="000000"/>
                      <w:sz w:val="18"/>
                      <w:szCs w:val="18"/>
                    </w:rPr>
                  </w:pPr>
                  <w:r>
                    <w:rPr>
                      <w:color w:val="000000"/>
                      <w:sz w:val="18"/>
                      <w:szCs w:val="18"/>
                    </w:rPr>
                    <w:t>项目</w:t>
                  </w:r>
                </w:p>
              </w:tc>
              <w:tc>
                <w:tcPr>
                  <w:tcW w:w="2856" w:type="pct"/>
                  <w:gridSpan w:val="2"/>
                  <w:vAlign w:val="center"/>
                </w:tcPr>
                <w:p w14:paraId="38B09CE9">
                  <w:pPr>
                    <w:adjustRightInd w:val="0"/>
                    <w:snapToGrid w:val="0"/>
                    <w:jc w:val="center"/>
                    <w:rPr>
                      <w:color w:val="000000"/>
                      <w:sz w:val="18"/>
                      <w:szCs w:val="18"/>
                    </w:rPr>
                  </w:pPr>
                  <w:r>
                    <w:rPr>
                      <w:rFonts w:hint="eastAsia"/>
                      <w:color w:val="000000"/>
                      <w:sz w:val="18"/>
                      <w:szCs w:val="18"/>
                    </w:rPr>
                    <w:t>环评阶段</w:t>
                  </w:r>
                </w:p>
              </w:tc>
              <w:tc>
                <w:tcPr>
                  <w:tcW w:w="864" w:type="pct"/>
                  <w:vMerge w:val="restart"/>
                  <w:vAlign w:val="center"/>
                </w:tcPr>
                <w:p w14:paraId="00AC0769">
                  <w:pPr>
                    <w:adjustRightInd w:val="0"/>
                    <w:snapToGrid w:val="0"/>
                    <w:jc w:val="center"/>
                    <w:rPr>
                      <w:color w:val="000000"/>
                      <w:sz w:val="18"/>
                      <w:szCs w:val="18"/>
                    </w:rPr>
                  </w:pPr>
                  <w:r>
                    <w:rPr>
                      <w:rFonts w:hint="eastAsia"/>
                      <w:color w:val="000000"/>
                      <w:sz w:val="18"/>
                      <w:szCs w:val="18"/>
                    </w:rPr>
                    <w:t>实际建设内容</w:t>
                  </w:r>
                </w:p>
              </w:tc>
            </w:tr>
            <w:tr w14:paraId="2305E5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7" w:type="pct"/>
                  <w:vMerge w:val="continue"/>
                  <w:vAlign w:val="center"/>
                </w:tcPr>
                <w:p w14:paraId="2203D3A6">
                  <w:pPr>
                    <w:adjustRightInd w:val="0"/>
                    <w:snapToGrid w:val="0"/>
                    <w:jc w:val="center"/>
                    <w:rPr>
                      <w:color w:val="000000"/>
                      <w:sz w:val="18"/>
                      <w:szCs w:val="18"/>
                    </w:rPr>
                  </w:pPr>
                </w:p>
              </w:tc>
              <w:tc>
                <w:tcPr>
                  <w:tcW w:w="822" w:type="pct"/>
                  <w:gridSpan w:val="2"/>
                  <w:vMerge w:val="continue"/>
                  <w:vAlign w:val="center"/>
                </w:tcPr>
                <w:p w14:paraId="4D4DFED4">
                  <w:pPr>
                    <w:adjustRightInd w:val="0"/>
                    <w:snapToGrid w:val="0"/>
                    <w:jc w:val="center"/>
                    <w:rPr>
                      <w:color w:val="000000"/>
                      <w:sz w:val="18"/>
                      <w:szCs w:val="18"/>
                    </w:rPr>
                  </w:pPr>
                </w:p>
              </w:tc>
              <w:tc>
                <w:tcPr>
                  <w:tcW w:w="1528" w:type="pct"/>
                  <w:vAlign w:val="center"/>
                </w:tcPr>
                <w:p w14:paraId="6975AA6F">
                  <w:pPr>
                    <w:adjustRightInd w:val="0"/>
                    <w:snapToGrid w:val="0"/>
                    <w:jc w:val="center"/>
                    <w:rPr>
                      <w:color w:val="000000"/>
                      <w:sz w:val="18"/>
                      <w:szCs w:val="18"/>
                    </w:rPr>
                  </w:pPr>
                  <w:r>
                    <w:rPr>
                      <w:color w:val="000000"/>
                      <w:sz w:val="18"/>
                      <w:szCs w:val="18"/>
                    </w:rPr>
                    <w:t>治理措施及效率</w:t>
                  </w:r>
                </w:p>
              </w:tc>
              <w:tc>
                <w:tcPr>
                  <w:tcW w:w="1328" w:type="pct"/>
                  <w:vAlign w:val="center"/>
                </w:tcPr>
                <w:p w14:paraId="54F5D07C">
                  <w:pPr>
                    <w:adjustRightInd w:val="0"/>
                    <w:snapToGrid w:val="0"/>
                    <w:jc w:val="center"/>
                    <w:rPr>
                      <w:color w:val="000000"/>
                      <w:sz w:val="18"/>
                      <w:szCs w:val="18"/>
                    </w:rPr>
                  </w:pPr>
                  <w:r>
                    <w:rPr>
                      <w:color w:val="000000"/>
                      <w:sz w:val="18"/>
                      <w:szCs w:val="18"/>
                    </w:rPr>
                    <w:t>达到效果</w:t>
                  </w:r>
                </w:p>
              </w:tc>
              <w:tc>
                <w:tcPr>
                  <w:tcW w:w="864" w:type="pct"/>
                  <w:vMerge w:val="continue"/>
                  <w:vAlign w:val="center"/>
                </w:tcPr>
                <w:p w14:paraId="517998AD">
                  <w:pPr>
                    <w:adjustRightInd w:val="0"/>
                    <w:snapToGrid w:val="0"/>
                    <w:jc w:val="center"/>
                    <w:rPr>
                      <w:color w:val="000000"/>
                      <w:sz w:val="18"/>
                      <w:szCs w:val="18"/>
                    </w:rPr>
                  </w:pPr>
                </w:p>
              </w:tc>
            </w:tr>
            <w:tr w14:paraId="20A654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7" w:type="pct"/>
                  <w:vMerge w:val="restart"/>
                  <w:vAlign w:val="center"/>
                </w:tcPr>
                <w:p w14:paraId="73E071AD">
                  <w:pPr>
                    <w:adjustRightInd w:val="0"/>
                    <w:snapToGrid w:val="0"/>
                    <w:jc w:val="center"/>
                    <w:rPr>
                      <w:color w:val="000000"/>
                      <w:sz w:val="18"/>
                      <w:szCs w:val="18"/>
                    </w:rPr>
                  </w:pPr>
                  <w:r>
                    <w:rPr>
                      <w:color w:val="000000"/>
                      <w:sz w:val="18"/>
                      <w:szCs w:val="18"/>
                    </w:rPr>
                    <w:t>施工期</w:t>
                  </w:r>
                </w:p>
              </w:tc>
              <w:tc>
                <w:tcPr>
                  <w:tcW w:w="822" w:type="pct"/>
                  <w:gridSpan w:val="2"/>
                  <w:vAlign w:val="center"/>
                </w:tcPr>
                <w:p w14:paraId="2F548325">
                  <w:pPr>
                    <w:adjustRightInd w:val="0"/>
                    <w:snapToGrid w:val="0"/>
                    <w:jc w:val="center"/>
                    <w:rPr>
                      <w:color w:val="000000"/>
                      <w:sz w:val="18"/>
                      <w:szCs w:val="18"/>
                    </w:rPr>
                  </w:pPr>
                  <w:r>
                    <w:rPr>
                      <w:color w:val="000000"/>
                      <w:sz w:val="18"/>
                      <w:szCs w:val="18"/>
                    </w:rPr>
                    <w:t>施工扬尘</w:t>
                  </w:r>
                </w:p>
              </w:tc>
              <w:tc>
                <w:tcPr>
                  <w:tcW w:w="1528" w:type="pct"/>
                  <w:vAlign w:val="center"/>
                </w:tcPr>
                <w:p w14:paraId="4FAA33F1">
                  <w:pPr>
                    <w:adjustRightInd w:val="0"/>
                    <w:snapToGrid w:val="0"/>
                    <w:jc w:val="center"/>
                    <w:rPr>
                      <w:color w:val="000000"/>
                      <w:kern w:val="0"/>
                      <w:sz w:val="18"/>
                      <w:szCs w:val="18"/>
                    </w:rPr>
                  </w:pPr>
                  <w:r>
                    <w:rPr>
                      <w:rFonts w:hint="eastAsia"/>
                      <w:bCs/>
                      <w:sz w:val="18"/>
                      <w:szCs w:val="18"/>
                      <w:lang w:eastAsia="zh-CN"/>
                    </w:rPr>
                    <w:t>洒水抑尘</w:t>
                  </w:r>
                </w:p>
              </w:tc>
              <w:tc>
                <w:tcPr>
                  <w:tcW w:w="1328" w:type="pct"/>
                  <w:vMerge w:val="restart"/>
                  <w:vAlign w:val="center"/>
                </w:tcPr>
                <w:p w14:paraId="421CF77D">
                  <w:pPr>
                    <w:adjustRightInd w:val="0"/>
                    <w:snapToGrid w:val="0"/>
                    <w:jc w:val="center"/>
                    <w:rPr>
                      <w:color w:val="000000"/>
                      <w:sz w:val="18"/>
                      <w:szCs w:val="18"/>
                    </w:rPr>
                  </w:pPr>
                  <w:r>
                    <w:rPr>
                      <w:color w:val="000000"/>
                      <w:kern w:val="0"/>
                      <w:sz w:val="18"/>
                      <w:szCs w:val="18"/>
                    </w:rPr>
                    <w:t>施工期大气污染物排放满足《大气污染物综合排放标准》（GB16297-96）表2 中新污染源无组织排放监控浓度限值要求</w:t>
                  </w:r>
                </w:p>
              </w:tc>
              <w:tc>
                <w:tcPr>
                  <w:tcW w:w="864" w:type="pct"/>
                  <w:vMerge w:val="restart"/>
                  <w:vAlign w:val="center"/>
                </w:tcPr>
                <w:p w14:paraId="4169C02F">
                  <w:pPr>
                    <w:adjustRightInd w:val="0"/>
                    <w:snapToGrid w:val="0"/>
                    <w:jc w:val="center"/>
                    <w:rPr>
                      <w:color w:val="000000"/>
                      <w:sz w:val="18"/>
                      <w:szCs w:val="18"/>
                    </w:rPr>
                  </w:pPr>
                  <w:r>
                    <w:rPr>
                      <w:rFonts w:hint="eastAsia"/>
                      <w:color w:val="000000"/>
                      <w:kern w:val="0"/>
                      <w:sz w:val="18"/>
                      <w:szCs w:val="18"/>
                    </w:rPr>
                    <w:t>建筑材料和运输车辆</w:t>
                  </w:r>
                  <w:r>
                    <w:rPr>
                      <w:rFonts w:hint="eastAsia"/>
                      <w:color w:val="000000"/>
                      <w:sz w:val="18"/>
                      <w:szCs w:val="18"/>
                    </w:rPr>
                    <w:t>通过加盖篷布，设置施工围挡，增加洒水等方式减少施工扬尘。</w:t>
                  </w:r>
                  <w:r>
                    <w:rPr>
                      <w:color w:val="000000"/>
                      <w:sz w:val="18"/>
                      <w:szCs w:val="18"/>
                    </w:rPr>
                    <w:t>加强设备的维护保养</w:t>
                  </w:r>
                  <w:r>
                    <w:rPr>
                      <w:rFonts w:hint="eastAsia"/>
                      <w:color w:val="000000"/>
                      <w:sz w:val="18"/>
                      <w:szCs w:val="18"/>
                    </w:rPr>
                    <w:t>。</w:t>
                  </w:r>
                </w:p>
              </w:tc>
            </w:tr>
            <w:tr w14:paraId="436C42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7" w:type="pct"/>
                  <w:vMerge w:val="continue"/>
                  <w:vAlign w:val="center"/>
                </w:tcPr>
                <w:p w14:paraId="1B0DCE49">
                  <w:pPr>
                    <w:adjustRightInd w:val="0"/>
                    <w:snapToGrid w:val="0"/>
                    <w:jc w:val="center"/>
                    <w:rPr>
                      <w:color w:val="000000"/>
                      <w:sz w:val="18"/>
                      <w:szCs w:val="18"/>
                    </w:rPr>
                  </w:pPr>
                </w:p>
              </w:tc>
              <w:tc>
                <w:tcPr>
                  <w:tcW w:w="822" w:type="pct"/>
                  <w:gridSpan w:val="2"/>
                  <w:vAlign w:val="center"/>
                </w:tcPr>
                <w:p w14:paraId="106CD152">
                  <w:pPr>
                    <w:adjustRightInd w:val="0"/>
                    <w:snapToGrid w:val="0"/>
                    <w:jc w:val="center"/>
                    <w:rPr>
                      <w:color w:val="000000"/>
                      <w:sz w:val="18"/>
                      <w:szCs w:val="18"/>
                    </w:rPr>
                  </w:pPr>
                  <w:r>
                    <w:rPr>
                      <w:color w:val="000000"/>
                      <w:sz w:val="18"/>
                      <w:szCs w:val="18"/>
                    </w:rPr>
                    <w:t>施工机械、运输车辆废气</w:t>
                  </w:r>
                </w:p>
              </w:tc>
              <w:tc>
                <w:tcPr>
                  <w:tcW w:w="1528" w:type="pct"/>
                  <w:vAlign w:val="center"/>
                </w:tcPr>
                <w:p w14:paraId="557891F8">
                  <w:pPr>
                    <w:adjustRightInd w:val="0"/>
                    <w:snapToGrid w:val="0"/>
                    <w:jc w:val="center"/>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采取使用符合国家标准要求的施工机械并定期检修</w:t>
                  </w:r>
                </w:p>
                <w:p w14:paraId="21EE1C30">
                  <w:pPr>
                    <w:adjustRightInd w:val="0"/>
                    <w:snapToGrid w:val="0"/>
                    <w:jc w:val="center"/>
                    <w:rPr>
                      <w:color w:val="000000"/>
                      <w:kern w:val="0"/>
                      <w:sz w:val="18"/>
                      <w:szCs w:val="18"/>
                    </w:rPr>
                  </w:pPr>
                </w:p>
              </w:tc>
              <w:tc>
                <w:tcPr>
                  <w:tcW w:w="1328" w:type="pct"/>
                  <w:vMerge w:val="continue"/>
                  <w:vAlign w:val="center"/>
                </w:tcPr>
                <w:p w14:paraId="404033DF">
                  <w:pPr>
                    <w:adjustRightInd w:val="0"/>
                    <w:snapToGrid w:val="0"/>
                    <w:jc w:val="center"/>
                    <w:rPr>
                      <w:color w:val="000000"/>
                      <w:sz w:val="18"/>
                      <w:szCs w:val="18"/>
                    </w:rPr>
                  </w:pPr>
                </w:p>
              </w:tc>
              <w:tc>
                <w:tcPr>
                  <w:tcW w:w="864" w:type="pct"/>
                  <w:vMerge w:val="continue"/>
                  <w:vAlign w:val="center"/>
                </w:tcPr>
                <w:p w14:paraId="010CC551">
                  <w:pPr>
                    <w:adjustRightInd w:val="0"/>
                    <w:snapToGrid w:val="0"/>
                    <w:jc w:val="center"/>
                    <w:rPr>
                      <w:color w:val="000000"/>
                      <w:sz w:val="18"/>
                      <w:szCs w:val="18"/>
                    </w:rPr>
                  </w:pPr>
                </w:p>
              </w:tc>
            </w:tr>
            <w:tr w14:paraId="0E6AEF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7" w:type="pct"/>
                  <w:vMerge w:val="continue"/>
                  <w:vAlign w:val="center"/>
                </w:tcPr>
                <w:p w14:paraId="77B94AED">
                  <w:pPr>
                    <w:adjustRightInd w:val="0"/>
                    <w:snapToGrid w:val="0"/>
                    <w:jc w:val="center"/>
                    <w:rPr>
                      <w:color w:val="000000"/>
                      <w:sz w:val="18"/>
                      <w:szCs w:val="18"/>
                    </w:rPr>
                  </w:pPr>
                </w:p>
              </w:tc>
              <w:tc>
                <w:tcPr>
                  <w:tcW w:w="822" w:type="pct"/>
                  <w:gridSpan w:val="2"/>
                  <w:vAlign w:val="center"/>
                </w:tcPr>
                <w:p w14:paraId="50F64CFE">
                  <w:pPr>
                    <w:adjustRightInd w:val="0"/>
                    <w:snapToGrid w:val="0"/>
                    <w:jc w:val="center"/>
                    <w:rPr>
                      <w:color w:val="000000"/>
                      <w:sz w:val="18"/>
                      <w:szCs w:val="21"/>
                    </w:rPr>
                  </w:pPr>
                  <w:r>
                    <w:rPr>
                      <w:rFonts w:hint="eastAsia" w:ascii="Times New Roman" w:hAnsi="Times New Roman" w:eastAsia="宋体" w:cs="Times New Roman"/>
                      <w:sz w:val="18"/>
                      <w:szCs w:val="18"/>
                      <w:lang w:eastAsia="zh-CN"/>
                    </w:rPr>
                    <w:t>砂浆</w:t>
                  </w:r>
                </w:p>
              </w:tc>
              <w:tc>
                <w:tcPr>
                  <w:tcW w:w="1528" w:type="pct"/>
                  <w:vAlign w:val="center"/>
                </w:tcPr>
                <w:p w14:paraId="1719F43E">
                  <w:pPr>
                    <w:adjustRightInd w:val="0"/>
                    <w:snapToGrid w:val="0"/>
                    <w:jc w:val="center"/>
                    <w:rPr>
                      <w:color w:val="000000"/>
                      <w:sz w:val="18"/>
                      <w:szCs w:val="21"/>
                    </w:rPr>
                  </w:pPr>
                  <w:r>
                    <w:rPr>
                      <w:rFonts w:hint="eastAsia" w:ascii="Times New Roman" w:hAnsi="Times New Roman" w:eastAsia="宋体" w:cs="Times New Roman"/>
                      <w:sz w:val="18"/>
                      <w:szCs w:val="18"/>
                      <w:lang w:val="en-US" w:eastAsia="zh-CN"/>
                    </w:rPr>
                    <w:t>经设置的临时沉淀池（金属结构）先进行沉淀处理后，上清液回用于场区洒水降尘，下层泥沙经沉淀池晾晒处理后按《市人民政府关于加强施工渣土管理的通告》要求运至政府指定场所进行处理</w:t>
                  </w:r>
                </w:p>
              </w:tc>
              <w:tc>
                <w:tcPr>
                  <w:tcW w:w="1328" w:type="pct"/>
                  <w:vAlign w:val="center"/>
                </w:tcPr>
                <w:p w14:paraId="3D9DE6DC">
                  <w:pPr>
                    <w:adjustRightInd w:val="0"/>
                    <w:snapToGrid w:val="0"/>
                    <w:jc w:val="center"/>
                    <w:rPr>
                      <w:color w:val="000000"/>
                      <w:sz w:val="18"/>
                      <w:szCs w:val="18"/>
                    </w:rPr>
                  </w:pPr>
                  <w:r>
                    <w:rPr>
                      <w:color w:val="000000"/>
                      <w:kern w:val="0"/>
                      <w:sz w:val="18"/>
                      <w:szCs w:val="18"/>
                    </w:rPr>
                    <w:t>不会对周边地表水环境产生影响</w:t>
                  </w:r>
                </w:p>
              </w:tc>
              <w:tc>
                <w:tcPr>
                  <w:tcW w:w="864" w:type="pct"/>
                  <w:vAlign w:val="center"/>
                </w:tcPr>
                <w:p w14:paraId="2703B750">
                  <w:pPr>
                    <w:adjustRightInd w:val="0"/>
                    <w:snapToGrid w:val="0"/>
                    <w:jc w:val="center"/>
                    <w:rPr>
                      <w:color w:val="000000"/>
                      <w:sz w:val="18"/>
                      <w:szCs w:val="18"/>
                    </w:rPr>
                  </w:pPr>
                  <w:r>
                    <w:rPr>
                      <w:color w:val="000000"/>
                      <w:sz w:val="18"/>
                      <w:szCs w:val="18"/>
                    </w:rPr>
                    <w:t>设置临时沉淀池</w:t>
                  </w:r>
                  <w:r>
                    <w:rPr>
                      <w:rFonts w:hint="eastAsia"/>
                      <w:color w:val="000000"/>
                      <w:sz w:val="18"/>
                      <w:szCs w:val="18"/>
                    </w:rPr>
                    <w:t>，</w:t>
                  </w:r>
                  <w:r>
                    <w:rPr>
                      <w:color w:val="000000"/>
                      <w:sz w:val="18"/>
                      <w:szCs w:val="18"/>
                    </w:rPr>
                    <w:t>通过</w:t>
                  </w:r>
                  <w:r>
                    <w:rPr>
                      <w:rFonts w:hint="eastAsia"/>
                      <w:color w:val="000000"/>
                      <w:sz w:val="18"/>
                    </w:rPr>
                    <w:t>“沉淀</w:t>
                  </w:r>
                  <w:r>
                    <w:rPr>
                      <w:color w:val="000000"/>
                      <w:sz w:val="18"/>
                    </w:rPr>
                    <w:t>+</w:t>
                  </w:r>
                  <w:r>
                    <w:rPr>
                      <w:rFonts w:hint="eastAsia"/>
                      <w:color w:val="000000"/>
                      <w:sz w:val="18"/>
                    </w:rPr>
                    <w:t>晾晒”处理后上清液回用于场区洒水降尘</w:t>
                  </w:r>
                </w:p>
              </w:tc>
            </w:tr>
            <w:tr w14:paraId="7F5871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7" w:type="pct"/>
                  <w:vMerge w:val="continue"/>
                  <w:vAlign w:val="center"/>
                </w:tcPr>
                <w:p w14:paraId="3FC5BCE5">
                  <w:pPr>
                    <w:adjustRightInd w:val="0"/>
                    <w:snapToGrid w:val="0"/>
                    <w:jc w:val="center"/>
                    <w:rPr>
                      <w:color w:val="000000"/>
                      <w:sz w:val="18"/>
                      <w:szCs w:val="18"/>
                    </w:rPr>
                  </w:pPr>
                </w:p>
              </w:tc>
              <w:tc>
                <w:tcPr>
                  <w:tcW w:w="822" w:type="pct"/>
                  <w:gridSpan w:val="2"/>
                  <w:vAlign w:val="center"/>
                </w:tcPr>
                <w:p w14:paraId="730D4BA2">
                  <w:pPr>
                    <w:adjustRightInd w:val="0"/>
                    <w:snapToGrid w:val="0"/>
                    <w:jc w:val="center"/>
                    <w:rPr>
                      <w:color w:val="000000"/>
                      <w:sz w:val="18"/>
                      <w:szCs w:val="21"/>
                    </w:rPr>
                  </w:pPr>
                  <w:r>
                    <w:rPr>
                      <w:kern w:val="0"/>
                      <w:sz w:val="18"/>
                      <w:szCs w:val="18"/>
                    </w:rPr>
                    <w:t>生活污水</w:t>
                  </w:r>
                </w:p>
              </w:tc>
              <w:tc>
                <w:tcPr>
                  <w:tcW w:w="1528" w:type="pct"/>
                  <w:vAlign w:val="center"/>
                </w:tcPr>
                <w:p w14:paraId="6E870149">
                  <w:pPr>
                    <w:adjustRightInd w:val="0"/>
                    <w:snapToGrid w:val="0"/>
                    <w:jc w:val="center"/>
                    <w:rPr>
                      <w:color w:val="000000"/>
                      <w:sz w:val="18"/>
                      <w:szCs w:val="21"/>
                    </w:rPr>
                  </w:pPr>
                  <w:r>
                    <w:rPr>
                      <w:rFonts w:hint="eastAsia" w:ascii="Times New Roman" w:hAnsi="Times New Roman" w:eastAsia="宋体" w:cs="Times New Roman"/>
                      <w:sz w:val="18"/>
                      <w:szCs w:val="18"/>
                      <w:lang w:val="en-US" w:eastAsia="zh-CN"/>
                    </w:rPr>
                    <w:t>依托周边居民区进行解决</w:t>
                  </w:r>
                </w:p>
              </w:tc>
              <w:tc>
                <w:tcPr>
                  <w:tcW w:w="1328" w:type="pct"/>
                  <w:vAlign w:val="center"/>
                </w:tcPr>
                <w:p w14:paraId="4D316DBC">
                  <w:pPr>
                    <w:adjustRightInd w:val="0"/>
                    <w:snapToGrid w:val="0"/>
                    <w:jc w:val="center"/>
                    <w:rPr>
                      <w:color w:val="000000"/>
                      <w:sz w:val="18"/>
                      <w:szCs w:val="18"/>
                    </w:rPr>
                  </w:pPr>
                  <w:r>
                    <w:rPr>
                      <w:color w:val="000000"/>
                      <w:sz w:val="18"/>
                      <w:szCs w:val="18"/>
                    </w:rPr>
                    <w:t>不会对周边环境产生影响</w:t>
                  </w:r>
                </w:p>
              </w:tc>
              <w:tc>
                <w:tcPr>
                  <w:tcW w:w="864" w:type="pct"/>
                  <w:vAlign w:val="center"/>
                </w:tcPr>
                <w:p w14:paraId="501E6B4A">
                  <w:pPr>
                    <w:adjustRightInd w:val="0"/>
                    <w:snapToGrid w:val="0"/>
                    <w:jc w:val="center"/>
                    <w:rPr>
                      <w:color w:val="000000"/>
                      <w:sz w:val="18"/>
                      <w:szCs w:val="18"/>
                    </w:rPr>
                  </w:pPr>
                  <w:r>
                    <w:rPr>
                      <w:rFonts w:hint="eastAsia" w:ascii="Times New Roman" w:hAnsi="Times New Roman" w:eastAsia="宋体" w:cs="Times New Roman"/>
                      <w:sz w:val="18"/>
                      <w:szCs w:val="18"/>
                      <w:lang w:val="en-US" w:eastAsia="zh-CN"/>
                    </w:rPr>
                    <w:t>依托周边居民区进行解决</w:t>
                  </w:r>
                </w:p>
              </w:tc>
            </w:tr>
            <w:tr w14:paraId="0A402D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7" w:type="pct"/>
                  <w:vMerge w:val="continue"/>
                  <w:vAlign w:val="center"/>
                </w:tcPr>
                <w:p w14:paraId="784FF835">
                  <w:pPr>
                    <w:adjustRightInd w:val="0"/>
                    <w:snapToGrid w:val="0"/>
                    <w:jc w:val="center"/>
                    <w:rPr>
                      <w:color w:val="000000"/>
                      <w:sz w:val="18"/>
                      <w:szCs w:val="18"/>
                    </w:rPr>
                  </w:pPr>
                </w:p>
              </w:tc>
              <w:tc>
                <w:tcPr>
                  <w:tcW w:w="822" w:type="pct"/>
                  <w:gridSpan w:val="2"/>
                  <w:vAlign w:val="center"/>
                </w:tcPr>
                <w:p w14:paraId="70A70700">
                  <w:pPr>
                    <w:adjustRightInd w:val="0"/>
                    <w:snapToGrid w:val="0"/>
                    <w:jc w:val="center"/>
                    <w:rPr>
                      <w:color w:val="000000"/>
                      <w:sz w:val="18"/>
                    </w:rPr>
                  </w:pPr>
                  <w:r>
                    <w:rPr>
                      <w:color w:val="000000"/>
                      <w:sz w:val="18"/>
                    </w:rPr>
                    <w:t>施工噪声</w:t>
                  </w:r>
                </w:p>
              </w:tc>
              <w:tc>
                <w:tcPr>
                  <w:tcW w:w="1528" w:type="pct"/>
                  <w:vAlign w:val="center"/>
                </w:tcPr>
                <w:p w14:paraId="7DC38649">
                  <w:pPr>
                    <w:adjustRightInd w:val="0"/>
                    <w:snapToGrid w:val="0"/>
                    <w:jc w:val="center"/>
                    <w:rPr>
                      <w:color w:val="000000"/>
                      <w:sz w:val="18"/>
                    </w:rPr>
                  </w:pPr>
                  <w:r>
                    <w:rPr>
                      <w:color w:val="000000"/>
                      <w:sz w:val="18"/>
                    </w:rPr>
                    <w:t>选用低噪声施工机械、合理安排施工时间，设置临时屏障设施，避免集中使用大型动力机械设备</w:t>
                  </w:r>
                </w:p>
              </w:tc>
              <w:tc>
                <w:tcPr>
                  <w:tcW w:w="1328" w:type="pct"/>
                  <w:vAlign w:val="center"/>
                </w:tcPr>
                <w:p w14:paraId="0C2C3DF3">
                  <w:pPr>
                    <w:adjustRightInd w:val="0"/>
                    <w:snapToGrid w:val="0"/>
                    <w:jc w:val="center"/>
                    <w:rPr>
                      <w:color w:val="000000"/>
                      <w:sz w:val="18"/>
                      <w:szCs w:val="18"/>
                    </w:rPr>
                  </w:pPr>
                  <w:r>
                    <w:rPr>
                      <w:color w:val="000000"/>
                      <w:kern w:val="0"/>
                      <w:sz w:val="18"/>
                      <w:szCs w:val="18"/>
                    </w:rPr>
                    <w:t>达到《建筑施工场界环境噪声排放标准》（GB12523-2011）标准</w:t>
                  </w:r>
                </w:p>
              </w:tc>
              <w:tc>
                <w:tcPr>
                  <w:tcW w:w="864" w:type="pct"/>
                  <w:vAlign w:val="center"/>
                </w:tcPr>
                <w:p w14:paraId="1A4BE605">
                  <w:pPr>
                    <w:adjustRightInd w:val="0"/>
                    <w:snapToGrid w:val="0"/>
                    <w:jc w:val="center"/>
                    <w:rPr>
                      <w:color w:val="000000"/>
                      <w:sz w:val="18"/>
                      <w:szCs w:val="18"/>
                    </w:rPr>
                  </w:pPr>
                  <w:r>
                    <w:rPr>
                      <w:rFonts w:hint="eastAsia"/>
                      <w:color w:val="000000"/>
                      <w:sz w:val="18"/>
                    </w:rPr>
                    <w:t>选用低噪声施工机械、合理安排施工时间</w:t>
                  </w:r>
                </w:p>
              </w:tc>
            </w:tr>
            <w:tr w14:paraId="0CE3C9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7" w:type="pct"/>
                  <w:vMerge w:val="continue"/>
                  <w:vAlign w:val="center"/>
                </w:tcPr>
                <w:p w14:paraId="5363802B">
                  <w:pPr>
                    <w:adjustRightInd w:val="0"/>
                    <w:snapToGrid w:val="0"/>
                    <w:jc w:val="center"/>
                    <w:rPr>
                      <w:color w:val="000000"/>
                      <w:sz w:val="18"/>
                      <w:szCs w:val="18"/>
                    </w:rPr>
                  </w:pPr>
                </w:p>
              </w:tc>
              <w:tc>
                <w:tcPr>
                  <w:tcW w:w="822" w:type="pct"/>
                  <w:gridSpan w:val="2"/>
                  <w:vAlign w:val="center"/>
                </w:tcPr>
                <w:p w14:paraId="0B2ACA6C">
                  <w:pPr>
                    <w:adjustRightInd w:val="0"/>
                    <w:snapToGrid w:val="0"/>
                    <w:jc w:val="center"/>
                    <w:rPr>
                      <w:rFonts w:hint="eastAsia" w:eastAsia="宋体"/>
                      <w:color w:val="000000"/>
                      <w:sz w:val="18"/>
                      <w:szCs w:val="18"/>
                      <w:lang w:eastAsia="zh-CN"/>
                    </w:rPr>
                  </w:pPr>
                  <w:r>
                    <w:rPr>
                      <w:color w:val="000000"/>
                      <w:sz w:val="18"/>
                      <w:szCs w:val="18"/>
                    </w:rPr>
                    <w:t>弃方、泥沙</w:t>
                  </w:r>
                  <w:r>
                    <w:rPr>
                      <w:rFonts w:hint="eastAsia"/>
                      <w:color w:val="000000"/>
                      <w:sz w:val="18"/>
                      <w:szCs w:val="18"/>
                      <w:lang w:eastAsia="zh-CN"/>
                    </w:rPr>
                    <w:t>、</w:t>
                  </w:r>
                  <w:r>
                    <w:rPr>
                      <w:rFonts w:hint="eastAsia" w:cs="Times New Roman"/>
                      <w:sz w:val="18"/>
                      <w:szCs w:val="18"/>
                      <w:lang w:val="en-US" w:eastAsia="zh-CN"/>
                    </w:rPr>
                    <w:t>建筑垃圾</w:t>
                  </w:r>
                </w:p>
              </w:tc>
              <w:tc>
                <w:tcPr>
                  <w:tcW w:w="1528" w:type="pct"/>
                  <w:vAlign w:val="center"/>
                </w:tcPr>
                <w:p w14:paraId="76FF1321">
                  <w:pPr>
                    <w:adjustRightInd w:val="0"/>
                    <w:snapToGrid w:val="0"/>
                    <w:jc w:val="center"/>
                    <w:rPr>
                      <w:color w:val="000000"/>
                      <w:sz w:val="18"/>
                      <w:szCs w:val="18"/>
                    </w:rPr>
                  </w:pPr>
                  <w:r>
                    <w:rPr>
                      <w:rFonts w:hint="eastAsia"/>
                      <w:color w:val="000000"/>
                      <w:sz w:val="18"/>
                      <w:szCs w:val="18"/>
                    </w:rPr>
                    <w:t>按《市人民政府关于加强施工渣土管理的通告》要求运至政府指定场所，不得随意外弃</w:t>
                  </w:r>
                </w:p>
              </w:tc>
              <w:tc>
                <w:tcPr>
                  <w:tcW w:w="1328" w:type="pct"/>
                  <w:vMerge w:val="restart"/>
                  <w:vAlign w:val="center"/>
                </w:tcPr>
                <w:p w14:paraId="44E51F05">
                  <w:pPr>
                    <w:adjustRightInd w:val="0"/>
                    <w:snapToGrid w:val="0"/>
                    <w:jc w:val="center"/>
                    <w:rPr>
                      <w:color w:val="000000"/>
                      <w:sz w:val="18"/>
                      <w:szCs w:val="18"/>
                    </w:rPr>
                  </w:pPr>
                  <w:r>
                    <w:rPr>
                      <w:color w:val="000000"/>
                      <w:sz w:val="18"/>
                    </w:rPr>
                    <w:t>对外环境无明显影响</w:t>
                  </w:r>
                </w:p>
              </w:tc>
              <w:tc>
                <w:tcPr>
                  <w:tcW w:w="864" w:type="pct"/>
                  <w:vMerge w:val="restart"/>
                  <w:vAlign w:val="center"/>
                </w:tcPr>
                <w:p w14:paraId="41D1C10C">
                  <w:pPr>
                    <w:adjustRightInd w:val="0"/>
                    <w:snapToGrid w:val="0"/>
                    <w:jc w:val="center"/>
                    <w:rPr>
                      <w:color w:val="000000"/>
                      <w:sz w:val="18"/>
                      <w:szCs w:val="18"/>
                    </w:rPr>
                  </w:pPr>
                  <w:r>
                    <w:rPr>
                      <w:color w:val="000000"/>
                      <w:sz w:val="18"/>
                      <w:szCs w:val="18"/>
                    </w:rPr>
                    <w:t>弃土</w:t>
                  </w:r>
                  <w:r>
                    <w:rPr>
                      <w:rFonts w:hint="eastAsia"/>
                      <w:color w:val="000000"/>
                      <w:sz w:val="18"/>
                      <w:szCs w:val="18"/>
                    </w:rPr>
                    <w:t>运至政府指定场所，生活垃圾交由</w:t>
                  </w:r>
                  <w:r>
                    <w:rPr>
                      <w:rFonts w:hint="eastAsia"/>
                      <w:bCs/>
                      <w:color w:val="000000"/>
                      <w:sz w:val="18"/>
                      <w:szCs w:val="18"/>
                    </w:rPr>
                    <w:t>环卫部门清运</w:t>
                  </w:r>
                </w:p>
              </w:tc>
            </w:tr>
            <w:tr w14:paraId="42C76D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7" w:type="pct"/>
                  <w:vMerge w:val="continue"/>
                  <w:vAlign w:val="center"/>
                </w:tcPr>
                <w:p w14:paraId="22AFABB5">
                  <w:pPr>
                    <w:adjustRightInd w:val="0"/>
                    <w:snapToGrid w:val="0"/>
                    <w:jc w:val="center"/>
                    <w:rPr>
                      <w:color w:val="000000"/>
                      <w:sz w:val="18"/>
                      <w:szCs w:val="18"/>
                    </w:rPr>
                  </w:pPr>
                </w:p>
              </w:tc>
              <w:tc>
                <w:tcPr>
                  <w:tcW w:w="822" w:type="pct"/>
                  <w:gridSpan w:val="2"/>
                  <w:vAlign w:val="center"/>
                </w:tcPr>
                <w:p w14:paraId="56A5A71B">
                  <w:pPr>
                    <w:adjustRightInd w:val="0"/>
                    <w:snapToGrid w:val="0"/>
                    <w:jc w:val="center"/>
                    <w:rPr>
                      <w:color w:val="000000"/>
                      <w:sz w:val="18"/>
                      <w:szCs w:val="18"/>
                    </w:rPr>
                  </w:pPr>
                  <w:r>
                    <w:rPr>
                      <w:color w:val="000000"/>
                      <w:sz w:val="18"/>
                      <w:szCs w:val="18"/>
                    </w:rPr>
                    <w:t>生活垃圾</w:t>
                  </w:r>
                </w:p>
              </w:tc>
              <w:tc>
                <w:tcPr>
                  <w:tcW w:w="1528" w:type="pct"/>
                  <w:vAlign w:val="center"/>
                </w:tcPr>
                <w:p w14:paraId="1A6E15E7">
                  <w:pPr>
                    <w:adjustRightInd w:val="0"/>
                    <w:snapToGrid w:val="0"/>
                    <w:jc w:val="center"/>
                    <w:rPr>
                      <w:color w:val="000000"/>
                      <w:sz w:val="18"/>
                      <w:szCs w:val="18"/>
                    </w:rPr>
                  </w:pPr>
                  <w:r>
                    <w:rPr>
                      <w:bCs/>
                      <w:color w:val="000000"/>
                      <w:sz w:val="18"/>
                      <w:szCs w:val="18"/>
                    </w:rPr>
                    <w:t>集中收集后，统一交由环卫部门清运</w:t>
                  </w:r>
                </w:p>
              </w:tc>
              <w:tc>
                <w:tcPr>
                  <w:tcW w:w="1328" w:type="pct"/>
                  <w:vMerge w:val="continue"/>
                  <w:vAlign w:val="center"/>
                </w:tcPr>
                <w:p w14:paraId="792CB2EC">
                  <w:pPr>
                    <w:adjustRightInd w:val="0"/>
                    <w:snapToGrid w:val="0"/>
                    <w:jc w:val="center"/>
                    <w:rPr>
                      <w:color w:val="000000"/>
                      <w:sz w:val="18"/>
                      <w:szCs w:val="18"/>
                    </w:rPr>
                  </w:pPr>
                </w:p>
              </w:tc>
              <w:tc>
                <w:tcPr>
                  <w:tcW w:w="864" w:type="pct"/>
                  <w:vMerge w:val="continue"/>
                  <w:vAlign w:val="center"/>
                </w:tcPr>
                <w:p w14:paraId="5BA1B3F3">
                  <w:pPr>
                    <w:adjustRightInd w:val="0"/>
                    <w:snapToGrid w:val="0"/>
                    <w:jc w:val="center"/>
                    <w:rPr>
                      <w:color w:val="000000"/>
                      <w:sz w:val="18"/>
                      <w:szCs w:val="18"/>
                    </w:rPr>
                  </w:pPr>
                </w:p>
              </w:tc>
            </w:tr>
            <w:tr w14:paraId="134B91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7" w:type="pct"/>
                  <w:vMerge w:val="restart"/>
                  <w:vAlign w:val="center"/>
                </w:tcPr>
                <w:p w14:paraId="43BEB7BD">
                  <w:pPr>
                    <w:adjustRightInd w:val="0"/>
                    <w:snapToGrid w:val="0"/>
                    <w:jc w:val="center"/>
                    <w:rPr>
                      <w:color w:val="000000"/>
                      <w:sz w:val="18"/>
                      <w:szCs w:val="18"/>
                    </w:rPr>
                  </w:pPr>
                  <w:r>
                    <w:rPr>
                      <w:color w:val="000000"/>
                      <w:sz w:val="18"/>
                      <w:szCs w:val="18"/>
                    </w:rPr>
                    <w:t>营运期</w:t>
                  </w:r>
                </w:p>
              </w:tc>
              <w:tc>
                <w:tcPr>
                  <w:tcW w:w="822" w:type="pct"/>
                  <w:gridSpan w:val="2"/>
                  <w:vAlign w:val="center"/>
                </w:tcPr>
                <w:p w14:paraId="73534A7B">
                  <w:pPr>
                    <w:adjustRightInd w:val="0"/>
                    <w:snapToGrid w:val="0"/>
                    <w:jc w:val="center"/>
                    <w:rPr>
                      <w:color w:val="000000"/>
                      <w:sz w:val="18"/>
                    </w:rPr>
                  </w:pPr>
                  <w:r>
                    <w:rPr>
                      <w:color w:val="000000"/>
                      <w:sz w:val="18"/>
                    </w:rPr>
                    <w:t>船舶废气</w:t>
                  </w:r>
                </w:p>
              </w:tc>
              <w:tc>
                <w:tcPr>
                  <w:tcW w:w="1528" w:type="pct"/>
                  <w:vAlign w:val="center"/>
                </w:tcPr>
                <w:p w14:paraId="49634D6E">
                  <w:pPr>
                    <w:adjustRightInd w:val="0"/>
                    <w:snapToGrid w:val="0"/>
                    <w:jc w:val="center"/>
                    <w:rPr>
                      <w:color w:val="000000"/>
                      <w:sz w:val="18"/>
                    </w:rPr>
                  </w:pPr>
                  <w:r>
                    <w:rPr>
                      <w:color w:val="000000"/>
                      <w:sz w:val="18"/>
                    </w:rPr>
                    <w:t>自然扩散</w:t>
                  </w:r>
                </w:p>
              </w:tc>
              <w:tc>
                <w:tcPr>
                  <w:tcW w:w="1328" w:type="pct"/>
                  <w:vAlign w:val="center"/>
                </w:tcPr>
                <w:p w14:paraId="56245602">
                  <w:pPr>
                    <w:adjustRightInd w:val="0"/>
                    <w:snapToGrid w:val="0"/>
                    <w:jc w:val="center"/>
                    <w:rPr>
                      <w:color w:val="000000"/>
                      <w:sz w:val="18"/>
                    </w:rPr>
                  </w:pPr>
                  <w:r>
                    <w:rPr>
                      <w:color w:val="000000"/>
                      <w:sz w:val="18"/>
                      <w:szCs w:val="18"/>
                    </w:rPr>
                    <w:t>不会对周边环境产生影响</w:t>
                  </w:r>
                </w:p>
              </w:tc>
              <w:tc>
                <w:tcPr>
                  <w:tcW w:w="864" w:type="pct"/>
                  <w:vAlign w:val="center"/>
                </w:tcPr>
                <w:p w14:paraId="5337B8F7">
                  <w:pPr>
                    <w:adjustRightInd w:val="0"/>
                    <w:snapToGrid w:val="0"/>
                    <w:jc w:val="center"/>
                    <w:rPr>
                      <w:color w:val="000000"/>
                      <w:sz w:val="18"/>
                      <w:szCs w:val="18"/>
                    </w:rPr>
                  </w:pPr>
                  <w:r>
                    <w:rPr>
                      <w:rFonts w:hint="eastAsia"/>
                      <w:color w:val="000000"/>
                      <w:sz w:val="18"/>
                    </w:rPr>
                    <w:t>自然扩散</w:t>
                  </w:r>
                </w:p>
              </w:tc>
            </w:tr>
            <w:tr w14:paraId="75C7A9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7" w:type="pct"/>
                  <w:vMerge w:val="continue"/>
                  <w:vAlign w:val="center"/>
                </w:tcPr>
                <w:p w14:paraId="5AEBC267">
                  <w:pPr>
                    <w:adjustRightInd w:val="0"/>
                    <w:snapToGrid w:val="0"/>
                    <w:jc w:val="center"/>
                    <w:rPr>
                      <w:color w:val="000000"/>
                      <w:sz w:val="18"/>
                      <w:szCs w:val="18"/>
                    </w:rPr>
                  </w:pPr>
                </w:p>
              </w:tc>
              <w:tc>
                <w:tcPr>
                  <w:tcW w:w="822" w:type="pct"/>
                  <w:gridSpan w:val="2"/>
                  <w:vAlign w:val="center"/>
                </w:tcPr>
                <w:p w14:paraId="00814884">
                  <w:pPr>
                    <w:adjustRightInd w:val="0"/>
                    <w:snapToGrid w:val="0"/>
                    <w:jc w:val="center"/>
                    <w:rPr>
                      <w:color w:val="000000"/>
                      <w:sz w:val="18"/>
                    </w:rPr>
                  </w:pPr>
                  <w:r>
                    <w:rPr>
                      <w:rFonts w:hint="eastAsia"/>
                      <w:sz w:val="18"/>
                      <w:szCs w:val="18"/>
                      <w:lang w:eastAsia="zh-CN"/>
                    </w:rPr>
                    <w:t>生活污水处理装置</w:t>
                  </w:r>
                </w:p>
              </w:tc>
              <w:tc>
                <w:tcPr>
                  <w:tcW w:w="1528" w:type="pct"/>
                  <w:vAlign w:val="center"/>
                </w:tcPr>
                <w:p w14:paraId="4DE52030">
                  <w:pPr>
                    <w:adjustRightInd w:val="0"/>
                    <w:snapToGrid w:val="0"/>
                    <w:jc w:val="center"/>
                    <w:rPr>
                      <w:color w:val="000000"/>
                      <w:sz w:val="18"/>
                    </w:rPr>
                  </w:pPr>
                  <w:r>
                    <w:rPr>
                      <w:color w:val="000000"/>
                      <w:sz w:val="18"/>
                    </w:rPr>
                    <w:t>自然扩散</w:t>
                  </w:r>
                </w:p>
              </w:tc>
              <w:tc>
                <w:tcPr>
                  <w:tcW w:w="1328" w:type="pct"/>
                  <w:vAlign w:val="center"/>
                </w:tcPr>
                <w:p w14:paraId="138A56A9">
                  <w:pPr>
                    <w:adjustRightInd w:val="0"/>
                    <w:snapToGrid w:val="0"/>
                    <w:jc w:val="center"/>
                    <w:rPr>
                      <w:rFonts w:ascii="Times New Roman" w:hAnsi="Times New Roman" w:eastAsia="宋体" w:cs="Times New Roman"/>
                      <w:color w:val="000000"/>
                      <w:kern w:val="2"/>
                      <w:sz w:val="18"/>
                      <w:szCs w:val="24"/>
                      <w:lang w:val="en-US" w:eastAsia="zh-CN" w:bidi="ar-SA"/>
                    </w:rPr>
                  </w:pPr>
                  <w:r>
                    <w:rPr>
                      <w:color w:val="000000"/>
                      <w:sz w:val="18"/>
                      <w:szCs w:val="18"/>
                    </w:rPr>
                    <w:t>不会对周边环境产生影响</w:t>
                  </w:r>
                </w:p>
              </w:tc>
              <w:tc>
                <w:tcPr>
                  <w:tcW w:w="864" w:type="pct"/>
                  <w:vAlign w:val="center"/>
                </w:tcPr>
                <w:p w14:paraId="195B9081">
                  <w:pPr>
                    <w:adjustRightInd w:val="0"/>
                    <w:snapToGrid w:val="0"/>
                    <w:jc w:val="center"/>
                    <w:rPr>
                      <w:rFonts w:hint="eastAsia" w:ascii="Times New Roman" w:hAnsi="Times New Roman" w:eastAsia="宋体" w:cs="Times New Roman"/>
                      <w:color w:val="000000"/>
                      <w:kern w:val="2"/>
                      <w:sz w:val="18"/>
                      <w:szCs w:val="18"/>
                      <w:lang w:val="en-US" w:eastAsia="zh-CN" w:bidi="ar-SA"/>
                    </w:rPr>
                  </w:pPr>
                  <w:r>
                    <w:rPr>
                      <w:rFonts w:hint="eastAsia"/>
                      <w:color w:val="000000"/>
                      <w:sz w:val="18"/>
                    </w:rPr>
                    <w:t>自然扩散</w:t>
                  </w:r>
                </w:p>
              </w:tc>
            </w:tr>
            <w:tr w14:paraId="319F5C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7" w:type="pct"/>
                  <w:vMerge w:val="continue"/>
                  <w:vAlign w:val="center"/>
                </w:tcPr>
                <w:p w14:paraId="4317DDC6">
                  <w:pPr>
                    <w:adjustRightInd w:val="0"/>
                    <w:snapToGrid w:val="0"/>
                    <w:jc w:val="center"/>
                    <w:rPr>
                      <w:color w:val="000000"/>
                      <w:sz w:val="18"/>
                      <w:szCs w:val="18"/>
                    </w:rPr>
                  </w:pPr>
                </w:p>
              </w:tc>
              <w:tc>
                <w:tcPr>
                  <w:tcW w:w="822" w:type="pct"/>
                  <w:gridSpan w:val="2"/>
                  <w:vAlign w:val="center"/>
                </w:tcPr>
                <w:p w14:paraId="6A72942B">
                  <w:pPr>
                    <w:adjustRightInd w:val="0"/>
                    <w:snapToGrid w:val="0"/>
                    <w:jc w:val="center"/>
                    <w:rPr>
                      <w:color w:val="000000"/>
                      <w:sz w:val="18"/>
                      <w:szCs w:val="18"/>
                    </w:rPr>
                  </w:pPr>
                  <w:r>
                    <w:rPr>
                      <w:color w:val="000000"/>
                      <w:sz w:val="18"/>
                      <w:szCs w:val="18"/>
                    </w:rPr>
                    <w:t>生活污水</w:t>
                  </w:r>
                </w:p>
              </w:tc>
              <w:tc>
                <w:tcPr>
                  <w:tcW w:w="1528" w:type="pct"/>
                  <w:vAlign w:val="center"/>
                </w:tcPr>
                <w:p w14:paraId="39D75100">
                  <w:pPr>
                    <w:adjustRightInd w:val="0"/>
                    <w:snapToGrid w:val="0"/>
                    <w:jc w:val="center"/>
                    <w:rPr>
                      <w:color w:val="000000"/>
                      <w:sz w:val="18"/>
                      <w:szCs w:val="18"/>
                    </w:rPr>
                  </w:pPr>
                  <w:r>
                    <w:rPr>
                      <w:rFonts w:hint="eastAsia"/>
                      <w:color w:val="000000"/>
                      <w:sz w:val="18"/>
                      <w:szCs w:val="18"/>
                    </w:rPr>
                    <w:t>经趸船底舱的生活污水</w:t>
                  </w:r>
                  <w:r>
                    <w:rPr>
                      <w:rFonts w:hint="eastAsia"/>
                      <w:color w:val="000000"/>
                      <w:sz w:val="18"/>
                      <w:szCs w:val="18"/>
                      <w:lang w:eastAsia="zh-CN"/>
                    </w:rPr>
                    <w:t>处理装置处理后</w:t>
                  </w:r>
                  <w:r>
                    <w:rPr>
                      <w:rFonts w:hint="eastAsia"/>
                      <w:color w:val="000000"/>
                      <w:sz w:val="18"/>
                      <w:szCs w:val="18"/>
                    </w:rPr>
                    <w:t>通过市政污水管网排入</w:t>
                  </w:r>
                  <w:r>
                    <w:rPr>
                      <w:rFonts w:hint="eastAsia"/>
                      <w:color w:val="000000"/>
                      <w:sz w:val="18"/>
                      <w:szCs w:val="18"/>
                      <w:lang w:eastAsia="zh-CN"/>
                    </w:rPr>
                    <w:t>二郎庙</w:t>
                  </w:r>
                  <w:r>
                    <w:rPr>
                      <w:rFonts w:hint="eastAsia"/>
                      <w:color w:val="000000"/>
                      <w:sz w:val="18"/>
                      <w:szCs w:val="18"/>
                    </w:rPr>
                    <w:t>污水处理厂。</w:t>
                  </w:r>
                </w:p>
              </w:tc>
              <w:tc>
                <w:tcPr>
                  <w:tcW w:w="1328" w:type="pct"/>
                  <w:vAlign w:val="center"/>
                </w:tcPr>
                <w:p w14:paraId="1F5C9B93">
                  <w:pPr>
                    <w:adjustRightInd w:val="0"/>
                    <w:snapToGrid w:val="0"/>
                    <w:jc w:val="center"/>
                    <w:rPr>
                      <w:color w:val="000000"/>
                      <w:sz w:val="18"/>
                      <w:szCs w:val="18"/>
                    </w:rPr>
                  </w:pPr>
                  <w:r>
                    <w:rPr>
                      <w:rFonts w:hint="eastAsia"/>
                      <w:color w:val="000000"/>
                      <w:sz w:val="18"/>
                      <w:szCs w:val="18"/>
                    </w:rPr>
                    <w:t>满足《污水综合排放标准》（GB8978-1996）表4中的三级排放标准和《污水排入城镇下水道水质标准》（GB/T31962-2015）表1中B级标准。</w:t>
                  </w:r>
                </w:p>
              </w:tc>
              <w:tc>
                <w:tcPr>
                  <w:tcW w:w="864" w:type="pct"/>
                  <w:vAlign w:val="center"/>
                </w:tcPr>
                <w:p w14:paraId="0EAB09F6">
                  <w:pPr>
                    <w:adjustRightInd w:val="0"/>
                    <w:snapToGrid w:val="0"/>
                    <w:jc w:val="center"/>
                    <w:rPr>
                      <w:color w:val="000000"/>
                      <w:sz w:val="18"/>
                      <w:szCs w:val="18"/>
                    </w:rPr>
                  </w:pPr>
                  <w:r>
                    <w:rPr>
                      <w:rFonts w:hint="eastAsia"/>
                      <w:color w:val="000000"/>
                      <w:sz w:val="18"/>
                      <w:szCs w:val="18"/>
                    </w:rPr>
                    <w:t>经趸船底舱的生活污水</w:t>
                  </w:r>
                  <w:r>
                    <w:rPr>
                      <w:rFonts w:hint="eastAsia"/>
                      <w:color w:val="000000"/>
                      <w:sz w:val="18"/>
                      <w:szCs w:val="18"/>
                      <w:lang w:eastAsia="zh-CN"/>
                    </w:rPr>
                    <w:t>处理装置处理后</w:t>
                  </w:r>
                  <w:r>
                    <w:rPr>
                      <w:rFonts w:hint="eastAsia"/>
                      <w:color w:val="000000"/>
                      <w:sz w:val="18"/>
                      <w:szCs w:val="18"/>
                    </w:rPr>
                    <w:t>通过市政污水管网排入</w:t>
                  </w:r>
                  <w:r>
                    <w:rPr>
                      <w:rFonts w:hint="eastAsia"/>
                      <w:color w:val="000000"/>
                      <w:sz w:val="18"/>
                      <w:szCs w:val="18"/>
                      <w:lang w:eastAsia="zh-CN"/>
                    </w:rPr>
                    <w:t>二郎庙</w:t>
                  </w:r>
                  <w:r>
                    <w:rPr>
                      <w:rFonts w:hint="eastAsia"/>
                      <w:color w:val="000000"/>
                      <w:sz w:val="18"/>
                      <w:szCs w:val="18"/>
                    </w:rPr>
                    <w:t>污水处理厂</w:t>
                  </w:r>
                </w:p>
              </w:tc>
            </w:tr>
            <w:tr w14:paraId="2ADD9C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7" w:type="pct"/>
                  <w:vMerge w:val="continue"/>
                  <w:vAlign w:val="center"/>
                </w:tcPr>
                <w:p w14:paraId="3B084D98">
                  <w:pPr>
                    <w:adjustRightInd w:val="0"/>
                    <w:snapToGrid w:val="0"/>
                    <w:jc w:val="center"/>
                    <w:rPr>
                      <w:color w:val="000000"/>
                      <w:sz w:val="18"/>
                      <w:szCs w:val="18"/>
                    </w:rPr>
                  </w:pPr>
                </w:p>
              </w:tc>
              <w:tc>
                <w:tcPr>
                  <w:tcW w:w="279" w:type="pct"/>
                  <w:vAlign w:val="center"/>
                </w:tcPr>
                <w:p w14:paraId="62384CA2">
                  <w:pPr>
                    <w:adjustRightInd w:val="0"/>
                    <w:snapToGrid w:val="0"/>
                    <w:jc w:val="center"/>
                    <w:rPr>
                      <w:color w:val="000000"/>
                      <w:sz w:val="18"/>
                      <w:szCs w:val="18"/>
                    </w:rPr>
                  </w:pPr>
                  <w:r>
                    <w:rPr>
                      <w:color w:val="000000"/>
                      <w:sz w:val="18"/>
                      <w:szCs w:val="18"/>
                    </w:rPr>
                    <w:t>噪声</w:t>
                  </w:r>
                </w:p>
              </w:tc>
              <w:tc>
                <w:tcPr>
                  <w:tcW w:w="542" w:type="pct"/>
                  <w:vAlign w:val="center"/>
                </w:tcPr>
                <w:p w14:paraId="2ED8FF39">
                  <w:pPr>
                    <w:adjustRightInd w:val="0"/>
                    <w:snapToGrid w:val="0"/>
                    <w:jc w:val="center"/>
                    <w:rPr>
                      <w:rFonts w:hint="eastAsia" w:eastAsia="宋体"/>
                      <w:color w:val="000000"/>
                      <w:sz w:val="18"/>
                      <w:szCs w:val="18"/>
                      <w:lang w:eastAsia="zh-CN"/>
                    </w:rPr>
                  </w:pPr>
                  <w:r>
                    <w:rPr>
                      <w:rFonts w:hint="eastAsia"/>
                      <w:color w:val="000000"/>
                      <w:sz w:val="18"/>
                      <w:szCs w:val="18"/>
                      <w:lang w:eastAsia="zh-CN"/>
                    </w:rPr>
                    <w:t>船舶</w:t>
                  </w:r>
                </w:p>
              </w:tc>
              <w:tc>
                <w:tcPr>
                  <w:tcW w:w="1528" w:type="pct"/>
                  <w:vAlign w:val="center"/>
                </w:tcPr>
                <w:p w14:paraId="29C6D0B4">
                  <w:pPr>
                    <w:adjustRightInd w:val="0"/>
                    <w:snapToGrid w:val="0"/>
                    <w:jc w:val="center"/>
                    <w:rPr>
                      <w:color w:val="000000"/>
                      <w:sz w:val="18"/>
                      <w:szCs w:val="18"/>
                    </w:rPr>
                  </w:pPr>
                  <w:r>
                    <w:rPr>
                      <w:color w:val="000000"/>
                      <w:sz w:val="18"/>
                      <w:szCs w:val="18"/>
                    </w:rPr>
                    <w:t>加强管理</w:t>
                  </w:r>
                </w:p>
              </w:tc>
              <w:tc>
                <w:tcPr>
                  <w:tcW w:w="1328" w:type="pct"/>
                  <w:vAlign w:val="center"/>
                </w:tcPr>
                <w:p w14:paraId="262C613F">
                  <w:pPr>
                    <w:adjustRightInd w:val="0"/>
                    <w:snapToGrid w:val="0"/>
                    <w:jc w:val="center"/>
                    <w:rPr>
                      <w:color w:val="000000"/>
                      <w:sz w:val="18"/>
                      <w:szCs w:val="18"/>
                    </w:rPr>
                  </w:pPr>
                  <w:r>
                    <w:rPr>
                      <w:color w:val="000000"/>
                      <w:sz w:val="18"/>
                      <w:szCs w:val="18"/>
                    </w:rPr>
                    <w:t>满足《工业企业厂界环境噪声排放标准》（GB12348-2008）4类标准</w:t>
                  </w:r>
                </w:p>
              </w:tc>
              <w:tc>
                <w:tcPr>
                  <w:tcW w:w="864" w:type="pct"/>
                  <w:vAlign w:val="center"/>
                </w:tcPr>
                <w:p w14:paraId="57276BC7">
                  <w:pPr>
                    <w:adjustRightInd w:val="0"/>
                    <w:snapToGrid w:val="0"/>
                    <w:jc w:val="center"/>
                    <w:rPr>
                      <w:color w:val="000000"/>
                      <w:sz w:val="18"/>
                      <w:szCs w:val="18"/>
                    </w:rPr>
                  </w:pPr>
                  <w:r>
                    <w:rPr>
                      <w:rFonts w:hint="eastAsia"/>
                      <w:color w:val="000000"/>
                      <w:sz w:val="18"/>
                      <w:szCs w:val="18"/>
                    </w:rPr>
                    <w:t>加强管理</w:t>
                  </w:r>
                </w:p>
              </w:tc>
            </w:tr>
            <w:tr w14:paraId="386478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7" w:type="pct"/>
                  <w:vMerge w:val="continue"/>
                  <w:vAlign w:val="center"/>
                </w:tcPr>
                <w:p w14:paraId="1AD10B36">
                  <w:pPr>
                    <w:adjustRightInd w:val="0"/>
                    <w:snapToGrid w:val="0"/>
                    <w:jc w:val="center"/>
                    <w:rPr>
                      <w:color w:val="000000"/>
                      <w:sz w:val="18"/>
                      <w:szCs w:val="18"/>
                    </w:rPr>
                  </w:pPr>
                </w:p>
              </w:tc>
              <w:tc>
                <w:tcPr>
                  <w:tcW w:w="279" w:type="pct"/>
                  <w:vMerge w:val="restart"/>
                  <w:vAlign w:val="center"/>
                </w:tcPr>
                <w:p w14:paraId="2E9804AF">
                  <w:pPr>
                    <w:adjustRightInd w:val="0"/>
                    <w:snapToGrid w:val="0"/>
                    <w:jc w:val="center"/>
                    <w:rPr>
                      <w:color w:val="000000"/>
                      <w:sz w:val="18"/>
                      <w:szCs w:val="18"/>
                    </w:rPr>
                  </w:pPr>
                  <w:r>
                    <w:rPr>
                      <w:color w:val="000000"/>
                      <w:sz w:val="18"/>
                      <w:szCs w:val="18"/>
                    </w:rPr>
                    <w:t>固体</w:t>
                  </w:r>
                </w:p>
                <w:p w14:paraId="5864C2E5">
                  <w:pPr>
                    <w:adjustRightInd w:val="0"/>
                    <w:snapToGrid w:val="0"/>
                    <w:jc w:val="center"/>
                    <w:rPr>
                      <w:color w:val="000000"/>
                      <w:sz w:val="18"/>
                      <w:szCs w:val="18"/>
                    </w:rPr>
                  </w:pPr>
                  <w:r>
                    <w:rPr>
                      <w:color w:val="000000"/>
                      <w:sz w:val="18"/>
                      <w:szCs w:val="18"/>
                    </w:rPr>
                    <w:t>废物</w:t>
                  </w:r>
                </w:p>
              </w:tc>
              <w:tc>
                <w:tcPr>
                  <w:tcW w:w="542" w:type="pct"/>
                  <w:vMerge w:val="restart"/>
                  <w:vAlign w:val="center"/>
                </w:tcPr>
                <w:p w14:paraId="4D38FFA2">
                  <w:pPr>
                    <w:adjustRightInd w:val="0"/>
                    <w:snapToGrid w:val="0"/>
                    <w:jc w:val="center"/>
                    <w:rPr>
                      <w:color w:val="000000"/>
                      <w:sz w:val="18"/>
                      <w:szCs w:val="18"/>
                    </w:rPr>
                  </w:pPr>
                  <w:r>
                    <w:rPr>
                      <w:color w:val="000000"/>
                      <w:sz w:val="18"/>
                      <w:szCs w:val="18"/>
                    </w:rPr>
                    <w:t>固体废物</w:t>
                  </w:r>
                </w:p>
              </w:tc>
              <w:tc>
                <w:tcPr>
                  <w:tcW w:w="1528" w:type="pct"/>
                  <w:vAlign w:val="center"/>
                </w:tcPr>
                <w:p w14:paraId="3D1E25E7">
                  <w:pPr>
                    <w:adjustRightInd w:val="0"/>
                    <w:snapToGrid w:val="0"/>
                    <w:jc w:val="center"/>
                    <w:rPr>
                      <w:color w:val="000000"/>
                      <w:sz w:val="18"/>
                      <w:szCs w:val="18"/>
                    </w:rPr>
                  </w:pPr>
                  <w:r>
                    <w:rPr>
                      <w:color w:val="000000"/>
                      <w:sz w:val="18"/>
                      <w:szCs w:val="18"/>
                    </w:rPr>
                    <w:t>委托环卫部门定期收集处理</w:t>
                  </w:r>
                </w:p>
              </w:tc>
              <w:tc>
                <w:tcPr>
                  <w:tcW w:w="1328" w:type="pct"/>
                  <w:vMerge w:val="restart"/>
                  <w:vAlign w:val="center"/>
                </w:tcPr>
                <w:p w14:paraId="74DC194A">
                  <w:pPr>
                    <w:adjustRightInd w:val="0"/>
                    <w:snapToGrid w:val="0"/>
                    <w:jc w:val="center"/>
                    <w:rPr>
                      <w:color w:val="000000"/>
                      <w:sz w:val="18"/>
                      <w:szCs w:val="18"/>
                    </w:rPr>
                  </w:pPr>
                  <w:r>
                    <w:rPr>
                      <w:color w:val="000000"/>
                      <w:sz w:val="18"/>
                    </w:rPr>
                    <w:t>对外环境无明显影响</w:t>
                  </w:r>
                </w:p>
              </w:tc>
              <w:tc>
                <w:tcPr>
                  <w:tcW w:w="864" w:type="pct"/>
                  <w:vMerge w:val="restart"/>
                  <w:vAlign w:val="center"/>
                </w:tcPr>
                <w:p w14:paraId="26B525B4">
                  <w:pPr>
                    <w:adjustRightInd w:val="0"/>
                    <w:snapToGrid w:val="0"/>
                    <w:jc w:val="center"/>
                    <w:rPr>
                      <w:rFonts w:hint="eastAsia" w:eastAsia="宋体"/>
                      <w:color w:val="000000"/>
                      <w:sz w:val="18"/>
                      <w:szCs w:val="18"/>
                      <w:lang w:eastAsia="zh-CN"/>
                    </w:rPr>
                  </w:pPr>
                  <w:r>
                    <w:rPr>
                      <w:rFonts w:hint="eastAsia"/>
                      <w:color w:val="000000"/>
                      <w:sz w:val="18"/>
                      <w:szCs w:val="18"/>
                    </w:rPr>
                    <w:t>委托环卫部门定期收集处理，</w:t>
                  </w:r>
                  <w:r>
                    <w:rPr>
                      <w:rFonts w:hint="eastAsia"/>
                      <w:color w:val="000000"/>
                      <w:sz w:val="18"/>
                      <w:szCs w:val="18"/>
                      <w:lang w:eastAsia="zh-CN"/>
                    </w:rPr>
                    <w:t>现有油船采用电力驱动，不再产生舱底油污水</w:t>
                  </w:r>
                </w:p>
              </w:tc>
            </w:tr>
            <w:tr w14:paraId="13DB76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7" w:type="pct"/>
                  <w:vMerge w:val="continue"/>
                  <w:vAlign w:val="center"/>
                </w:tcPr>
                <w:p w14:paraId="4988C39C">
                  <w:pPr>
                    <w:adjustRightInd w:val="0"/>
                    <w:snapToGrid w:val="0"/>
                    <w:jc w:val="center"/>
                    <w:rPr>
                      <w:color w:val="000000"/>
                      <w:sz w:val="18"/>
                      <w:szCs w:val="18"/>
                    </w:rPr>
                  </w:pPr>
                </w:p>
              </w:tc>
              <w:tc>
                <w:tcPr>
                  <w:tcW w:w="279" w:type="pct"/>
                  <w:vMerge w:val="continue"/>
                  <w:vAlign w:val="center"/>
                </w:tcPr>
                <w:p w14:paraId="48752833">
                  <w:pPr>
                    <w:adjustRightInd w:val="0"/>
                    <w:snapToGrid w:val="0"/>
                    <w:jc w:val="center"/>
                    <w:rPr>
                      <w:color w:val="000000"/>
                      <w:sz w:val="18"/>
                      <w:szCs w:val="18"/>
                    </w:rPr>
                  </w:pPr>
                </w:p>
              </w:tc>
              <w:tc>
                <w:tcPr>
                  <w:tcW w:w="542" w:type="pct"/>
                  <w:vMerge w:val="continue"/>
                  <w:vAlign w:val="center"/>
                </w:tcPr>
                <w:p w14:paraId="07F9F876">
                  <w:pPr>
                    <w:adjustRightInd w:val="0"/>
                    <w:snapToGrid w:val="0"/>
                    <w:jc w:val="center"/>
                    <w:rPr>
                      <w:color w:val="000000"/>
                      <w:sz w:val="18"/>
                      <w:szCs w:val="18"/>
                    </w:rPr>
                  </w:pPr>
                </w:p>
              </w:tc>
              <w:tc>
                <w:tcPr>
                  <w:tcW w:w="1528" w:type="pct"/>
                  <w:vMerge w:val="restart"/>
                  <w:vAlign w:val="center"/>
                </w:tcPr>
                <w:p w14:paraId="2277EF0F">
                  <w:pPr>
                    <w:adjustRightInd w:val="0"/>
                    <w:snapToGrid w:val="0"/>
                    <w:jc w:val="center"/>
                    <w:rPr>
                      <w:color w:val="000000"/>
                      <w:sz w:val="18"/>
                      <w:szCs w:val="18"/>
                    </w:rPr>
                  </w:pPr>
                  <w:r>
                    <w:rPr>
                      <w:rFonts w:hint="eastAsia" w:ascii="Times New Roman" w:hAnsi="Times New Roman" w:eastAsia="宋体" w:cs="Times New Roman"/>
                      <w:sz w:val="18"/>
                      <w:szCs w:val="18"/>
                      <w:lang w:val="en-US" w:eastAsia="zh-CN"/>
                    </w:rPr>
                    <w:t>本项目趸船无动力，自身不产生舱底油污水，但本项目趸船设置污油箱（200m³）用于存放旅游及轮渡船舶产生的舱底油污水，经污油箱暂存后定期交由武汉长喆船舶技术有限公司的油污水接收船接收处理</w:t>
                  </w:r>
                </w:p>
              </w:tc>
              <w:tc>
                <w:tcPr>
                  <w:tcW w:w="1328" w:type="pct"/>
                  <w:vMerge w:val="continue"/>
                  <w:vAlign w:val="center"/>
                </w:tcPr>
                <w:p w14:paraId="75761857">
                  <w:pPr>
                    <w:adjustRightInd w:val="0"/>
                    <w:snapToGrid w:val="0"/>
                    <w:jc w:val="center"/>
                    <w:rPr>
                      <w:color w:val="000000"/>
                      <w:sz w:val="18"/>
                      <w:szCs w:val="18"/>
                    </w:rPr>
                  </w:pPr>
                </w:p>
              </w:tc>
              <w:tc>
                <w:tcPr>
                  <w:tcW w:w="864" w:type="pct"/>
                  <w:vMerge w:val="continue"/>
                  <w:vAlign w:val="center"/>
                </w:tcPr>
                <w:p w14:paraId="466DC19A">
                  <w:pPr>
                    <w:adjustRightInd w:val="0"/>
                    <w:snapToGrid w:val="0"/>
                    <w:jc w:val="center"/>
                    <w:rPr>
                      <w:color w:val="000000"/>
                      <w:sz w:val="18"/>
                      <w:szCs w:val="18"/>
                    </w:rPr>
                  </w:pPr>
                </w:p>
              </w:tc>
            </w:tr>
            <w:tr w14:paraId="344376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7" w:type="pct"/>
                  <w:vMerge w:val="continue"/>
                  <w:vAlign w:val="center"/>
                </w:tcPr>
                <w:p w14:paraId="6005EEC4">
                  <w:pPr>
                    <w:adjustRightInd w:val="0"/>
                    <w:snapToGrid w:val="0"/>
                    <w:jc w:val="center"/>
                    <w:rPr>
                      <w:color w:val="000000"/>
                      <w:sz w:val="18"/>
                      <w:szCs w:val="18"/>
                    </w:rPr>
                  </w:pPr>
                </w:p>
              </w:tc>
              <w:tc>
                <w:tcPr>
                  <w:tcW w:w="279" w:type="pct"/>
                  <w:vMerge w:val="continue"/>
                  <w:vAlign w:val="center"/>
                </w:tcPr>
                <w:p w14:paraId="1A38AA5D">
                  <w:pPr>
                    <w:adjustRightInd w:val="0"/>
                    <w:snapToGrid w:val="0"/>
                    <w:jc w:val="center"/>
                    <w:rPr>
                      <w:color w:val="000000"/>
                      <w:sz w:val="18"/>
                      <w:szCs w:val="18"/>
                    </w:rPr>
                  </w:pPr>
                </w:p>
              </w:tc>
              <w:tc>
                <w:tcPr>
                  <w:tcW w:w="542" w:type="pct"/>
                  <w:vMerge w:val="continue"/>
                  <w:vAlign w:val="center"/>
                </w:tcPr>
                <w:p w14:paraId="594D9B62">
                  <w:pPr>
                    <w:adjustRightInd w:val="0"/>
                    <w:snapToGrid w:val="0"/>
                    <w:jc w:val="center"/>
                    <w:rPr>
                      <w:color w:val="000000"/>
                      <w:sz w:val="18"/>
                      <w:szCs w:val="18"/>
                    </w:rPr>
                  </w:pPr>
                </w:p>
              </w:tc>
              <w:tc>
                <w:tcPr>
                  <w:tcW w:w="1528" w:type="pct"/>
                  <w:vMerge w:val="continue"/>
                  <w:vAlign w:val="center"/>
                </w:tcPr>
                <w:p w14:paraId="71D847AE">
                  <w:pPr>
                    <w:adjustRightInd w:val="0"/>
                    <w:snapToGrid w:val="0"/>
                    <w:jc w:val="center"/>
                    <w:rPr>
                      <w:color w:val="000000"/>
                      <w:sz w:val="18"/>
                      <w:szCs w:val="18"/>
                    </w:rPr>
                  </w:pPr>
                </w:p>
              </w:tc>
              <w:tc>
                <w:tcPr>
                  <w:tcW w:w="1328" w:type="pct"/>
                  <w:vMerge w:val="continue"/>
                  <w:vAlign w:val="center"/>
                </w:tcPr>
                <w:p w14:paraId="763A5666">
                  <w:pPr>
                    <w:adjustRightInd w:val="0"/>
                    <w:snapToGrid w:val="0"/>
                    <w:jc w:val="center"/>
                    <w:rPr>
                      <w:color w:val="000000"/>
                      <w:sz w:val="18"/>
                      <w:szCs w:val="18"/>
                    </w:rPr>
                  </w:pPr>
                </w:p>
              </w:tc>
              <w:tc>
                <w:tcPr>
                  <w:tcW w:w="864" w:type="pct"/>
                  <w:vMerge w:val="continue"/>
                  <w:vAlign w:val="center"/>
                </w:tcPr>
                <w:p w14:paraId="6FF10287">
                  <w:pPr>
                    <w:adjustRightInd w:val="0"/>
                    <w:snapToGrid w:val="0"/>
                    <w:jc w:val="center"/>
                    <w:rPr>
                      <w:color w:val="000000"/>
                      <w:sz w:val="18"/>
                      <w:szCs w:val="18"/>
                    </w:rPr>
                  </w:pPr>
                </w:p>
              </w:tc>
            </w:tr>
          </w:tbl>
          <w:p w14:paraId="110E3E7D">
            <w:pPr>
              <w:spacing w:line="360" w:lineRule="auto"/>
              <w:rPr>
                <w:b/>
                <w:sz w:val="24"/>
              </w:rPr>
            </w:pPr>
            <w:r>
              <w:rPr>
                <w:rFonts w:hint="eastAsia"/>
                <w:b/>
                <w:sz w:val="24"/>
              </w:rPr>
              <w:t>6.2 环评批复意见落实情况</w:t>
            </w:r>
          </w:p>
          <w:p w14:paraId="5133CE80">
            <w:pPr>
              <w:pStyle w:val="51"/>
              <w:rPr>
                <w:rFonts w:ascii="Times New Roman" w:hAnsi="Times New Roman" w:eastAsia="黑体" w:cs="Times New Roman"/>
                <w:b w:val="0"/>
                <w:bCs/>
                <w:color w:val="auto"/>
                <w:sz w:val="21"/>
              </w:rPr>
            </w:pPr>
            <w:r>
              <w:rPr>
                <w:rFonts w:ascii="Times New Roman" w:hAnsi="Times New Roman" w:eastAsia="黑体" w:cs="Times New Roman"/>
                <w:b w:val="0"/>
                <w:bCs/>
                <w:color w:val="auto"/>
                <w:sz w:val="21"/>
              </w:rPr>
              <w:t>表6-</w:t>
            </w:r>
            <w:r>
              <w:rPr>
                <w:rFonts w:hint="eastAsia" w:ascii="Times New Roman" w:hAnsi="Times New Roman" w:eastAsia="黑体" w:cs="Times New Roman"/>
                <w:b w:val="0"/>
                <w:bCs/>
                <w:color w:val="auto"/>
                <w:sz w:val="21"/>
              </w:rPr>
              <w:t>2</w:t>
            </w:r>
            <w:r>
              <w:rPr>
                <w:rFonts w:ascii="Times New Roman" w:hAnsi="Times New Roman" w:eastAsia="黑体" w:cs="Times New Roman"/>
                <w:b w:val="0"/>
                <w:bCs/>
                <w:color w:val="auto"/>
                <w:sz w:val="21"/>
              </w:rPr>
              <w:t xml:space="preserve">  </w:t>
            </w:r>
            <w:r>
              <w:rPr>
                <w:rFonts w:hint="eastAsia" w:ascii="Times New Roman" w:hAnsi="Times New Roman" w:eastAsia="黑体" w:cs="Times New Roman"/>
                <w:b w:val="0"/>
                <w:bCs/>
                <w:color w:val="auto"/>
                <w:sz w:val="21"/>
              </w:rPr>
              <w:t>环评批复意见落实</w:t>
            </w:r>
            <w:r>
              <w:rPr>
                <w:rFonts w:ascii="Times New Roman" w:hAnsi="Times New Roman" w:eastAsia="黑体" w:cs="Times New Roman"/>
                <w:b w:val="0"/>
                <w:bCs/>
                <w:color w:val="auto"/>
                <w:sz w:val="21"/>
              </w:rPr>
              <w:t>情况一览表</w:t>
            </w:r>
          </w:p>
          <w:tbl>
            <w:tblPr>
              <w:tblStyle w:val="23"/>
              <w:tblW w:w="9026"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50"/>
              <w:gridCol w:w="3403"/>
              <w:gridCol w:w="3971"/>
              <w:gridCol w:w="802"/>
            </w:tblGrid>
            <w:tr w14:paraId="7E0E05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5" w:hRule="atLeast"/>
                <w:tblHeader/>
              </w:trPr>
              <w:tc>
                <w:tcPr>
                  <w:tcW w:w="850" w:type="dxa"/>
                  <w:vAlign w:val="center"/>
                </w:tcPr>
                <w:p w14:paraId="2AF81713">
                  <w:pPr>
                    <w:pStyle w:val="63"/>
                    <w:rPr>
                      <w:rFonts w:ascii="Times New Roman" w:hAnsi="Times New Roman" w:eastAsia="宋体"/>
                      <w:sz w:val="18"/>
                      <w:szCs w:val="18"/>
                    </w:rPr>
                  </w:pPr>
                  <w:r>
                    <w:rPr>
                      <w:rFonts w:hint="eastAsia" w:ascii="Times New Roman" w:hAnsi="Times New Roman" w:eastAsia="宋体"/>
                      <w:sz w:val="18"/>
                      <w:szCs w:val="18"/>
                    </w:rPr>
                    <w:t>项目</w:t>
                  </w:r>
                </w:p>
              </w:tc>
              <w:tc>
                <w:tcPr>
                  <w:tcW w:w="3403" w:type="dxa"/>
                  <w:vAlign w:val="center"/>
                </w:tcPr>
                <w:p w14:paraId="05DEF66A">
                  <w:pPr>
                    <w:widowControl/>
                    <w:jc w:val="center"/>
                    <w:rPr>
                      <w:rFonts w:cs="宋体"/>
                      <w:kern w:val="0"/>
                      <w:sz w:val="18"/>
                      <w:szCs w:val="22"/>
                    </w:rPr>
                  </w:pPr>
                  <w:r>
                    <w:rPr>
                      <w:rFonts w:hint="eastAsia" w:cs="宋体"/>
                      <w:kern w:val="0"/>
                      <w:sz w:val="18"/>
                      <w:szCs w:val="22"/>
                    </w:rPr>
                    <w:t>环评批复中提出的环境保护措施</w:t>
                  </w:r>
                </w:p>
              </w:tc>
              <w:tc>
                <w:tcPr>
                  <w:tcW w:w="3971" w:type="dxa"/>
                  <w:vAlign w:val="center"/>
                </w:tcPr>
                <w:p w14:paraId="0EB54B95">
                  <w:pPr>
                    <w:widowControl/>
                    <w:jc w:val="center"/>
                    <w:rPr>
                      <w:rFonts w:cs="宋体"/>
                      <w:kern w:val="0"/>
                      <w:sz w:val="18"/>
                      <w:szCs w:val="22"/>
                    </w:rPr>
                  </w:pPr>
                  <w:r>
                    <w:rPr>
                      <w:rFonts w:hint="eastAsia" w:cs="宋体"/>
                      <w:kern w:val="0"/>
                      <w:sz w:val="18"/>
                      <w:szCs w:val="22"/>
                    </w:rPr>
                    <w:t>环境保护措施的实际执行情况</w:t>
                  </w:r>
                </w:p>
              </w:tc>
              <w:tc>
                <w:tcPr>
                  <w:tcW w:w="802" w:type="dxa"/>
                  <w:vAlign w:val="center"/>
                </w:tcPr>
                <w:p w14:paraId="11217B0C">
                  <w:pPr>
                    <w:pStyle w:val="63"/>
                    <w:rPr>
                      <w:rFonts w:ascii="Times New Roman" w:hAnsi="Times New Roman" w:eastAsia="宋体"/>
                      <w:sz w:val="18"/>
                      <w:szCs w:val="18"/>
                    </w:rPr>
                  </w:pPr>
                  <w:r>
                    <w:rPr>
                      <w:rFonts w:hint="eastAsia" w:ascii="Times New Roman" w:hAnsi="Times New Roman" w:eastAsia="宋体"/>
                      <w:sz w:val="18"/>
                      <w:szCs w:val="18"/>
                    </w:rPr>
                    <w:t>备注</w:t>
                  </w:r>
                </w:p>
              </w:tc>
            </w:tr>
            <w:tr w14:paraId="0329BF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56" w:hRule="atLeast"/>
              </w:trPr>
              <w:tc>
                <w:tcPr>
                  <w:tcW w:w="850" w:type="dxa"/>
                  <w:vAlign w:val="center"/>
                </w:tcPr>
                <w:p w14:paraId="26A72468">
                  <w:pPr>
                    <w:pStyle w:val="63"/>
                    <w:rPr>
                      <w:rFonts w:ascii="Times New Roman" w:hAnsi="Times New Roman" w:eastAsia="宋体"/>
                      <w:sz w:val="18"/>
                      <w:szCs w:val="18"/>
                    </w:rPr>
                  </w:pPr>
                  <w:r>
                    <w:rPr>
                      <w:rFonts w:hint="eastAsia" w:ascii="Times New Roman" w:hAnsi="Times New Roman" w:eastAsia="宋体"/>
                      <w:sz w:val="18"/>
                      <w:szCs w:val="18"/>
                    </w:rPr>
                    <w:t>项目建设规模及内容</w:t>
                  </w:r>
                </w:p>
              </w:tc>
              <w:tc>
                <w:tcPr>
                  <w:tcW w:w="3403" w:type="dxa"/>
                  <w:vAlign w:val="center"/>
                </w:tcPr>
                <w:p w14:paraId="2C631CE5">
                  <w:pPr>
                    <w:pStyle w:val="63"/>
                    <w:jc w:val="both"/>
                    <w:rPr>
                      <w:rFonts w:ascii="Times New Roman" w:hAnsi="Times New Roman" w:eastAsia="宋体"/>
                      <w:sz w:val="18"/>
                      <w:szCs w:val="18"/>
                    </w:rPr>
                  </w:pPr>
                  <w:r>
                    <w:rPr>
                      <w:rFonts w:hint="eastAsia" w:ascii="Times New Roman" w:hAnsi="Times New Roman" w:eastAsia="宋体"/>
                      <w:sz w:val="18"/>
                      <w:szCs w:val="18"/>
                    </w:rPr>
                    <w:t>拟建工程(登记备案项目代码：2020-420106-55-03-032389)位于武汉市武昌江滩，武汉长江大桥下游约400m处。距离本岸上游平湖门取水口1650米，距离本项目同岸下游余家头取水口9200米，项目范围内存在一座筷子口泵站，项目1#趸船和2#-4#趸船间存在丁家巷军用码头。项目由原中华路客运码头及红巷码头合并组成，工程内容将现有中华路客运码头趸船，原红巷码头趸船、引桥等构筑物全部拆除更新改造，仅保留原中华路客运码头闸口处的售票房、办公室、变电所和引桥。码头提升改造后拟建8个泊位，设置4艘104×28m(总长×型宽)趸船，配套建设钢引桥、提升楼、固定墩台、固定钢引桥、踏步及撑杆(钢管定位桩)消能系统、给排水管网等。其中1号趸船利用原中华路客运码头岸线，2-4号趸船利用原红巷码头岸线，其中1#、3#、5#、7#为旅游泊位，共占用岸线268m,已取得交通运输部出具的岸线批复，2#、4#、6#、8#为轮渡泊位，共占用岸线248m,设计年通过能力660万人次。</w:t>
                  </w:r>
                </w:p>
              </w:tc>
              <w:tc>
                <w:tcPr>
                  <w:tcW w:w="3971" w:type="dxa"/>
                  <w:vAlign w:val="center"/>
                </w:tcPr>
                <w:p w14:paraId="0DC55EEA">
                  <w:pPr>
                    <w:pStyle w:val="63"/>
                    <w:jc w:val="both"/>
                    <w:rPr>
                      <w:rFonts w:ascii="Times New Roman" w:hAnsi="Times New Roman" w:eastAsia="宋体"/>
                      <w:sz w:val="18"/>
                      <w:szCs w:val="18"/>
                    </w:rPr>
                  </w:pPr>
                  <w:r>
                    <w:rPr>
                      <w:rFonts w:ascii="Times New Roman" w:hAnsi="Times New Roman" w:eastAsia="宋体"/>
                      <w:sz w:val="18"/>
                      <w:szCs w:val="18"/>
                    </w:rPr>
                    <w:t>项目位</w:t>
                  </w:r>
                  <w:r>
                    <w:rPr>
                      <w:rFonts w:hint="eastAsia" w:ascii="Times New Roman" w:hAnsi="Times New Roman" w:eastAsia="宋体"/>
                      <w:sz w:val="18"/>
                      <w:szCs w:val="18"/>
                    </w:rPr>
                    <w:t>于武汉市武昌江滩，武汉长江大桥下游约400m处。现有中华路码头趸船，原红巷码头趸船、引桥等构筑物全部拆除更新改造，仅保留原中华路码头闸口处的售票房、办公室、变电所和引桥。</w:t>
                  </w:r>
                  <w:r>
                    <w:rPr>
                      <w:rFonts w:hint="eastAsia" w:ascii="Times New Roman" w:hAnsi="Times New Roman" w:eastAsia="宋体"/>
                      <w:sz w:val="18"/>
                      <w:szCs w:val="18"/>
                      <w:lang w:eastAsia="zh-CN"/>
                    </w:rPr>
                    <w:t>由于保障筷子口泵站运行，</w:t>
                  </w:r>
                  <w:r>
                    <w:rPr>
                      <w:rFonts w:hint="eastAsia" w:ascii="Times New Roman" w:hAnsi="Times New Roman" w:eastAsia="宋体"/>
                      <w:sz w:val="18"/>
                      <w:szCs w:val="18"/>
                    </w:rPr>
                    <w:t>共设置</w:t>
                  </w:r>
                  <w:r>
                    <w:rPr>
                      <w:rFonts w:hint="eastAsia" w:ascii="Times New Roman" w:hAnsi="Times New Roman" w:eastAsia="宋体"/>
                      <w:sz w:val="18"/>
                      <w:szCs w:val="18"/>
                      <w:lang w:val="en-US" w:eastAsia="zh-CN"/>
                    </w:rPr>
                    <w:t>3</w:t>
                  </w:r>
                  <w:r>
                    <w:rPr>
                      <w:rFonts w:hint="eastAsia" w:ascii="Times New Roman" w:hAnsi="Times New Roman" w:eastAsia="宋体"/>
                      <w:sz w:val="18"/>
                      <w:szCs w:val="18"/>
                    </w:rPr>
                    <w:t>艘104×28m（总长×型宽）趸船，配套建设钢引桥、提升楼、固定墩台、固定钢引桥、踏步及撑杆（钢管定位桩）消能系统、给排水管网等。</w:t>
                  </w:r>
                  <w:r>
                    <w:rPr>
                      <w:rFonts w:hint="eastAsia" w:ascii="Times New Roman" w:hAnsi="Times New Roman" w:eastAsia="宋体"/>
                      <w:sz w:val="18"/>
                      <w:szCs w:val="18"/>
                      <w:lang w:val="en-US" w:eastAsia="zh-CN"/>
                    </w:rPr>
                    <w:t>，泊位调整为6个</w:t>
                  </w:r>
                </w:p>
              </w:tc>
              <w:tc>
                <w:tcPr>
                  <w:tcW w:w="802" w:type="dxa"/>
                  <w:vAlign w:val="center"/>
                </w:tcPr>
                <w:p w14:paraId="51817872">
                  <w:pPr>
                    <w:pStyle w:val="63"/>
                    <w:rPr>
                      <w:rFonts w:ascii="Times New Roman" w:hAnsi="Times New Roman" w:eastAsia="宋体"/>
                      <w:sz w:val="18"/>
                      <w:szCs w:val="18"/>
                    </w:rPr>
                  </w:pPr>
                  <w:r>
                    <w:rPr>
                      <w:rFonts w:hint="eastAsia" w:ascii="Times New Roman" w:hAnsi="Times New Roman" w:eastAsia="宋体"/>
                      <w:sz w:val="18"/>
                      <w:szCs w:val="18"/>
                      <w:lang w:eastAsia="zh-CN"/>
                    </w:rPr>
                    <w:t>趸船由</w:t>
                  </w:r>
                  <w:r>
                    <w:rPr>
                      <w:rFonts w:hint="eastAsia" w:ascii="Times New Roman" w:hAnsi="Times New Roman" w:eastAsia="宋体"/>
                      <w:sz w:val="18"/>
                      <w:szCs w:val="18"/>
                      <w:lang w:val="en-US" w:eastAsia="zh-CN"/>
                    </w:rPr>
                    <w:t>4艘调整为3艘，泊位由8个调整为6个，运营规模较环评期间有所减小</w:t>
                  </w:r>
                </w:p>
              </w:tc>
            </w:tr>
            <w:tr w14:paraId="79432A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56" w:hRule="atLeast"/>
              </w:trPr>
              <w:tc>
                <w:tcPr>
                  <w:tcW w:w="850" w:type="dxa"/>
                  <w:vAlign w:val="center"/>
                </w:tcPr>
                <w:p w14:paraId="2D0B3240">
                  <w:pPr>
                    <w:pStyle w:val="63"/>
                    <w:rPr>
                      <w:rFonts w:ascii="Times New Roman" w:hAnsi="Times New Roman" w:eastAsia="宋体"/>
                      <w:sz w:val="18"/>
                      <w:szCs w:val="18"/>
                    </w:rPr>
                  </w:pPr>
                  <w:r>
                    <w:rPr>
                      <w:rFonts w:hint="eastAsia" w:ascii="Times New Roman" w:hAnsi="Times New Roman" w:eastAsia="宋体"/>
                      <w:sz w:val="18"/>
                      <w:szCs w:val="18"/>
                    </w:rPr>
                    <w:t>施工要求</w:t>
                  </w:r>
                </w:p>
              </w:tc>
              <w:tc>
                <w:tcPr>
                  <w:tcW w:w="3403" w:type="dxa"/>
                  <w:vAlign w:val="center"/>
                </w:tcPr>
                <w:p w14:paraId="2FDAA5AE">
                  <w:pPr>
                    <w:pStyle w:val="63"/>
                    <w:jc w:val="both"/>
                    <w:rPr>
                      <w:rFonts w:ascii="Times New Roman" w:hAnsi="Times New Roman" w:eastAsia="宋体"/>
                      <w:sz w:val="18"/>
                      <w:szCs w:val="18"/>
                    </w:rPr>
                  </w:pPr>
                  <w:r>
                    <w:rPr>
                      <w:rFonts w:hint="eastAsia" w:ascii="Times New Roman" w:hAnsi="Times New Roman" w:eastAsia="宋体"/>
                      <w:sz w:val="18"/>
                      <w:szCs w:val="18"/>
                    </w:rPr>
                    <w:t>加强环境宣传教育与管理。项目施工场地濒临长江、处于长江大堤外，必须加强施工管理，优化施工方案，缩短施工时间；严格按照施工布置，控制施工范围；制定严格的作业规程，不得随意破坏江滩和岸坡上的植被；提高保护意识，严禁捕猎水生动物；对施工废水和固体废物等采取严格的环境管理措施，严禁排入长江污染水体。施工结束后应及时对临时堆土场、施工场地等受影响区域生态环境予以修复。</w:t>
                  </w:r>
                </w:p>
              </w:tc>
              <w:tc>
                <w:tcPr>
                  <w:tcW w:w="3971" w:type="dxa"/>
                  <w:vAlign w:val="center"/>
                </w:tcPr>
                <w:p w14:paraId="5FC0B44C">
                  <w:pPr>
                    <w:pStyle w:val="63"/>
                    <w:numPr>
                      <w:ilvl w:val="0"/>
                      <w:numId w:val="3"/>
                    </w:numPr>
                    <w:ind w:left="33" w:hanging="33"/>
                    <w:jc w:val="both"/>
                    <w:rPr>
                      <w:rFonts w:asciiTheme="minorEastAsia" w:hAnsiTheme="minorEastAsia" w:eastAsiaTheme="minorEastAsia"/>
                      <w:sz w:val="18"/>
                      <w:szCs w:val="18"/>
                    </w:rPr>
                  </w:pPr>
                  <w:r>
                    <w:rPr>
                      <w:rFonts w:asciiTheme="minorEastAsia" w:hAnsiTheme="minorEastAsia" w:eastAsiaTheme="minorEastAsia"/>
                      <w:sz w:val="18"/>
                      <w:szCs w:val="18"/>
                    </w:rPr>
                    <w:t>加强环境教育与管理，已按照文明施工、清洁生产要求，制定并落实施工期间环境管理方案措施。</w:t>
                  </w:r>
                </w:p>
                <w:p w14:paraId="41E59C5F">
                  <w:pPr>
                    <w:pStyle w:val="63"/>
                    <w:numPr>
                      <w:ilvl w:val="0"/>
                      <w:numId w:val="3"/>
                    </w:numPr>
                    <w:ind w:left="33" w:hanging="33"/>
                    <w:jc w:val="both"/>
                    <w:rPr>
                      <w:rFonts w:asciiTheme="minorEastAsia" w:hAnsiTheme="minorEastAsia" w:eastAsiaTheme="minorEastAsia"/>
                      <w:sz w:val="18"/>
                      <w:szCs w:val="18"/>
                    </w:rPr>
                  </w:pPr>
                  <w:r>
                    <w:rPr>
                      <w:rFonts w:asciiTheme="minorEastAsia" w:hAnsiTheme="minorEastAsia" w:eastAsiaTheme="minorEastAsia"/>
                      <w:sz w:val="18"/>
                      <w:szCs w:val="18"/>
                    </w:rPr>
                    <w:t>施工期间未违章作业，减少道路扬尘污染，施工过程中粉尘、污水、噪声未对周边居民点和其他社会敏感目标造成影响。</w:t>
                  </w:r>
                </w:p>
                <w:p w14:paraId="6F9CB3FD">
                  <w:pPr>
                    <w:pStyle w:val="63"/>
                    <w:numPr>
                      <w:ilvl w:val="0"/>
                      <w:numId w:val="3"/>
                    </w:numPr>
                    <w:ind w:left="33" w:hanging="33"/>
                    <w:jc w:val="both"/>
                    <w:rPr>
                      <w:rFonts w:asciiTheme="minorEastAsia" w:hAnsiTheme="minorEastAsia" w:eastAsiaTheme="minorEastAsia"/>
                      <w:sz w:val="18"/>
                      <w:szCs w:val="18"/>
                    </w:rPr>
                  </w:pPr>
                  <w:r>
                    <w:rPr>
                      <w:rFonts w:asciiTheme="minorEastAsia" w:hAnsiTheme="minorEastAsia" w:eastAsiaTheme="minorEastAsia"/>
                      <w:sz w:val="18"/>
                      <w:szCs w:val="18"/>
                    </w:rPr>
                    <w:t>施工</w:t>
                  </w:r>
                  <w:r>
                    <w:rPr>
                      <w:rFonts w:hint="eastAsia" w:asciiTheme="minorEastAsia" w:hAnsiTheme="minorEastAsia" w:eastAsiaTheme="minorEastAsia"/>
                      <w:sz w:val="18"/>
                      <w:szCs w:val="18"/>
                    </w:rPr>
                    <w:t>产生</w:t>
                  </w:r>
                  <w:r>
                    <w:rPr>
                      <w:rFonts w:asciiTheme="minorEastAsia" w:hAnsiTheme="minorEastAsia" w:eastAsiaTheme="minorEastAsia"/>
                      <w:sz w:val="18"/>
                      <w:szCs w:val="18"/>
                    </w:rPr>
                    <w:t>的</w:t>
                  </w:r>
                  <w:r>
                    <w:rPr>
                      <w:rFonts w:hint="eastAsia" w:ascii="Times New Roman" w:hAnsi="Times New Roman" w:eastAsia="宋体"/>
                      <w:sz w:val="18"/>
                      <w:szCs w:val="18"/>
                    </w:rPr>
                    <w:t>砂浆采用临时沉淀池进行“沉淀+晾晒”处理后，上清液回用于厂区洒水降尘</w:t>
                  </w:r>
                  <w:r>
                    <w:rPr>
                      <w:rFonts w:asciiTheme="minorEastAsia" w:hAnsiTheme="minorEastAsia" w:eastAsiaTheme="minorEastAsia"/>
                      <w:sz w:val="18"/>
                      <w:szCs w:val="18"/>
                    </w:rPr>
                    <w:t>。</w:t>
                  </w:r>
                </w:p>
                <w:p w14:paraId="3A09A9F6">
                  <w:pPr>
                    <w:pStyle w:val="63"/>
                    <w:numPr>
                      <w:ilvl w:val="0"/>
                      <w:numId w:val="3"/>
                    </w:numPr>
                    <w:ind w:left="33" w:hanging="33"/>
                    <w:jc w:val="both"/>
                    <w:rPr>
                      <w:rFonts w:ascii="Times New Roman" w:hAnsi="Times New Roman" w:eastAsia="宋体"/>
                      <w:sz w:val="18"/>
                      <w:szCs w:val="18"/>
                    </w:rPr>
                  </w:pPr>
                  <w:r>
                    <w:rPr>
                      <w:rFonts w:asciiTheme="minorEastAsia" w:hAnsiTheme="minorEastAsia" w:eastAsiaTheme="minorEastAsia"/>
                      <w:sz w:val="18"/>
                      <w:szCs w:val="18"/>
                    </w:rPr>
                    <w:t>项目施工期间未收到环境污染投诉。</w:t>
                  </w:r>
                </w:p>
              </w:tc>
              <w:tc>
                <w:tcPr>
                  <w:tcW w:w="802" w:type="dxa"/>
                  <w:vAlign w:val="center"/>
                </w:tcPr>
                <w:p w14:paraId="2C0F99EB">
                  <w:pPr>
                    <w:pStyle w:val="63"/>
                    <w:rPr>
                      <w:rFonts w:ascii="Times New Roman" w:hAnsi="Times New Roman" w:eastAsia="宋体"/>
                      <w:sz w:val="18"/>
                      <w:szCs w:val="18"/>
                    </w:rPr>
                  </w:pPr>
                  <w:r>
                    <w:rPr>
                      <w:rFonts w:hint="eastAsia" w:ascii="Times New Roman" w:hAnsi="Times New Roman" w:eastAsia="宋体"/>
                      <w:sz w:val="18"/>
                      <w:szCs w:val="18"/>
                    </w:rPr>
                    <w:t>已落实</w:t>
                  </w:r>
                </w:p>
              </w:tc>
            </w:tr>
            <w:tr w14:paraId="79A2BF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56" w:hRule="atLeast"/>
              </w:trPr>
              <w:tc>
                <w:tcPr>
                  <w:tcW w:w="850" w:type="dxa"/>
                  <w:vAlign w:val="center"/>
                </w:tcPr>
                <w:p w14:paraId="16978802">
                  <w:pPr>
                    <w:pStyle w:val="63"/>
                    <w:rPr>
                      <w:rFonts w:ascii="Times New Roman" w:hAnsi="Times New Roman" w:eastAsia="宋体"/>
                      <w:sz w:val="18"/>
                      <w:szCs w:val="18"/>
                    </w:rPr>
                  </w:pPr>
                  <w:r>
                    <w:rPr>
                      <w:rFonts w:hint="eastAsia" w:ascii="Times New Roman" w:hAnsi="Times New Roman" w:eastAsia="宋体"/>
                      <w:sz w:val="18"/>
                      <w:szCs w:val="18"/>
                    </w:rPr>
                    <w:t>废水</w:t>
                  </w:r>
                </w:p>
              </w:tc>
              <w:tc>
                <w:tcPr>
                  <w:tcW w:w="3403" w:type="dxa"/>
                  <w:vAlign w:val="center"/>
                </w:tcPr>
                <w:p w14:paraId="68D06CC7">
                  <w:pPr>
                    <w:pStyle w:val="63"/>
                    <w:jc w:val="both"/>
                    <w:rPr>
                      <w:rFonts w:ascii="Times New Roman" w:hAnsi="Times New Roman" w:eastAsia="宋体"/>
                      <w:sz w:val="18"/>
                      <w:szCs w:val="18"/>
                    </w:rPr>
                  </w:pPr>
                  <w:r>
                    <w:rPr>
                      <w:rFonts w:hint="eastAsia" w:ascii="Times New Roman" w:hAnsi="Times New Roman" w:eastAsia="宋体"/>
                      <w:sz w:val="18"/>
                      <w:szCs w:val="18"/>
                    </w:rPr>
                    <w:t>项目的废水经船用污水收集设备收集处理，满足《污水综合排放标准》(GB8978-1996)三级标准及《污水排入城镇下水道水质标准》(GB/T31962-2015)B级标准要求标后，通过泵送至临江大道市政管网后排入二郎庙污水处理厂。运营期需加强污水处理装置设备保养工作，定期维护、检查确保设备正常运行。</w:t>
                  </w:r>
                </w:p>
              </w:tc>
              <w:tc>
                <w:tcPr>
                  <w:tcW w:w="3971" w:type="dxa"/>
                  <w:vAlign w:val="center"/>
                </w:tcPr>
                <w:p w14:paraId="741C2826">
                  <w:pPr>
                    <w:pStyle w:val="63"/>
                    <w:jc w:val="both"/>
                    <w:rPr>
                      <w:rFonts w:ascii="Times New Roman" w:hAnsi="Times New Roman" w:eastAsia="宋体"/>
                      <w:sz w:val="18"/>
                      <w:szCs w:val="18"/>
                    </w:rPr>
                  </w:pPr>
                  <w:r>
                    <w:rPr>
                      <w:rFonts w:hint="eastAsia" w:ascii="Times New Roman" w:hAnsi="Times New Roman" w:eastAsia="宋体"/>
                      <w:sz w:val="18"/>
                      <w:szCs w:val="18"/>
                    </w:rPr>
                    <w:t>项目的废水经船用污水收集设备收集处理，满足《污水综合排放标准》(GB8978-1996)三级标准及《污水排入城镇下水道水质标准》(GB/T31962-2015)B级标准要求标后，通过泵送至临江大道市政管网后排入二郎庙污水处理厂。运营期需加强污水处理装置设备保养工作，定期维护、检查确保设备正常运行。</w:t>
                  </w:r>
                </w:p>
              </w:tc>
              <w:tc>
                <w:tcPr>
                  <w:tcW w:w="802" w:type="dxa"/>
                  <w:vAlign w:val="center"/>
                </w:tcPr>
                <w:p w14:paraId="1CFF2369">
                  <w:pPr>
                    <w:pStyle w:val="63"/>
                    <w:rPr>
                      <w:rFonts w:ascii="Times New Roman" w:hAnsi="Times New Roman" w:eastAsia="宋体"/>
                      <w:sz w:val="18"/>
                      <w:szCs w:val="18"/>
                    </w:rPr>
                  </w:pPr>
                  <w:r>
                    <w:rPr>
                      <w:rFonts w:hint="eastAsia" w:ascii="Times New Roman" w:hAnsi="Times New Roman" w:eastAsia="宋体"/>
                      <w:sz w:val="18"/>
                      <w:szCs w:val="18"/>
                    </w:rPr>
                    <w:t>已落实</w:t>
                  </w:r>
                </w:p>
              </w:tc>
            </w:tr>
            <w:tr w14:paraId="1088BC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56" w:hRule="atLeast"/>
              </w:trPr>
              <w:tc>
                <w:tcPr>
                  <w:tcW w:w="850" w:type="dxa"/>
                  <w:vAlign w:val="center"/>
                </w:tcPr>
                <w:p w14:paraId="0110D8F1">
                  <w:pPr>
                    <w:pStyle w:val="63"/>
                    <w:rPr>
                      <w:rFonts w:ascii="Times New Roman" w:hAnsi="Times New Roman" w:eastAsia="宋体"/>
                      <w:sz w:val="18"/>
                      <w:szCs w:val="18"/>
                    </w:rPr>
                  </w:pPr>
                  <w:r>
                    <w:rPr>
                      <w:rFonts w:ascii="Times New Roman" w:hAnsi="Times New Roman" w:eastAsia="宋体"/>
                      <w:sz w:val="18"/>
                      <w:szCs w:val="18"/>
                    </w:rPr>
                    <w:t>噪声</w:t>
                  </w:r>
                </w:p>
              </w:tc>
              <w:tc>
                <w:tcPr>
                  <w:tcW w:w="3403" w:type="dxa"/>
                  <w:vAlign w:val="center"/>
                </w:tcPr>
                <w:p w14:paraId="51CA40C6">
                  <w:pPr>
                    <w:pStyle w:val="63"/>
                    <w:jc w:val="both"/>
                    <w:rPr>
                      <w:rFonts w:ascii="Times New Roman" w:hAnsi="Times New Roman" w:eastAsia="宋体"/>
                      <w:sz w:val="18"/>
                      <w:szCs w:val="18"/>
                    </w:rPr>
                  </w:pPr>
                  <w:r>
                    <w:rPr>
                      <w:rFonts w:hint="eastAsia" w:ascii="Times New Roman" w:hAnsi="Times New Roman" w:eastAsia="宋体"/>
                      <w:sz w:val="18"/>
                      <w:szCs w:val="18"/>
                    </w:rPr>
                    <w:t>选用噪声低、振动小、高质量的设备，从声源上降低噪声强度。通过安装减震器等措施以减少振动，降低噪声。确保项目厂界噪声达到《工业企业厂界环境噪声排放标准》(GB12348-2008)4类标准要求。</w:t>
                  </w:r>
                </w:p>
              </w:tc>
              <w:tc>
                <w:tcPr>
                  <w:tcW w:w="3971" w:type="dxa"/>
                  <w:vAlign w:val="center"/>
                </w:tcPr>
                <w:p w14:paraId="688498ED">
                  <w:pPr>
                    <w:pStyle w:val="63"/>
                    <w:jc w:val="both"/>
                    <w:rPr>
                      <w:rFonts w:ascii="Times New Roman" w:hAnsi="Times New Roman" w:eastAsia="宋体"/>
                      <w:sz w:val="18"/>
                      <w:szCs w:val="18"/>
                    </w:rPr>
                  </w:pPr>
                  <w:r>
                    <w:rPr>
                      <w:rFonts w:hint="eastAsia" w:ascii="Times New Roman" w:hAnsi="Times New Roman" w:eastAsia="宋体"/>
                      <w:sz w:val="18"/>
                      <w:szCs w:val="18"/>
                    </w:rPr>
                    <w:t>采取隔声降噪措施，强化船舶运行管理。</w:t>
                  </w:r>
                </w:p>
              </w:tc>
              <w:tc>
                <w:tcPr>
                  <w:tcW w:w="802" w:type="dxa"/>
                  <w:vAlign w:val="center"/>
                </w:tcPr>
                <w:p w14:paraId="56C1AA61">
                  <w:pPr>
                    <w:pStyle w:val="63"/>
                    <w:rPr>
                      <w:rFonts w:ascii="Times New Roman" w:hAnsi="Times New Roman" w:eastAsia="宋体"/>
                      <w:sz w:val="18"/>
                      <w:szCs w:val="18"/>
                    </w:rPr>
                  </w:pPr>
                  <w:r>
                    <w:rPr>
                      <w:rFonts w:hint="eastAsia" w:ascii="Times New Roman" w:hAnsi="Times New Roman" w:eastAsia="宋体"/>
                      <w:sz w:val="18"/>
                      <w:szCs w:val="18"/>
                    </w:rPr>
                    <w:t>已落实</w:t>
                  </w:r>
                </w:p>
              </w:tc>
            </w:tr>
            <w:tr w14:paraId="450881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56" w:hRule="atLeast"/>
              </w:trPr>
              <w:tc>
                <w:tcPr>
                  <w:tcW w:w="850" w:type="dxa"/>
                  <w:vAlign w:val="center"/>
                </w:tcPr>
                <w:p w14:paraId="4139A491">
                  <w:pPr>
                    <w:pStyle w:val="63"/>
                    <w:rPr>
                      <w:rFonts w:ascii="Times New Roman" w:hAnsi="Times New Roman" w:eastAsia="宋体"/>
                      <w:sz w:val="18"/>
                      <w:szCs w:val="18"/>
                    </w:rPr>
                  </w:pPr>
                  <w:r>
                    <w:rPr>
                      <w:rFonts w:hint="eastAsia" w:ascii="Times New Roman" w:hAnsi="Times New Roman" w:eastAsia="宋体"/>
                      <w:sz w:val="18"/>
                      <w:szCs w:val="18"/>
                    </w:rPr>
                    <w:t>固体废物</w:t>
                  </w:r>
                </w:p>
              </w:tc>
              <w:tc>
                <w:tcPr>
                  <w:tcW w:w="3403" w:type="dxa"/>
                  <w:vAlign w:val="center"/>
                </w:tcPr>
                <w:p w14:paraId="494E9012">
                  <w:pPr>
                    <w:pStyle w:val="63"/>
                    <w:jc w:val="both"/>
                    <w:rPr>
                      <w:rFonts w:ascii="Times New Roman" w:hAnsi="Times New Roman" w:eastAsia="宋体"/>
                      <w:sz w:val="18"/>
                      <w:szCs w:val="18"/>
                    </w:rPr>
                  </w:pPr>
                  <w:r>
                    <w:rPr>
                      <w:rFonts w:hint="eastAsia" w:ascii="Times New Roman" w:hAnsi="Times New Roman" w:eastAsia="宋体"/>
                      <w:sz w:val="18"/>
                      <w:szCs w:val="18"/>
                    </w:rPr>
                    <w:t>对各类危险废物要严格按照《危险废物贮存污染控制标准》(GB18597-2001)相关规定，进行危险废物管理。舱底油污水专门贮存，防止泄漏污染长江水质，并交由有资质单位定时清运处置；员工生活垃圾及清理过程中产生的废布拖由城管部门统一收集处理。</w:t>
                  </w:r>
                </w:p>
              </w:tc>
              <w:tc>
                <w:tcPr>
                  <w:tcW w:w="3971" w:type="dxa"/>
                  <w:vAlign w:val="center"/>
                </w:tcPr>
                <w:p w14:paraId="2E66F97E">
                  <w:pPr>
                    <w:pStyle w:val="63"/>
                    <w:jc w:val="both"/>
                    <w:rPr>
                      <w:rFonts w:ascii="Times New Roman" w:hAnsi="Times New Roman" w:eastAsia="宋体"/>
                      <w:sz w:val="18"/>
                      <w:szCs w:val="18"/>
                    </w:rPr>
                  </w:pPr>
                  <w:r>
                    <w:rPr>
                      <w:rFonts w:hint="eastAsia" w:ascii="Times New Roman" w:hAnsi="Times New Roman" w:eastAsia="宋体"/>
                      <w:sz w:val="18"/>
                      <w:szCs w:val="18"/>
                    </w:rPr>
                    <w:t>①生活垃圾经分类收集后交由环卫部门清运；</w:t>
                  </w:r>
                </w:p>
                <w:p w14:paraId="04EB6C25">
                  <w:pPr>
                    <w:pStyle w:val="63"/>
                    <w:jc w:val="both"/>
                    <w:rPr>
                      <w:rFonts w:ascii="Times New Roman" w:hAnsi="Times New Roman" w:eastAsia="宋体"/>
                      <w:sz w:val="18"/>
                      <w:szCs w:val="18"/>
                    </w:rPr>
                  </w:pPr>
                  <w:r>
                    <w:rPr>
                      <w:rFonts w:hint="eastAsia" w:ascii="Times New Roman" w:hAnsi="Times New Roman" w:eastAsia="宋体"/>
                      <w:sz w:val="18"/>
                      <w:szCs w:val="18"/>
                    </w:rPr>
                    <w:t>②</w:t>
                  </w:r>
                  <w:r>
                    <w:rPr>
                      <w:rFonts w:hint="eastAsia" w:ascii="Times New Roman" w:hAnsi="Times New Roman" w:eastAsia="宋体"/>
                      <w:sz w:val="18"/>
                      <w:szCs w:val="18"/>
                      <w:lang w:eastAsia="zh-CN"/>
                    </w:rPr>
                    <w:t>舱底油污水</w:t>
                  </w:r>
                  <w:r>
                    <w:rPr>
                      <w:rFonts w:hint="eastAsia" w:ascii="Times New Roman" w:hAnsi="Times New Roman" w:eastAsia="宋体"/>
                      <w:sz w:val="18"/>
                      <w:szCs w:val="18"/>
                    </w:rPr>
                    <w:t>交由危废单位处置。</w:t>
                  </w:r>
                </w:p>
              </w:tc>
              <w:tc>
                <w:tcPr>
                  <w:tcW w:w="802" w:type="dxa"/>
                  <w:vAlign w:val="center"/>
                </w:tcPr>
                <w:p w14:paraId="3F5ABE8F">
                  <w:pPr>
                    <w:pStyle w:val="63"/>
                    <w:rPr>
                      <w:rFonts w:ascii="Times New Roman" w:hAnsi="Times New Roman" w:eastAsia="宋体"/>
                      <w:sz w:val="18"/>
                      <w:szCs w:val="18"/>
                    </w:rPr>
                  </w:pPr>
                  <w:r>
                    <w:rPr>
                      <w:rFonts w:hint="eastAsia" w:ascii="Times New Roman" w:hAnsi="Times New Roman" w:eastAsia="宋体"/>
                      <w:sz w:val="18"/>
                      <w:szCs w:val="18"/>
                    </w:rPr>
                    <w:t>已落实</w:t>
                  </w:r>
                </w:p>
              </w:tc>
            </w:tr>
            <w:tr w14:paraId="7846AB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56" w:hRule="atLeast"/>
              </w:trPr>
              <w:tc>
                <w:tcPr>
                  <w:tcW w:w="850" w:type="dxa"/>
                  <w:vAlign w:val="center"/>
                </w:tcPr>
                <w:p w14:paraId="2EE1939D">
                  <w:pPr>
                    <w:pStyle w:val="63"/>
                    <w:rPr>
                      <w:rFonts w:ascii="Times New Roman" w:hAnsi="Times New Roman" w:eastAsia="宋体"/>
                      <w:sz w:val="18"/>
                      <w:szCs w:val="18"/>
                    </w:rPr>
                  </w:pPr>
                  <w:r>
                    <w:rPr>
                      <w:rFonts w:hint="eastAsia" w:ascii="Times New Roman" w:hAnsi="Times New Roman" w:eastAsia="宋体"/>
                      <w:sz w:val="18"/>
                      <w:szCs w:val="18"/>
                    </w:rPr>
                    <w:t>环境风险</w:t>
                  </w:r>
                </w:p>
              </w:tc>
              <w:tc>
                <w:tcPr>
                  <w:tcW w:w="3403" w:type="dxa"/>
                  <w:vAlign w:val="center"/>
                </w:tcPr>
                <w:p w14:paraId="64BB0271">
                  <w:pPr>
                    <w:pStyle w:val="63"/>
                    <w:jc w:val="both"/>
                    <w:rPr>
                      <w:rFonts w:ascii="Times New Roman" w:hAnsi="Times New Roman" w:eastAsia="宋体"/>
                      <w:sz w:val="18"/>
                      <w:szCs w:val="18"/>
                    </w:rPr>
                  </w:pPr>
                  <w:r>
                    <w:rPr>
                      <w:rFonts w:hint="eastAsia" w:ascii="Times New Roman" w:hAnsi="Times New Roman" w:eastAsia="宋体"/>
                      <w:sz w:val="18"/>
                      <w:szCs w:val="18"/>
                    </w:rPr>
                    <w:t>落实组织机构和责任部门，制定完善的环境管理制度，落实安全生产责任。按《报告表》要求制定并落实环境事故应急预案，杜绝因安全事故造成环境污染。</w:t>
                  </w:r>
                </w:p>
              </w:tc>
              <w:tc>
                <w:tcPr>
                  <w:tcW w:w="3971" w:type="dxa"/>
                  <w:vAlign w:val="center"/>
                </w:tcPr>
                <w:p w14:paraId="64976007">
                  <w:pPr>
                    <w:pStyle w:val="63"/>
                    <w:jc w:val="both"/>
                    <w:rPr>
                      <w:rFonts w:ascii="Times New Roman" w:hAnsi="Times New Roman" w:eastAsia="宋体"/>
                      <w:sz w:val="18"/>
                      <w:szCs w:val="18"/>
                    </w:rPr>
                  </w:pPr>
                  <w:r>
                    <w:rPr>
                      <w:rFonts w:hint="eastAsia" w:ascii="Times New Roman" w:hAnsi="Times New Roman" w:eastAsia="宋体"/>
                      <w:sz w:val="18"/>
                      <w:szCs w:val="18"/>
                    </w:rPr>
                    <w:t>已</w:t>
                  </w:r>
                  <w:r>
                    <w:rPr>
                      <w:rFonts w:hint="eastAsia" w:ascii="Times New Roman" w:hAnsi="Times New Roman" w:eastAsia="宋体"/>
                      <w:sz w:val="18"/>
                      <w:szCs w:val="18"/>
                      <w:lang w:eastAsia="zh-CN"/>
                    </w:rPr>
                    <w:t>开展突发环境事件应急预案编制磋商工作</w:t>
                  </w:r>
                  <w:r>
                    <w:rPr>
                      <w:rFonts w:hint="eastAsia" w:ascii="Times New Roman" w:hAnsi="Times New Roman" w:eastAsia="宋体"/>
                      <w:sz w:val="18"/>
                      <w:szCs w:val="18"/>
                    </w:rPr>
                    <w:t>。落实组织机构和责任部门，制定完善的环境管理制度，落实安全生产责任，杜绝因安全事故造成环境污染。</w:t>
                  </w:r>
                </w:p>
              </w:tc>
              <w:tc>
                <w:tcPr>
                  <w:tcW w:w="802" w:type="dxa"/>
                  <w:vAlign w:val="center"/>
                </w:tcPr>
                <w:p w14:paraId="025069E9">
                  <w:pPr>
                    <w:pStyle w:val="63"/>
                    <w:rPr>
                      <w:rFonts w:ascii="Times New Roman" w:hAnsi="Times New Roman" w:eastAsia="宋体"/>
                      <w:sz w:val="18"/>
                      <w:szCs w:val="18"/>
                    </w:rPr>
                  </w:pPr>
                  <w:r>
                    <w:rPr>
                      <w:rFonts w:hint="eastAsia" w:ascii="Times New Roman" w:hAnsi="Times New Roman" w:eastAsia="宋体"/>
                      <w:sz w:val="18"/>
                      <w:szCs w:val="18"/>
                    </w:rPr>
                    <w:t>已落实</w:t>
                  </w:r>
                </w:p>
              </w:tc>
            </w:tr>
            <w:tr w14:paraId="1BFEBA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56" w:hRule="atLeast"/>
              </w:trPr>
              <w:tc>
                <w:tcPr>
                  <w:tcW w:w="850" w:type="dxa"/>
                  <w:vAlign w:val="center"/>
                </w:tcPr>
                <w:p w14:paraId="27075A9E">
                  <w:pPr>
                    <w:pStyle w:val="63"/>
                    <w:rPr>
                      <w:rFonts w:ascii="Times New Roman" w:hAnsi="Times New Roman" w:eastAsia="宋体"/>
                      <w:sz w:val="18"/>
                      <w:szCs w:val="18"/>
                    </w:rPr>
                  </w:pPr>
                  <w:r>
                    <w:rPr>
                      <w:rFonts w:hint="eastAsia" w:ascii="Times New Roman" w:hAnsi="Times New Roman" w:eastAsia="宋体"/>
                      <w:sz w:val="18"/>
                      <w:szCs w:val="18"/>
                    </w:rPr>
                    <w:t>变更情况</w:t>
                  </w:r>
                </w:p>
              </w:tc>
              <w:tc>
                <w:tcPr>
                  <w:tcW w:w="3403" w:type="dxa"/>
                  <w:vAlign w:val="center"/>
                </w:tcPr>
                <w:p w14:paraId="34CFA48A">
                  <w:pPr>
                    <w:pStyle w:val="63"/>
                    <w:jc w:val="both"/>
                    <w:rPr>
                      <w:rFonts w:hint="eastAsia" w:ascii="Times New Roman" w:hAnsi="Times New Roman" w:eastAsia="宋体"/>
                      <w:sz w:val="18"/>
                      <w:szCs w:val="18"/>
                    </w:rPr>
                  </w:pPr>
                  <w:r>
                    <w:rPr>
                      <w:rFonts w:hint="eastAsia" w:ascii="Times New Roman" w:hAnsi="Times New Roman" w:eastAsia="宋体"/>
                      <w:sz w:val="18"/>
                      <w:szCs w:val="18"/>
                    </w:rPr>
                    <w:t>项目采取的处理工艺或防治污染措施发生重大变动的，应重新报批该项目的环境影响评价文件。在项目实施过程中，你单位应主动接受环保主管部门的监督管理。国家有新规定的，从其规定</w:t>
                  </w:r>
                </w:p>
              </w:tc>
              <w:tc>
                <w:tcPr>
                  <w:tcW w:w="3971" w:type="dxa"/>
                  <w:vAlign w:val="center"/>
                </w:tcPr>
                <w:p w14:paraId="1E959DB0">
                  <w:pPr>
                    <w:pStyle w:val="63"/>
                    <w:jc w:val="both"/>
                    <w:rPr>
                      <w:rFonts w:hint="eastAsia" w:ascii="Times New Roman" w:hAnsi="Times New Roman" w:eastAsia="宋体"/>
                      <w:sz w:val="18"/>
                      <w:szCs w:val="18"/>
                      <w:lang w:eastAsia="zh-CN"/>
                    </w:rPr>
                  </w:pPr>
                  <w:r>
                    <w:rPr>
                      <w:rFonts w:hint="eastAsia" w:ascii="Times New Roman" w:hAnsi="Times New Roman" w:eastAsia="宋体"/>
                      <w:sz w:val="18"/>
                      <w:szCs w:val="18"/>
                    </w:rPr>
                    <w:t>项目的性质、地点、采用的工艺或者防治污染、防止生态破坏的措施无变更</w:t>
                  </w:r>
                  <w:r>
                    <w:rPr>
                      <w:rFonts w:hint="eastAsia" w:ascii="Times New Roman" w:hAnsi="Times New Roman" w:eastAsia="宋体"/>
                      <w:sz w:val="18"/>
                      <w:szCs w:val="18"/>
                      <w:lang w:eastAsia="zh-CN"/>
                    </w:rPr>
                    <w:t>，</w:t>
                  </w:r>
                  <w:r>
                    <w:rPr>
                      <w:rFonts w:hint="eastAsia" w:ascii="Times New Roman" w:hAnsi="Times New Roman" w:eastAsia="宋体"/>
                      <w:sz w:val="18"/>
                      <w:szCs w:val="18"/>
                    </w:rPr>
                    <w:t>规模</w:t>
                  </w:r>
                  <w:r>
                    <w:rPr>
                      <w:rFonts w:hint="eastAsia" w:ascii="Times New Roman" w:hAnsi="Times New Roman" w:eastAsia="宋体"/>
                      <w:sz w:val="18"/>
                      <w:szCs w:val="18"/>
                      <w:lang w:eastAsia="zh-CN"/>
                    </w:rPr>
                    <w:t>较环评阶段有所减小</w:t>
                  </w:r>
                </w:p>
              </w:tc>
              <w:tc>
                <w:tcPr>
                  <w:tcW w:w="802" w:type="dxa"/>
                  <w:vAlign w:val="center"/>
                </w:tcPr>
                <w:p w14:paraId="73C8929F">
                  <w:pPr>
                    <w:pStyle w:val="63"/>
                    <w:rPr>
                      <w:rFonts w:ascii="Times New Roman" w:hAnsi="Times New Roman" w:eastAsia="宋体"/>
                      <w:sz w:val="18"/>
                      <w:szCs w:val="18"/>
                    </w:rPr>
                  </w:pPr>
                  <w:r>
                    <w:rPr>
                      <w:rFonts w:hint="eastAsia" w:ascii="Times New Roman" w:hAnsi="Times New Roman" w:eastAsia="宋体"/>
                      <w:sz w:val="18"/>
                      <w:szCs w:val="18"/>
                    </w:rPr>
                    <w:t>已落实</w:t>
                  </w:r>
                </w:p>
              </w:tc>
            </w:tr>
            <w:tr w14:paraId="5C5390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56" w:hRule="atLeast"/>
              </w:trPr>
              <w:tc>
                <w:tcPr>
                  <w:tcW w:w="850" w:type="dxa"/>
                  <w:vAlign w:val="center"/>
                </w:tcPr>
                <w:p w14:paraId="4FDEED1C">
                  <w:pPr>
                    <w:pStyle w:val="63"/>
                    <w:rPr>
                      <w:rFonts w:ascii="Times New Roman" w:hAnsi="Times New Roman" w:eastAsia="宋体"/>
                      <w:sz w:val="18"/>
                      <w:szCs w:val="18"/>
                    </w:rPr>
                  </w:pPr>
                  <w:r>
                    <w:rPr>
                      <w:rFonts w:hint="eastAsia" w:ascii="Times New Roman" w:hAnsi="Times New Roman" w:eastAsia="宋体"/>
                      <w:sz w:val="18"/>
                      <w:szCs w:val="18"/>
                    </w:rPr>
                    <w:t>“三同时”制度</w:t>
                  </w:r>
                </w:p>
              </w:tc>
              <w:tc>
                <w:tcPr>
                  <w:tcW w:w="3403" w:type="dxa"/>
                  <w:vAlign w:val="center"/>
                </w:tcPr>
                <w:p w14:paraId="4065DE32">
                  <w:pPr>
                    <w:pStyle w:val="63"/>
                    <w:jc w:val="both"/>
                    <w:rPr>
                      <w:rFonts w:hint="eastAsia" w:ascii="Times New Roman" w:hAnsi="Times New Roman" w:eastAsia="宋体"/>
                      <w:sz w:val="18"/>
                      <w:szCs w:val="18"/>
                    </w:rPr>
                  </w:pPr>
                  <w:r>
                    <w:rPr>
                      <w:rFonts w:hint="eastAsia" w:ascii="Times New Roman" w:hAnsi="Times New Roman" w:eastAsia="宋体"/>
                      <w:sz w:val="18"/>
                      <w:szCs w:val="18"/>
                    </w:rPr>
                    <w:t>落实各项环保措施，按照有关法律法规规定，你单位自行组织建设项目竣工环境保护验收并予以公示相关内容，验收合格后方能投入使用。</w:t>
                  </w:r>
                </w:p>
              </w:tc>
              <w:tc>
                <w:tcPr>
                  <w:tcW w:w="3971" w:type="dxa"/>
                  <w:vAlign w:val="center"/>
                </w:tcPr>
                <w:p w14:paraId="4585D289">
                  <w:pPr>
                    <w:pStyle w:val="63"/>
                    <w:jc w:val="both"/>
                    <w:rPr>
                      <w:rFonts w:ascii="Times New Roman" w:hAnsi="Times New Roman" w:eastAsia="宋体"/>
                      <w:sz w:val="18"/>
                      <w:szCs w:val="18"/>
                    </w:rPr>
                  </w:pPr>
                  <w:r>
                    <w:rPr>
                      <w:rFonts w:hint="eastAsia" w:ascii="Times New Roman" w:hAnsi="Times New Roman" w:eastAsia="宋体"/>
                      <w:sz w:val="18"/>
                      <w:szCs w:val="18"/>
                    </w:rPr>
                    <w:t>项目建设落实《报告表》中提出的各项环保措施，并将各项环保要求明确纳入工程承包合同中，严格执行环保“三同时”制度。</w:t>
                  </w:r>
                </w:p>
              </w:tc>
              <w:tc>
                <w:tcPr>
                  <w:tcW w:w="802" w:type="dxa"/>
                  <w:vAlign w:val="center"/>
                </w:tcPr>
                <w:p w14:paraId="37613CF1">
                  <w:pPr>
                    <w:pStyle w:val="63"/>
                    <w:rPr>
                      <w:rFonts w:ascii="Times New Roman" w:hAnsi="Times New Roman" w:eastAsia="宋体"/>
                      <w:sz w:val="18"/>
                      <w:szCs w:val="18"/>
                    </w:rPr>
                  </w:pPr>
                  <w:r>
                    <w:rPr>
                      <w:rFonts w:hint="eastAsia" w:ascii="Times New Roman" w:hAnsi="Times New Roman" w:eastAsia="宋体"/>
                      <w:sz w:val="18"/>
                      <w:szCs w:val="18"/>
                    </w:rPr>
                    <w:t>已落实</w:t>
                  </w:r>
                </w:p>
              </w:tc>
            </w:tr>
          </w:tbl>
          <w:p w14:paraId="554262FF"/>
          <w:p w14:paraId="2968983D"/>
          <w:p w14:paraId="147FAB37"/>
          <w:p w14:paraId="273200A2"/>
        </w:tc>
      </w:tr>
    </w:tbl>
    <w:p w14:paraId="061ECBF0">
      <w:r>
        <w:br w:type="page"/>
      </w:r>
    </w:p>
    <w:p w14:paraId="5EAF065E">
      <w:pPr>
        <w:pStyle w:val="4"/>
        <w:rPr>
          <w:rFonts w:ascii="Times New Roman" w:hAnsi="Times New Roman"/>
          <w:color w:val="auto"/>
        </w:rPr>
      </w:pPr>
      <w:bookmarkStart w:id="18" w:name="_Toc520382823"/>
      <w:r>
        <w:rPr>
          <w:rFonts w:ascii="Times New Roman" w:hAnsi="Times New Roman"/>
          <w:color w:val="auto"/>
        </w:rPr>
        <w:t xml:space="preserve">表七  </w:t>
      </w:r>
      <w:r>
        <w:rPr>
          <w:rFonts w:hint="eastAsia" w:ascii="Times New Roman" w:hAnsi="Times New Roman"/>
          <w:color w:val="auto"/>
        </w:rPr>
        <w:t>环境</w:t>
      </w:r>
      <w:r>
        <w:rPr>
          <w:rFonts w:ascii="Times New Roman" w:hAnsi="Times New Roman"/>
          <w:color w:val="auto"/>
        </w:rPr>
        <w:t>影响调查</w:t>
      </w:r>
      <w:bookmarkEnd w:id="18"/>
    </w:p>
    <w:tbl>
      <w:tblPr>
        <w:tblStyle w:val="23"/>
        <w:tblW w:w="924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2"/>
        <w:gridCol w:w="815"/>
        <w:gridCol w:w="7915"/>
      </w:tblGrid>
      <w:tr w14:paraId="0DE05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0" w:hRule="atLeast"/>
        </w:trPr>
        <w:tc>
          <w:tcPr>
            <w:tcW w:w="512" w:type="dxa"/>
            <w:vMerge w:val="restart"/>
            <w:vAlign w:val="center"/>
          </w:tcPr>
          <w:p w14:paraId="1FBA759B">
            <w:pPr>
              <w:pStyle w:val="63"/>
              <w:rPr>
                <w:rFonts w:ascii="Times New Roman" w:hAnsi="Times New Roman" w:eastAsia="宋体"/>
                <w:sz w:val="24"/>
                <w:szCs w:val="18"/>
              </w:rPr>
            </w:pPr>
            <w:r>
              <w:rPr>
                <w:rFonts w:ascii="Times New Roman" w:hAnsi="Times New Roman" w:eastAsia="宋体"/>
                <w:sz w:val="24"/>
                <w:szCs w:val="18"/>
              </w:rPr>
              <w:t>施工期</w:t>
            </w:r>
          </w:p>
        </w:tc>
        <w:tc>
          <w:tcPr>
            <w:tcW w:w="815" w:type="dxa"/>
            <w:vAlign w:val="center"/>
          </w:tcPr>
          <w:p w14:paraId="03A0436C">
            <w:pPr>
              <w:pStyle w:val="63"/>
              <w:rPr>
                <w:rFonts w:ascii="Times New Roman" w:hAnsi="Times New Roman" w:eastAsia="宋体"/>
                <w:sz w:val="24"/>
                <w:szCs w:val="18"/>
              </w:rPr>
            </w:pPr>
            <w:r>
              <w:rPr>
                <w:rFonts w:ascii="Times New Roman" w:hAnsi="Times New Roman" w:eastAsia="宋体"/>
                <w:sz w:val="24"/>
                <w:szCs w:val="18"/>
              </w:rPr>
              <w:t>生态影响</w:t>
            </w:r>
          </w:p>
        </w:tc>
        <w:tc>
          <w:tcPr>
            <w:tcW w:w="7915" w:type="dxa"/>
            <w:vAlign w:val="center"/>
          </w:tcPr>
          <w:p w14:paraId="4D19F7A3">
            <w:pPr>
              <w:autoSpaceDE w:val="0"/>
              <w:autoSpaceDN w:val="0"/>
              <w:adjustRightInd w:val="0"/>
              <w:spacing w:line="360" w:lineRule="auto"/>
              <w:ind w:firstLine="480" w:firstLineChars="200"/>
              <w:rPr>
                <w:sz w:val="24"/>
              </w:rPr>
            </w:pPr>
            <w:r>
              <w:rPr>
                <w:rFonts w:hint="eastAsia"/>
                <w:sz w:val="24"/>
              </w:rPr>
              <w:t>通过加强生态环境保护宣传教育，增强人们的环境保护意识；合理安排施工工期，水下施工选择在枯水期进行，施工期及运营期禁止在码头区域排放污水；施工完成后进行绿化恢复。在确保各项环保措施实施的前提下，可在很大程度上减缓对环境的不利影响，将环境损失减低到最低的程度。</w:t>
            </w:r>
          </w:p>
        </w:tc>
      </w:tr>
      <w:tr w14:paraId="6DD41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2" w:hRule="atLeast"/>
        </w:trPr>
        <w:tc>
          <w:tcPr>
            <w:tcW w:w="512" w:type="dxa"/>
            <w:vMerge w:val="continue"/>
            <w:vAlign w:val="center"/>
          </w:tcPr>
          <w:p w14:paraId="38E1BAAF">
            <w:pPr>
              <w:pStyle w:val="63"/>
              <w:rPr>
                <w:rFonts w:ascii="Times New Roman" w:hAnsi="Times New Roman" w:eastAsia="宋体"/>
                <w:sz w:val="24"/>
                <w:szCs w:val="18"/>
              </w:rPr>
            </w:pPr>
          </w:p>
        </w:tc>
        <w:tc>
          <w:tcPr>
            <w:tcW w:w="815" w:type="dxa"/>
            <w:vAlign w:val="center"/>
          </w:tcPr>
          <w:p w14:paraId="480E69AA">
            <w:pPr>
              <w:pStyle w:val="63"/>
              <w:rPr>
                <w:rFonts w:ascii="Times New Roman" w:hAnsi="Times New Roman" w:eastAsia="宋体"/>
                <w:sz w:val="24"/>
                <w:szCs w:val="18"/>
              </w:rPr>
            </w:pPr>
            <w:r>
              <w:rPr>
                <w:rFonts w:ascii="Times New Roman" w:hAnsi="Times New Roman" w:eastAsia="宋体"/>
                <w:sz w:val="24"/>
                <w:szCs w:val="18"/>
              </w:rPr>
              <w:t>污染影响</w:t>
            </w:r>
          </w:p>
        </w:tc>
        <w:tc>
          <w:tcPr>
            <w:tcW w:w="7915" w:type="dxa"/>
            <w:vAlign w:val="center"/>
          </w:tcPr>
          <w:p w14:paraId="4050F7A5">
            <w:pPr>
              <w:autoSpaceDE w:val="0"/>
              <w:autoSpaceDN w:val="0"/>
              <w:adjustRightInd w:val="0"/>
              <w:spacing w:line="360" w:lineRule="auto"/>
              <w:ind w:firstLine="480" w:firstLineChars="200"/>
              <w:rPr>
                <w:sz w:val="24"/>
              </w:rPr>
            </w:pPr>
            <w:r>
              <w:rPr>
                <w:rFonts w:hint="eastAsia"/>
                <w:sz w:val="24"/>
              </w:rPr>
              <w:t>本项目的施工废水、废气、噪声、固废均能够得到妥善处理，不会对当环境造成影响。经调查，项目施工期未对水环境、声环境、大气环境造成影响，固废无二次污染。本项目施工期间无环境影响投诉。</w:t>
            </w:r>
          </w:p>
        </w:tc>
      </w:tr>
      <w:tr w14:paraId="53DD9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7" w:hRule="atLeast"/>
        </w:trPr>
        <w:tc>
          <w:tcPr>
            <w:tcW w:w="512" w:type="dxa"/>
            <w:vMerge w:val="continue"/>
            <w:vAlign w:val="center"/>
          </w:tcPr>
          <w:p w14:paraId="0D1F2CBD">
            <w:pPr>
              <w:pStyle w:val="63"/>
              <w:rPr>
                <w:rFonts w:ascii="Times New Roman" w:hAnsi="Times New Roman" w:eastAsia="宋体"/>
                <w:sz w:val="24"/>
                <w:szCs w:val="18"/>
              </w:rPr>
            </w:pPr>
          </w:p>
        </w:tc>
        <w:tc>
          <w:tcPr>
            <w:tcW w:w="815" w:type="dxa"/>
            <w:vAlign w:val="center"/>
          </w:tcPr>
          <w:p w14:paraId="209367C9">
            <w:pPr>
              <w:pStyle w:val="63"/>
              <w:rPr>
                <w:rFonts w:ascii="Times New Roman" w:hAnsi="Times New Roman" w:eastAsia="宋体"/>
                <w:sz w:val="24"/>
                <w:szCs w:val="18"/>
              </w:rPr>
            </w:pPr>
            <w:r>
              <w:rPr>
                <w:rFonts w:ascii="Times New Roman" w:hAnsi="Times New Roman" w:eastAsia="宋体"/>
                <w:sz w:val="24"/>
                <w:szCs w:val="18"/>
              </w:rPr>
              <w:t>社会影响</w:t>
            </w:r>
          </w:p>
        </w:tc>
        <w:tc>
          <w:tcPr>
            <w:tcW w:w="7915" w:type="dxa"/>
            <w:vAlign w:val="center"/>
          </w:tcPr>
          <w:p w14:paraId="07BBAC21">
            <w:pPr>
              <w:autoSpaceDE w:val="0"/>
              <w:autoSpaceDN w:val="0"/>
              <w:adjustRightInd w:val="0"/>
              <w:spacing w:line="360" w:lineRule="auto"/>
              <w:ind w:firstLine="480" w:firstLineChars="200"/>
              <w:rPr>
                <w:sz w:val="24"/>
              </w:rPr>
            </w:pPr>
            <w:r>
              <w:rPr>
                <w:rFonts w:hint="eastAsia"/>
                <w:sz w:val="24"/>
              </w:rPr>
              <w:t>本项目工程建设对社会的影响主要来自于交通及区域居民生活质量的影响。项目施工带来的施工机械及进出车辆会造成施工道路上车辆增多，为避免对区域交通造成拥堵，施工单位应设立指示牌，提供绕避路线，引导车辆通过其他路径进行通行，避免造成交通拥堵。</w:t>
            </w:r>
          </w:p>
        </w:tc>
      </w:tr>
      <w:tr w14:paraId="377BA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1" w:hRule="atLeast"/>
        </w:trPr>
        <w:tc>
          <w:tcPr>
            <w:tcW w:w="512" w:type="dxa"/>
            <w:vMerge w:val="restart"/>
            <w:vAlign w:val="center"/>
          </w:tcPr>
          <w:p w14:paraId="75CAF819">
            <w:pPr>
              <w:pStyle w:val="63"/>
              <w:rPr>
                <w:rFonts w:ascii="Times New Roman" w:hAnsi="Times New Roman" w:eastAsia="宋体"/>
                <w:sz w:val="24"/>
                <w:szCs w:val="18"/>
              </w:rPr>
            </w:pPr>
            <w:r>
              <w:rPr>
                <w:rFonts w:ascii="Times New Roman" w:hAnsi="Times New Roman" w:eastAsia="宋体"/>
                <w:sz w:val="24"/>
                <w:szCs w:val="18"/>
              </w:rPr>
              <w:t>运行期</w:t>
            </w:r>
          </w:p>
        </w:tc>
        <w:tc>
          <w:tcPr>
            <w:tcW w:w="815" w:type="dxa"/>
            <w:vAlign w:val="center"/>
          </w:tcPr>
          <w:p w14:paraId="79086141">
            <w:pPr>
              <w:pStyle w:val="63"/>
              <w:rPr>
                <w:rFonts w:ascii="Times New Roman" w:hAnsi="Times New Roman" w:eastAsia="宋体"/>
                <w:sz w:val="24"/>
                <w:szCs w:val="18"/>
              </w:rPr>
            </w:pPr>
            <w:r>
              <w:rPr>
                <w:rFonts w:ascii="Times New Roman" w:hAnsi="Times New Roman" w:eastAsia="宋体"/>
                <w:sz w:val="24"/>
                <w:szCs w:val="18"/>
              </w:rPr>
              <w:t>生态影响</w:t>
            </w:r>
          </w:p>
        </w:tc>
        <w:tc>
          <w:tcPr>
            <w:tcW w:w="7915" w:type="dxa"/>
            <w:vAlign w:val="center"/>
          </w:tcPr>
          <w:p w14:paraId="43944F33">
            <w:pPr>
              <w:spacing w:line="360" w:lineRule="auto"/>
              <w:ind w:firstLine="480" w:firstLineChars="200"/>
              <w:rPr>
                <w:sz w:val="24"/>
              </w:rPr>
            </w:pPr>
            <w:r>
              <w:rPr>
                <w:rFonts w:hint="eastAsia"/>
                <w:sz w:val="24"/>
              </w:rPr>
              <w:t>运营期工程对水生生态环境的影响主要体现在对鱼类资源的影响。工程建成后，码头为浮码头结构，平台和引桥部分采用透空式高桩结构，鱼类仍可在码头及引桥下面游动，因此尽管项目建设导致过水断面有所减小但是这种减小相对整个航道而言几乎是可以忽略的，其对鱼类的影响十分微小。</w:t>
            </w:r>
          </w:p>
        </w:tc>
      </w:tr>
      <w:tr w14:paraId="07BCF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1" w:hRule="atLeast"/>
        </w:trPr>
        <w:tc>
          <w:tcPr>
            <w:tcW w:w="512" w:type="dxa"/>
            <w:vMerge w:val="continue"/>
            <w:vAlign w:val="center"/>
          </w:tcPr>
          <w:p w14:paraId="62C87081">
            <w:pPr>
              <w:pStyle w:val="63"/>
              <w:rPr>
                <w:rFonts w:ascii="Times New Roman" w:hAnsi="Times New Roman" w:eastAsia="宋体"/>
                <w:sz w:val="24"/>
                <w:szCs w:val="18"/>
              </w:rPr>
            </w:pPr>
          </w:p>
        </w:tc>
        <w:tc>
          <w:tcPr>
            <w:tcW w:w="815" w:type="dxa"/>
            <w:vAlign w:val="center"/>
          </w:tcPr>
          <w:p w14:paraId="2FD902DB">
            <w:pPr>
              <w:pStyle w:val="63"/>
              <w:rPr>
                <w:rFonts w:ascii="Times New Roman" w:hAnsi="Times New Roman" w:eastAsia="宋体"/>
                <w:sz w:val="24"/>
                <w:szCs w:val="18"/>
              </w:rPr>
            </w:pPr>
            <w:r>
              <w:rPr>
                <w:rFonts w:ascii="Times New Roman" w:hAnsi="Times New Roman" w:eastAsia="宋体"/>
                <w:sz w:val="24"/>
                <w:szCs w:val="18"/>
              </w:rPr>
              <w:t>污染影响</w:t>
            </w:r>
          </w:p>
        </w:tc>
        <w:tc>
          <w:tcPr>
            <w:tcW w:w="7915" w:type="dxa"/>
            <w:vAlign w:val="center"/>
          </w:tcPr>
          <w:p w14:paraId="3F615F46">
            <w:pPr>
              <w:autoSpaceDE w:val="0"/>
              <w:autoSpaceDN w:val="0"/>
              <w:adjustRightInd w:val="0"/>
              <w:spacing w:line="520" w:lineRule="exact"/>
              <w:ind w:firstLine="480" w:firstLineChars="200"/>
              <w:rPr>
                <w:sz w:val="24"/>
              </w:rPr>
            </w:pPr>
            <w:r>
              <w:rPr>
                <w:rFonts w:hint="eastAsia"/>
                <w:sz w:val="24"/>
              </w:rPr>
              <w:t>经调查，项目运行期产生的废气、废水、噪声、固废均能得到妥善处理，不会对当环境造成影响。</w:t>
            </w:r>
          </w:p>
        </w:tc>
      </w:tr>
      <w:tr w14:paraId="0778F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8" w:hRule="atLeast"/>
        </w:trPr>
        <w:tc>
          <w:tcPr>
            <w:tcW w:w="512" w:type="dxa"/>
            <w:vMerge w:val="continue"/>
            <w:vAlign w:val="center"/>
          </w:tcPr>
          <w:p w14:paraId="3ADD2BF3">
            <w:pPr>
              <w:pStyle w:val="63"/>
              <w:rPr>
                <w:rFonts w:ascii="Times New Roman" w:hAnsi="Times New Roman" w:eastAsia="宋体"/>
                <w:sz w:val="24"/>
                <w:szCs w:val="18"/>
              </w:rPr>
            </w:pPr>
          </w:p>
        </w:tc>
        <w:tc>
          <w:tcPr>
            <w:tcW w:w="815" w:type="dxa"/>
            <w:vAlign w:val="center"/>
          </w:tcPr>
          <w:p w14:paraId="02808972">
            <w:pPr>
              <w:pStyle w:val="63"/>
              <w:rPr>
                <w:rFonts w:ascii="Times New Roman" w:hAnsi="Times New Roman" w:eastAsia="宋体"/>
                <w:sz w:val="24"/>
                <w:szCs w:val="18"/>
              </w:rPr>
            </w:pPr>
            <w:r>
              <w:rPr>
                <w:rFonts w:ascii="Times New Roman" w:hAnsi="Times New Roman" w:eastAsia="宋体"/>
                <w:sz w:val="24"/>
                <w:szCs w:val="18"/>
              </w:rPr>
              <w:t>社会影响</w:t>
            </w:r>
          </w:p>
        </w:tc>
        <w:tc>
          <w:tcPr>
            <w:tcW w:w="7915" w:type="dxa"/>
            <w:vAlign w:val="center"/>
          </w:tcPr>
          <w:p w14:paraId="48DB9908">
            <w:pPr>
              <w:spacing w:line="360" w:lineRule="auto"/>
              <w:ind w:firstLine="480" w:firstLineChars="200"/>
              <w:rPr>
                <w:sz w:val="24"/>
              </w:rPr>
            </w:pPr>
            <w:r>
              <w:rPr>
                <w:rFonts w:hint="eastAsia"/>
                <w:sz w:val="24"/>
                <w:lang w:eastAsia="zh-CN"/>
              </w:rPr>
              <w:t>武汉港核心区趸船码头改造提升项目（中华路客运码头）</w:t>
            </w:r>
            <w:r>
              <w:rPr>
                <w:rFonts w:hint="eastAsia"/>
                <w:sz w:val="24"/>
              </w:rPr>
              <w:t>的建设，属于</w:t>
            </w:r>
            <w:r>
              <w:rPr>
                <w:rFonts w:hint="eastAsia"/>
                <w:sz w:val="24"/>
                <w:lang w:eastAsia="zh-CN"/>
              </w:rPr>
              <w:t>旅游客运码头</w:t>
            </w:r>
            <w:r>
              <w:rPr>
                <w:rFonts w:hint="eastAsia"/>
                <w:sz w:val="24"/>
              </w:rPr>
              <w:t>，</w:t>
            </w:r>
            <w:r>
              <w:rPr>
                <w:rFonts w:hint="eastAsia"/>
                <w:sz w:val="24"/>
                <w:lang w:eastAsia="zh-CN"/>
              </w:rPr>
              <w:t>可有效带动区域旅游消费，提高武汉旅游整体形象</w:t>
            </w:r>
            <w:r>
              <w:rPr>
                <w:rFonts w:hint="eastAsia"/>
                <w:sz w:val="24"/>
              </w:rPr>
              <w:t>，具有良好的社会效益、经济效益、环境效益。</w:t>
            </w:r>
          </w:p>
        </w:tc>
      </w:tr>
    </w:tbl>
    <w:p w14:paraId="668B7B9D">
      <w:r>
        <w:br w:type="page"/>
      </w:r>
    </w:p>
    <w:p w14:paraId="54E9C727">
      <w:pPr>
        <w:pStyle w:val="4"/>
        <w:rPr>
          <w:rFonts w:ascii="Times New Roman" w:hAnsi="Times New Roman"/>
          <w:color w:val="auto"/>
        </w:rPr>
      </w:pPr>
      <w:bookmarkStart w:id="19" w:name="_Toc520382824"/>
      <w:r>
        <w:rPr>
          <w:rFonts w:ascii="Times New Roman" w:hAnsi="Times New Roman"/>
          <w:color w:val="auto"/>
        </w:rPr>
        <w:t>表</w:t>
      </w:r>
      <w:r>
        <w:rPr>
          <w:rFonts w:hint="eastAsia" w:ascii="Times New Roman" w:hAnsi="Times New Roman"/>
          <w:color w:val="auto"/>
        </w:rPr>
        <w:t>八</w:t>
      </w:r>
      <w:r>
        <w:rPr>
          <w:rFonts w:ascii="Times New Roman" w:hAnsi="Times New Roman"/>
          <w:color w:val="auto"/>
        </w:rPr>
        <w:t xml:space="preserve">  </w:t>
      </w:r>
      <w:r>
        <w:rPr>
          <w:rFonts w:hint="eastAsia" w:ascii="Times New Roman" w:hAnsi="Times New Roman"/>
          <w:color w:val="auto"/>
        </w:rPr>
        <w:t>环境质量</w:t>
      </w:r>
      <w:r>
        <w:rPr>
          <w:rFonts w:ascii="Times New Roman" w:hAnsi="Times New Roman"/>
          <w:color w:val="auto"/>
        </w:rPr>
        <w:t>及污染源监测</w:t>
      </w:r>
      <w:bookmarkEnd w:id="19"/>
    </w:p>
    <w:tbl>
      <w:tblPr>
        <w:tblStyle w:val="24"/>
        <w:tblW w:w="924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42"/>
      </w:tblGrid>
      <w:tr w14:paraId="1D5F5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31" w:hRule="atLeast"/>
        </w:trPr>
        <w:tc>
          <w:tcPr>
            <w:tcW w:w="9242" w:type="dxa"/>
          </w:tcPr>
          <w:p w14:paraId="643D830F">
            <w:pPr>
              <w:spacing w:line="360" w:lineRule="auto"/>
              <w:rPr>
                <w:b/>
                <w:sz w:val="24"/>
              </w:rPr>
            </w:pPr>
            <w:r>
              <w:rPr>
                <w:rFonts w:hint="eastAsia"/>
                <w:b/>
                <w:sz w:val="24"/>
              </w:rPr>
              <w:t>8.1环境质量状况</w:t>
            </w:r>
          </w:p>
          <w:p w14:paraId="623F2C87">
            <w:pPr>
              <w:spacing w:line="360" w:lineRule="auto"/>
              <w:rPr>
                <w:b/>
                <w:sz w:val="24"/>
              </w:rPr>
            </w:pPr>
            <w:r>
              <w:rPr>
                <w:rFonts w:hint="eastAsia"/>
                <w:b/>
                <w:sz w:val="24"/>
              </w:rPr>
              <w:t>8.1.1 地表水环境质量</w:t>
            </w:r>
          </w:p>
          <w:p w14:paraId="4552C62A">
            <w:pPr>
              <w:spacing w:line="360" w:lineRule="auto"/>
              <w:ind w:firstLine="480" w:firstLineChars="200"/>
              <w:rPr>
                <w:sz w:val="24"/>
              </w:rPr>
            </w:pPr>
            <w:r>
              <w:rPr>
                <w:rFonts w:hint="eastAsia"/>
                <w:sz w:val="24"/>
              </w:rPr>
              <w:t>本项目于20</w:t>
            </w:r>
            <w:r>
              <w:rPr>
                <w:rFonts w:hint="eastAsia"/>
                <w:sz w:val="24"/>
                <w:lang w:val="en-US" w:eastAsia="zh-CN"/>
              </w:rPr>
              <w:t>22</w:t>
            </w:r>
            <w:r>
              <w:rPr>
                <w:rFonts w:hint="eastAsia"/>
                <w:sz w:val="24"/>
              </w:rPr>
              <w:t>年</w:t>
            </w:r>
            <w:r>
              <w:rPr>
                <w:rFonts w:hint="eastAsia"/>
                <w:sz w:val="24"/>
                <w:lang w:val="en-US" w:eastAsia="zh-CN"/>
              </w:rPr>
              <w:t>1</w:t>
            </w:r>
            <w:r>
              <w:rPr>
                <w:rFonts w:hint="eastAsia"/>
                <w:sz w:val="24"/>
              </w:rPr>
              <w:t>月开工建设，202</w:t>
            </w:r>
            <w:r>
              <w:rPr>
                <w:rFonts w:hint="eastAsia"/>
                <w:sz w:val="24"/>
                <w:lang w:val="en-US" w:eastAsia="zh-CN"/>
              </w:rPr>
              <w:t>4</w:t>
            </w:r>
            <w:r>
              <w:rPr>
                <w:rFonts w:hint="eastAsia"/>
                <w:sz w:val="24"/>
              </w:rPr>
              <w:t>年</w:t>
            </w:r>
            <w:r>
              <w:rPr>
                <w:rFonts w:hint="eastAsia"/>
                <w:sz w:val="24"/>
                <w:lang w:val="en-US" w:eastAsia="zh-CN"/>
              </w:rPr>
              <w:t>3</w:t>
            </w:r>
            <w:r>
              <w:rPr>
                <w:rFonts w:hint="eastAsia"/>
                <w:sz w:val="24"/>
              </w:rPr>
              <w:t>月竣工，故本次采用《202</w:t>
            </w:r>
            <w:r>
              <w:rPr>
                <w:rFonts w:hint="eastAsia"/>
                <w:sz w:val="24"/>
                <w:lang w:val="en-US" w:eastAsia="zh-CN"/>
              </w:rPr>
              <w:t>3</w:t>
            </w:r>
            <w:r>
              <w:rPr>
                <w:rFonts w:hint="eastAsia"/>
                <w:sz w:val="24"/>
              </w:rPr>
              <w:t>年武汉市生态环境状况公报》中的监测数据进行分析，监测数据及监测结果见表8-1。</w:t>
            </w:r>
          </w:p>
          <w:p w14:paraId="47EE4FF4">
            <w:pPr>
              <w:spacing w:before="156" w:beforeLines="50"/>
              <w:ind w:firstLine="420" w:firstLineChars="200"/>
              <w:jc w:val="center"/>
              <w:rPr>
                <w:rFonts w:eastAsia="黑体"/>
                <w:bCs/>
              </w:rPr>
            </w:pPr>
            <w:r>
              <w:rPr>
                <w:rFonts w:hint="eastAsia" w:eastAsia="黑体"/>
                <w:bCs/>
              </w:rPr>
              <w:t>表8-1  202</w:t>
            </w:r>
            <w:r>
              <w:rPr>
                <w:rFonts w:hint="eastAsia" w:eastAsia="黑体"/>
                <w:bCs/>
                <w:lang w:val="en-US" w:eastAsia="zh-CN"/>
              </w:rPr>
              <w:t>3</w:t>
            </w:r>
            <w:r>
              <w:rPr>
                <w:rFonts w:hint="eastAsia" w:eastAsia="黑体"/>
                <w:bCs/>
              </w:rPr>
              <w:t>年</w:t>
            </w:r>
            <w:r>
              <w:rPr>
                <w:rFonts w:hint="eastAsia" w:eastAsia="黑体"/>
                <w:bCs/>
                <w:lang w:eastAsia="zh-CN"/>
              </w:rPr>
              <w:t>长</w:t>
            </w:r>
            <w:r>
              <w:rPr>
                <w:rFonts w:hint="eastAsia" w:eastAsia="黑体"/>
                <w:bCs/>
              </w:rPr>
              <w:t>江武汉段水质监测统计结果</w:t>
            </w:r>
          </w:p>
          <w:tbl>
            <w:tblPr>
              <w:tblStyle w:val="23"/>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75"/>
              <w:gridCol w:w="1369"/>
              <w:gridCol w:w="1595"/>
              <w:gridCol w:w="1597"/>
              <w:gridCol w:w="1360"/>
              <w:gridCol w:w="1830"/>
            </w:tblGrid>
            <w:tr w14:paraId="136053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706" w:type="pct"/>
                  <w:vAlign w:val="center"/>
                </w:tcPr>
                <w:p w14:paraId="759C2404">
                  <w:pPr>
                    <w:pStyle w:val="12"/>
                    <w:adjustRightInd w:val="0"/>
                    <w:jc w:val="center"/>
                    <w:rPr>
                      <w:rFonts w:ascii="Times New Roman" w:hAnsi="Times New Roman"/>
                      <w:sz w:val="18"/>
                      <w:szCs w:val="18"/>
                    </w:rPr>
                  </w:pPr>
                  <w:r>
                    <w:rPr>
                      <w:rFonts w:ascii="Times New Roman" w:hAnsi="宋体"/>
                      <w:sz w:val="18"/>
                      <w:szCs w:val="18"/>
                    </w:rPr>
                    <w:t>水体</w:t>
                  </w:r>
                </w:p>
              </w:tc>
              <w:tc>
                <w:tcPr>
                  <w:tcW w:w="758" w:type="pct"/>
                  <w:vAlign w:val="center"/>
                </w:tcPr>
                <w:p w14:paraId="56742B0B">
                  <w:pPr>
                    <w:pStyle w:val="12"/>
                    <w:adjustRightInd w:val="0"/>
                    <w:jc w:val="center"/>
                    <w:rPr>
                      <w:rFonts w:ascii="Times New Roman" w:hAnsi="宋体"/>
                      <w:sz w:val="18"/>
                      <w:szCs w:val="18"/>
                    </w:rPr>
                  </w:pPr>
                  <w:r>
                    <w:rPr>
                      <w:rFonts w:hint="eastAsia" w:ascii="Times New Roman" w:hAnsi="宋体"/>
                      <w:sz w:val="18"/>
                      <w:szCs w:val="18"/>
                    </w:rPr>
                    <w:t>年度</w:t>
                  </w:r>
                </w:p>
              </w:tc>
              <w:tc>
                <w:tcPr>
                  <w:tcW w:w="883" w:type="pct"/>
                  <w:vAlign w:val="center"/>
                </w:tcPr>
                <w:p w14:paraId="10BC2D46">
                  <w:pPr>
                    <w:pStyle w:val="12"/>
                    <w:adjustRightInd w:val="0"/>
                    <w:jc w:val="center"/>
                    <w:rPr>
                      <w:rFonts w:ascii="Times New Roman" w:hAnsi="Times New Roman"/>
                      <w:sz w:val="18"/>
                      <w:szCs w:val="18"/>
                    </w:rPr>
                  </w:pPr>
                  <w:r>
                    <w:rPr>
                      <w:rFonts w:ascii="Times New Roman" w:hAnsi="宋体"/>
                      <w:sz w:val="18"/>
                      <w:szCs w:val="18"/>
                    </w:rPr>
                    <w:t>监测断面</w:t>
                  </w:r>
                </w:p>
              </w:tc>
              <w:tc>
                <w:tcPr>
                  <w:tcW w:w="884" w:type="pct"/>
                  <w:vAlign w:val="center"/>
                </w:tcPr>
                <w:p w14:paraId="3ED3539D">
                  <w:pPr>
                    <w:pStyle w:val="12"/>
                    <w:adjustRightInd w:val="0"/>
                    <w:jc w:val="center"/>
                    <w:rPr>
                      <w:rFonts w:ascii="Times New Roman" w:hAnsi="Times New Roman"/>
                      <w:sz w:val="18"/>
                      <w:szCs w:val="18"/>
                    </w:rPr>
                  </w:pPr>
                  <w:r>
                    <w:rPr>
                      <w:rFonts w:ascii="Times New Roman" w:hAnsi="宋体"/>
                      <w:sz w:val="18"/>
                      <w:szCs w:val="18"/>
                    </w:rPr>
                    <w:t>功能类别</w:t>
                  </w:r>
                </w:p>
              </w:tc>
              <w:tc>
                <w:tcPr>
                  <w:tcW w:w="753" w:type="pct"/>
                  <w:vAlign w:val="center"/>
                </w:tcPr>
                <w:p w14:paraId="148F529A">
                  <w:pPr>
                    <w:pStyle w:val="12"/>
                    <w:adjustRightInd w:val="0"/>
                    <w:jc w:val="center"/>
                    <w:rPr>
                      <w:rFonts w:ascii="Times New Roman" w:hAnsi="Times New Roman"/>
                      <w:sz w:val="18"/>
                      <w:szCs w:val="18"/>
                    </w:rPr>
                  </w:pPr>
                  <w:r>
                    <w:rPr>
                      <w:rFonts w:ascii="Times New Roman" w:hAnsi="宋体"/>
                      <w:sz w:val="18"/>
                      <w:szCs w:val="18"/>
                    </w:rPr>
                    <w:t>水质现状</w:t>
                  </w:r>
                </w:p>
              </w:tc>
              <w:tc>
                <w:tcPr>
                  <w:tcW w:w="1013" w:type="pct"/>
                  <w:vAlign w:val="center"/>
                </w:tcPr>
                <w:p w14:paraId="06CCC84B">
                  <w:pPr>
                    <w:pStyle w:val="12"/>
                    <w:adjustRightInd w:val="0"/>
                    <w:jc w:val="center"/>
                    <w:rPr>
                      <w:rFonts w:ascii="Times New Roman" w:hAnsi="Times New Roman"/>
                      <w:sz w:val="18"/>
                      <w:szCs w:val="18"/>
                    </w:rPr>
                  </w:pPr>
                  <w:r>
                    <w:rPr>
                      <w:rFonts w:ascii="Times New Roman" w:hAnsi="宋体"/>
                      <w:sz w:val="18"/>
                      <w:szCs w:val="18"/>
                    </w:rPr>
                    <w:t>主要污染物及其超标倍数</w:t>
                  </w:r>
                </w:p>
              </w:tc>
            </w:tr>
            <w:tr w14:paraId="1C5373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706" w:type="pct"/>
                  <w:vMerge w:val="restart"/>
                  <w:vAlign w:val="center"/>
                </w:tcPr>
                <w:p w14:paraId="20B87114">
                  <w:pPr>
                    <w:jc w:val="center"/>
                    <w:rPr>
                      <w:rFonts w:hAnsi="宋体"/>
                      <w:sz w:val="18"/>
                      <w:szCs w:val="18"/>
                    </w:rPr>
                  </w:pPr>
                  <w:r>
                    <w:rPr>
                      <w:rFonts w:hint="eastAsia"/>
                      <w:sz w:val="18"/>
                      <w:szCs w:val="18"/>
                      <w:lang w:eastAsia="zh-CN"/>
                    </w:rPr>
                    <w:t>长</w:t>
                  </w:r>
                  <w:r>
                    <w:rPr>
                      <w:rFonts w:hint="eastAsia"/>
                      <w:sz w:val="18"/>
                      <w:szCs w:val="18"/>
                    </w:rPr>
                    <w:t>江</w:t>
                  </w:r>
                  <w:r>
                    <w:rPr>
                      <w:sz w:val="18"/>
                      <w:szCs w:val="18"/>
                    </w:rPr>
                    <w:t>武汉段</w:t>
                  </w:r>
                </w:p>
              </w:tc>
              <w:tc>
                <w:tcPr>
                  <w:tcW w:w="758" w:type="pct"/>
                  <w:vMerge w:val="restart"/>
                  <w:vAlign w:val="center"/>
                </w:tcPr>
                <w:p w14:paraId="028A7A16">
                  <w:pPr>
                    <w:pStyle w:val="12"/>
                    <w:adjustRightInd w:val="0"/>
                    <w:jc w:val="center"/>
                    <w:rPr>
                      <w:rFonts w:hint="eastAsia" w:ascii="Times New Roman" w:hAnsi="宋体" w:eastAsia="宋体"/>
                      <w:sz w:val="18"/>
                      <w:szCs w:val="18"/>
                      <w:lang w:eastAsia="zh-CN"/>
                    </w:rPr>
                  </w:pPr>
                  <w:r>
                    <w:rPr>
                      <w:rFonts w:hint="eastAsia" w:ascii="Times New Roman" w:hAnsi="宋体"/>
                      <w:sz w:val="18"/>
                      <w:szCs w:val="18"/>
                    </w:rPr>
                    <w:t>2</w:t>
                  </w:r>
                  <w:r>
                    <w:rPr>
                      <w:rFonts w:ascii="Times New Roman" w:hAnsi="宋体"/>
                      <w:sz w:val="18"/>
                      <w:szCs w:val="18"/>
                    </w:rPr>
                    <w:t>0</w:t>
                  </w:r>
                  <w:r>
                    <w:rPr>
                      <w:rFonts w:hint="eastAsia" w:ascii="Times New Roman" w:hAnsi="宋体"/>
                      <w:sz w:val="18"/>
                      <w:szCs w:val="18"/>
                    </w:rPr>
                    <w:t>2</w:t>
                  </w:r>
                  <w:r>
                    <w:rPr>
                      <w:rFonts w:hint="eastAsia" w:ascii="Times New Roman" w:hAnsi="宋体"/>
                      <w:sz w:val="18"/>
                      <w:szCs w:val="18"/>
                      <w:lang w:val="en-US" w:eastAsia="zh-CN"/>
                    </w:rPr>
                    <w:t>3</w:t>
                  </w:r>
                </w:p>
              </w:tc>
              <w:tc>
                <w:tcPr>
                  <w:tcW w:w="883" w:type="pct"/>
                  <w:vAlign w:val="center"/>
                </w:tcPr>
                <w:p w14:paraId="6B8EAA8B">
                  <w:pPr>
                    <w:widowControl/>
                    <w:jc w:val="center"/>
                    <w:rPr>
                      <w:rFonts w:ascii="Times New Roman" w:hAnsi="宋体"/>
                      <w:sz w:val="18"/>
                      <w:szCs w:val="18"/>
                    </w:rPr>
                  </w:pPr>
                  <w:r>
                    <w:rPr>
                      <w:kern w:val="0"/>
                      <w:sz w:val="18"/>
                      <w:szCs w:val="18"/>
                    </w:rPr>
                    <w:t>纱帽</w:t>
                  </w:r>
                </w:p>
              </w:tc>
              <w:tc>
                <w:tcPr>
                  <w:tcW w:w="884" w:type="pct"/>
                  <w:vAlign w:val="center"/>
                </w:tcPr>
                <w:p w14:paraId="68ACA959">
                  <w:pPr>
                    <w:spacing w:line="300" w:lineRule="auto"/>
                    <w:jc w:val="center"/>
                    <w:rPr>
                      <w:rFonts w:ascii="Times New Roman" w:hAnsi="宋体"/>
                      <w:sz w:val="18"/>
                      <w:szCs w:val="18"/>
                    </w:rPr>
                  </w:pPr>
                  <w:r>
                    <w:rPr>
                      <w:bCs/>
                      <w:color w:val="000000"/>
                      <w:sz w:val="18"/>
                      <w:szCs w:val="18"/>
                    </w:rPr>
                    <w:t>Ⅲ</w:t>
                  </w:r>
                </w:p>
              </w:tc>
              <w:tc>
                <w:tcPr>
                  <w:tcW w:w="753" w:type="pct"/>
                  <w:vAlign w:val="center"/>
                </w:tcPr>
                <w:p w14:paraId="2ED1B335">
                  <w:pPr>
                    <w:widowControl/>
                    <w:jc w:val="center"/>
                    <w:rPr>
                      <w:sz w:val="18"/>
                      <w:szCs w:val="18"/>
                    </w:rPr>
                  </w:pPr>
                  <w:r>
                    <w:rPr>
                      <w:kern w:val="0"/>
                      <w:sz w:val="18"/>
                      <w:szCs w:val="18"/>
                    </w:rPr>
                    <w:t>Ⅱ</w:t>
                  </w:r>
                </w:p>
              </w:tc>
              <w:tc>
                <w:tcPr>
                  <w:tcW w:w="1013" w:type="pct"/>
                  <w:vAlign w:val="center"/>
                </w:tcPr>
                <w:p w14:paraId="081C8E49">
                  <w:pPr>
                    <w:pStyle w:val="12"/>
                    <w:adjustRightInd w:val="0"/>
                    <w:jc w:val="center"/>
                    <w:rPr>
                      <w:rFonts w:ascii="Times New Roman" w:hAnsi="宋体"/>
                      <w:sz w:val="18"/>
                      <w:szCs w:val="18"/>
                    </w:rPr>
                  </w:pPr>
                  <w:r>
                    <w:rPr>
                      <w:rFonts w:ascii="Times New Roman"/>
                      <w:sz w:val="18"/>
                      <w:szCs w:val="18"/>
                    </w:rPr>
                    <w:t>无</w:t>
                  </w:r>
                </w:p>
              </w:tc>
            </w:tr>
            <w:tr w14:paraId="4B8A3F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706" w:type="pct"/>
                  <w:vMerge w:val="continue"/>
                  <w:vAlign w:val="center"/>
                </w:tcPr>
                <w:p w14:paraId="7B95A45B">
                  <w:pPr>
                    <w:jc w:val="center"/>
                    <w:rPr>
                      <w:rFonts w:hAnsi="宋体"/>
                      <w:sz w:val="18"/>
                      <w:szCs w:val="18"/>
                    </w:rPr>
                  </w:pPr>
                </w:p>
              </w:tc>
              <w:tc>
                <w:tcPr>
                  <w:tcW w:w="758" w:type="pct"/>
                  <w:vMerge w:val="continue"/>
                  <w:vAlign w:val="center"/>
                </w:tcPr>
                <w:p w14:paraId="472BBB36">
                  <w:pPr>
                    <w:pStyle w:val="12"/>
                    <w:adjustRightInd w:val="0"/>
                    <w:jc w:val="center"/>
                    <w:rPr>
                      <w:rFonts w:ascii="Times New Roman" w:hAnsi="宋体"/>
                      <w:sz w:val="18"/>
                      <w:szCs w:val="18"/>
                    </w:rPr>
                  </w:pPr>
                </w:p>
              </w:tc>
              <w:tc>
                <w:tcPr>
                  <w:tcW w:w="883" w:type="pct"/>
                  <w:vAlign w:val="center"/>
                </w:tcPr>
                <w:p w14:paraId="51E07CFA">
                  <w:pPr>
                    <w:widowControl/>
                    <w:jc w:val="center"/>
                    <w:rPr>
                      <w:rFonts w:ascii="Times New Roman" w:hAnsi="宋体"/>
                      <w:sz w:val="18"/>
                      <w:szCs w:val="18"/>
                    </w:rPr>
                  </w:pPr>
                  <w:r>
                    <w:rPr>
                      <w:kern w:val="0"/>
                      <w:sz w:val="18"/>
                      <w:szCs w:val="18"/>
                    </w:rPr>
                    <w:t>杨泗港</w:t>
                  </w:r>
                </w:p>
              </w:tc>
              <w:tc>
                <w:tcPr>
                  <w:tcW w:w="884" w:type="pct"/>
                  <w:vAlign w:val="center"/>
                </w:tcPr>
                <w:p w14:paraId="766A0988">
                  <w:pPr>
                    <w:spacing w:line="300" w:lineRule="auto"/>
                    <w:jc w:val="center"/>
                    <w:rPr>
                      <w:rFonts w:ascii="Times New Roman" w:hAnsi="宋体"/>
                      <w:sz w:val="18"/>
                      <w:szCs w:val="18"/>
                    </w:rPr>
                  </w:pPr>
                  <w:r>
                    <w:rPr>
                      <w:bCs/>
                      <w:color w:val="000000"/>
                      <w:sz w:val="18"/>
                      <w:szCs w:val="18"/>
                    </w:rPr>
                    <w:t>Ⅲ</w:t>
                  </w:r>
                </w:p>
              </w:tc>
              <w:tc>
                <w:tcPr>
                  <w:tcW w:w="753" w:type="pct"/>
                  <w:vAlign w:val="center"/>
                </w:tcPr>
                <w:p w14:paraId="7871772B">
                  <w:pPr>
                    <w:widowControl/>
                    <w:jc w:val="center"/>
                    <w:rPr>
                      <w:sz w:val="18"/>
                      <w:szCs w:val="18"/>
                    </w:rPr>
                  </w:pPr>
                  <w:r>
                    <w:rPr>
                      <w:kern w:val="0"/>
                      <w:sz w:val="18"/>
                      <w:szCs w:val="18"/>
                    </w:rPr>
                    <w:t>Ⅱ</w:t>
                  </w:r>
                </w:p>
              </w:tc>
              <w:tc>
                <w:tcPr>
                  <w:tcW w:w="1013" w:type="pct"/>
                  <w:vAlign w:val="center"/>
                </w:tcPr>
                <w:p w14:paraId="507EAF81">
                  <w:pPr>
                    <w:pStyle w:val="12"/>
                    <w:adjustRightInd w:val="0"/>
                    <w:jc w:val="center"/>
                    <w:rPr>
                      <w:rFonts w:ascii="Times New Roman" w:hAnsi="宋体"/>
                      <w:sz w:val="18"/>
                      <w:szCs w:val="18"/>
                    </w:rPr>
                  </w:pPr>
                  <w:r>
                    <w:rPr>
                      <w:rFonts w:ascii="Times New Roman"/>
                      <w:sz w:val="18"/>
                      <w:szCs w:val="18"/>
                    </w:rPr>
                    <w:t>无</w:t>
                  </w:r>
                </w:p>
              </w:tc>
            </w:tr>
            <w:tr w14:paraId="18E8E1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706" w:type="pct"/>
                  <w:vMerge w:val="continue"/>
                  <w:vAlign w:val="center"/>
                </w:tcPr>
                <w:p w14:paraId="00B02310">
                  <w:pPr>
                    <w:jc w:val="center"/>
                    <w:rPr>
                      <w:rFonts w:hAnsi="宋体"/>
                      <w:sz w:val="18"/>
                      <w:szCs w:val="18"/>
                    </w:rPr>
                  </w:pPr>
                </w:p>
              </w:tc>
              <w:tc>
                <w:tcPr>
                  <w:tcW w:w="758" w:type="pct"/>
                  <w:vMerge w:val="continue"/>
                  <w:vAlign w:val="center"/>
                </w:tcPr>
                <w:p w14:paraId="6195E905">
                  <w:pPr>
                    <w:pStyle w:val="12"/>
                    <w:adjustRightInd w:val="0"/>
                    <w:jc w:val="center"/>
                    <w:rPr>
                      <w:rFonts w:ascii="Times New Roman" w:hAnsi="宋体"/>
                      <w:sz w:val="18"/>
                      <w:szCs w:val="18"/>
                    </w:rPr>
                  </w:pPr>
                </w:p>
              </w:tc>
              <w:tc>
                <w:tcPr>
                  <w:tcW w:w="883" w:type="pct"/>
                  <w:vAlign w:val="center"/>
                </w:tcPr>
                <w:p w14:paraId="5CA5BD15">
                  <w:pPr>
                    <w:widowControl/>
                    <w:jc w:val="center"/>
                    <w:rPr>
                      <w:rFonts w:ascii="Times New Roman" w:hAnsi="宋体"/>
                      <w:sz w:val="18"/>
                      <w:szCs w:val="18"/>
                    </w:rPr>
                  </w:pPr>
                  <w:r>
                    <w:rPr>
                      <w:kern w:val="0"/>
                      <w:sz w:val="18"/>
                      <w:szCs w:val="18"/>
                    </w:rPr>
                    <w:t>白浒山</w:t>
                  </w:r>
                </w:p>
              </w:tc>
              <w:tc>
                <w:tcPr>
                  <w:tcW w:w="884" w:type="pct"/>
                  <w:vAlign w:val="center"/>
                </w:tcPr>
                <w:p w14:paraId="7C193C05">
                  <w:pPr>
                    <w:spacing w:line="300" w:lineRule="auto"/>
                    <w:jc w:val="center"/>
                    <w:rPr>
                      <w:rFonts w:ascii="Times New Roman" w:hAnsi="宋体"/>
                      <w:sz w:val="18"/>
                      <w:szCs w:val="18"/>
                    </w:rPr>
                  </w:pPr>
                  <w:r>
                    <w:rPr>
                      <w:bCs/>
                      <w:color w:val="000000"/>
                      <w:sz w:val="18"/>
                      <w:szCs w:val="18"/>
                    </w:rPr>
                    <w:t>Ⅲ</w:t>
                  </w:r>
                </w:p>
              </w:tc>
              <w:tc>
                <w:tcPr>
                  <w:tcW w:w="753" w:type="pct"/>
                  <w:vAlign w:val="center"/>
                </w:tcPr>
                <w:p w14:paraId="40B98B03">
                  <w:pPr>
                    <w:widowControl/>
                    <w:jc w:val="center"/>
                    <w:rPr>
                      <w:sz w:val="18"/>
                      <w:szCs w:val="18"/>
                    </w:rPr>
                  </w:pPr>
                  <w:r>
                    <w:rPr>
                      <w:kern w:val="0"/>
                      <w:sz w:val="18"/>
                      <w:szCs w:val="18"/>
                    </w:rPr>
                    <w:t>Ⅱ</w:t>
                  </w:r>
                </w:p>
              </w:tc>
              <w:tc>
                <w:tcPr>
                  <w:tcW w:w="1013" w:type="pct"/>
                  <w:vAlign w:val="center"/>
                </w:tcPr>
                <w:p w14:paraId="1BE7FC79">
                  <w:pPr>
                    <w:pStyle w:val="12"/>
                    <w:adjustRightInd w:val="0"/>
                    <w:jc w:val="center"/>
                    <w:rPr>
                      <w:rFonts w:ascii="Times New Roman" w:hAnsi="宋体"/>
                      <w:sz w:val="18"/>
                      <w:szCs w:val="18"/>
                    </w:rPr>
                  </w:pPr>
                  <w:r>
                    <w:rPr>
                      <w:rFonts w:ascii="Times New Roman"/>
                      <w:sz w:val="18"/>
                      <w:szCs w:val="18"/>
                    </w:rPr>
                    <w:t>无</w:t>
                  </w:r>
                </w:p>
              </w:tc>
            </w:tr>
          </w:tbl>
          <w:p w14:paraId="78370C48">
            <w:pPr>
              <w:spacing w:line="360" w:lineRule="auto"/>
              <w:ind w:firstLine="480" w:firstLineChars="200"/>
              <w:rPr>
                <w:sz w:val="24"/>
              </w:rPr>
            </w:pPr>
            <w:r>
              <w:rPr>
                <w:rFonts w:hint="eastAsia"/>
                <w:sz w:val="24"/>
              </w:rPr>
              <w:t>由表可看出，项目施工期及运营期间</w:t>
            </w:r>
            <w:r>
              <w:rPr>
                <w:rFonts w:hint="eastAsia"/>
                <w:sz w:val="24"/>
                <w:lang w:eastAsia="zh-CN"/>
              </w:rPr>
              <w:t>长</w:t>
            </w:r>
            <w:r>
              <w:rPr>
                <w:rFonts w:hint="eastAsia"/>
                <w:sz w:val="24"/>
              </w:rPr>
              <w:t>江武汉段各断面水质能够满足《地表水环境质量标准》（GB3838-2002）III类标准。</w:t>
            </w:r>
          </w:p>
          <w:p w14:paraId="652F832A">
            <w:pPr>
              <w:spacing w:line="360" w:lineRule="auto"/>
              <w:rPr>
                <w:rFonts w:hint="eastAsia"/>
                <w:b/>
                <w:sz w:val="24"/>
              </w:rPr>
            </w:pPr>
            <w:r>
              <w:rPr>
                <w:rFonts w:hint="eastAsia"/>
                <w:b/>
                <w:sz w:val="24"/>
              </w:rPr>
              <w:t>8.2污染源监测</w:t>
            </w:r>
          </w:p>
          <w:p w14:paraId="28F49B90">
            <w:pPr>
              <w:spacing w:line="360" w:lineRule="auto"/>
              <w:rPr>
                <w:b/>
                <w:sz w:val="24"/>
              </w:rPr>
            </w:pPr>
            <w:r>
              <w:rPr>
                <w:rFonts w:hint="eastAsia"/>
                <w:b/>
                <w:sz w:val="24"/>
              </w:rPr>
              <w:t>8.2.1运营期</w:t>
            </w:r>
            <w:r>
              <w:rPr>
                <w:rFonts w:hint="eastAsia"/>
                <w:b/>
                <w:sz w:val="24"/>
                <w:lang w:eastAsia="zh-CN"/>
              </w:rPr>
              <w:t>废水</w:t>
            </w:r>
            <w:r>
              <w:rPr>
                <w:rFonts w:hint="eastAsia"/>
                <w:b/>
                <w:sz w:val="24"/>
              </w:rPr>
              <w:t>监测</w:t>
            </w:r>
          </w:p>
          <w:p w14:paraId="6F6DA755">
            <w:pPr>
              <w:pStyle w:val="2"/>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本项目竣工环境保护验收期间，委托湖北弗思检测技术有限公司于2024年3月21日~3月22日对项目场界四周进行了</w:t>
            </w:r>
            <w:r>
              <w:rPr>
                <w:rFonts w:hint="eastAsia" w:cs="Times New Roman"/>
                <w:kern w:val="2"/>
                <w:sz w:val="24"/>
                <w:szCs w:val="24"/>
                <w:lang w:val="en-US" w:eastAsia="zh-CN" w:bidi="ar-SA"/>
              </w:rPr>
              <w:t>废水</w:t>
            </w:r>
            <w:r>
              <w:rPr>
                <w:rFonts w:hint="eastAsia" w:ascii="Times New Roman" w:hAnsi="Times New Roman" w:eastAsia="宋体" w:cs="Times New Roman"/>
                <w:kern w:val="2"/>
                <w:sz w:val="24"/>
                <w:szCs w:val="24"/>
                <w:lang w:val="en-US" w:eastAsia="zh-CN" w:bidi="ar-SA"/>
              </w:rPr>
              <w:t>检测，</w:t>
            </w:r>
            <w:r>
              <w:rPr>
                <w:rFonts w:hint="eastAsia" w:cs="Times New Roman"/>
                <w:kern w:val="2"/>
                <w:sz w:val="24"/>
                <w:szCs w:val="24"/>
                <w:lang w:val="en-US" w:eastAsia="zh-CN" w:bidi="ar-SA"/>
              </w:rPr>
              <w:t>排放点位详见附图，</w:t>
            </w:r>
            <w:r>
              <w:rPr>
                <w:rFonts w:hint="eastAsia" w:ascii="Times New Roman" w:hAnsi="Times New Roman" w:eastAsia="宋体" w:cs="Times New Roman"/>
                <w:kern w:val="2"/>
                <w:sz w:val="24"/>
                <w:szCs w:val="24"/>
                <w:lang w:val="en-US" w:eastAsia="zh-CN" w:bidi="ar-SA"/>
              </w:rPr>
              <w:t>检测报告见附件8，检测结果见表8-2-1</w:t>
            </w:r>
            <w:r>
              <w:rPr>
                <w:rFonts w:hint="eastAsia" w:cs="Times New Roman"/>
                <w:kern w:val="2"/>
                <w:sz w:val="24"/>
                <w:szCs w:val="24"/>
                <w:lang w:val="en-US" w:eastAsia="zh-CN" w:bidi="ar-SA"/>
              </w:rPr>
              <w:t>。</w:t>
            </w:r>
          </w:p>
          <w:p w14:paraId="50B71B63">
            <w:pPr>
              <w:spacing w:line="360" w:lineRule="auto"/>
              <w:jc w:val="center"/>
              <w:rPr>
                <w:sz w:val="24"/>
              </w:rPr>
            </w:pPr>
            <w:r>
              <w:rPr>
                <w:rFonts w:hint="eastAsia" w:eastAsia="黑体"/>
                <w:bCs/>
              </w:rPr>
              <w:t>表8-</w:t>
            </w:r>
            <w:r>
              <w:rPr>
                <w:rFonts w:eastAsia="黑体"/>
                <w:bCs/>
              </w:rPr>
              <w:t>2</w:t>
            </w:r>
            <w:r>
              <w:rPr>
                <w:rFonts w:hint="eastAsia" w:eastAsia="黑体"/>
                <w:bCs/>
                <w:lang w:val="en-US" w:eastAsia="zh-CN"/>
              </w:rPr>
              <w:t>-1</w:t>
            </w:r>
            <w:r>
              <w:rPr>
                <w:rFonts w:hint="eastAsia" w:eastAsia="黑体"/>
                <w:bCs/>
              </w:rPr>
              <w:t xml:space="preserve">  运营期</w:t>
            </w:r>
            <w:r>
              <w:rPr>
                <w:rFonts w:hint="eastAsia" w:eastAsia="黑体"/>
                <w:bCs/>
                <w:lang w:eastAsia="zh-CN"/>
              </w:rPr>
              <w:t>废水</w:t>
            </w:r>
            <w:r>
              <w:rPr>
                <w:rFonts w:hint="eastAsia" w:eastAsia="黑体"/>
                <w:bCs/>
              </w:rPr>
              <w:t>监测结果一览表</w:t>
            </w:r>
          </w:p>
          <w:tbl>
            <w:tblPr>
              <w:tblStyle w:val="23"/>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68"/>
              <w:gridCol w:w="984"/>
              <w:gridCol w:w="1181"/>
              <w:gridCol w:w="968"/>
              <w:gridCol w:w="4"/>
              <w:gridCol w:w="961"/>
              <w:gridCol w:w="932"/>
              <w:gridCol w:w="33"/>
              <w:gridCol w:w="992"/>
              <w:gridCol w:w="1035"/>
              <w:gridCol w:w="968"/>
            </w:tblGrid>
            <w:tr w14:paraId="5BEDA0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36" w:type="pct"/>
                  <w:vMerge w:val="restart"/>
                  <w:tcBorders>
                    <w:top w:val="single" w:color="auto" w:sz="12" w:space="0"/>
                    <w:bottom w:val="single" w:color="auto" w:sz="4" w:space="0"/>
                  </w:tcBorders>
                  <w:shd w:val="clear" w:color="auto" w:fill="auto"/>
                  <w:vAlign w:val="center"/>
                </w:tcPr>
                <w:p w14:paraId="543BAC92">
                  <w:pPr>
                    <w:widowControl/>
                    <w:jc w:val="center"/>
                    <w:rPr>
                      <w:rFonts w:cs="宋体"/>
                      <w:kern w:val="0"/>
                      <w:sz w:val="18"/>
                      <w:szCs w:val="18"/>
                    </w:rPr>
                  </w:pPr>
                  <w:r>
                    <w:rPr>
                      <w:rFonts w:hint="eastAsia" w:cs="宋体"/>
                      <w:kern w:val="0"/>
                      <w:sz w:val="18"/>
                      <w:szCs w:val="18"/>
                    </w:rPr>
                    <w:t>监测日期</w:t>
                  </w:r>
                </w:p>
              </w:tc>
              <w:tc>
                <w:tcPr>
                  <w:tcW w:w="545" w:type="pct"/>
                  <w:vMerge w:val="restart"/>
                  <w:tcBorders>
                    <w:top w:val="single" w:color="auto" w:sz="12" w:space="0"/>
                  </w:tcBorders>
                  <w:shd w:val="clear" w:color="auto" w:fill="auto"/>
                  <w:vAlign w:val="center"/>
                </w:tcPr>
                <w:p w14:paraId="5C23165F">
                  <w:pPr>
                    <w:widowControl/>
                    <w:jc w:val="center"/>
                    <w:rPr>
                      <w:rFonts w:hint="eastAsia" w:cs="宋体"/>
                      <w:kern w:val="0"/>
                      <w:sz w:val="18"/>
                      <w:szCs w:val="18"/>
                    </w:rPr>
                  </w:pPr>
                  <w:r>
                    <w:rPr>
                      <w:rFonts w:hint="eastAsia" w:cs="宋体"/>
                      <w:kern w:val="0"/>
                      <w:sz w:val="18"/>
                      <w:szCs w:val="18"/>
                    </w:rPr>
                    <w:t>监测点位</w:t>
                  </w:r>
                </w:p>
              </w:tc>
              <w:tc>
                <w:tcPr>
                  <w:tcW w:w="654" w:type="pct"/>
                  <w:vMerge w:val="restart"/>
                  <w:tcBorders>
                    <w:top w:val="single" w:color="auto" w:sz="12" w:space="0"/>
                    <w:bottom w:val="single" w:color="auto" w:sz="4" w:space="0"/>
                  </w:tcBorders>
                  <w:shd w:val="clear" w:color="auto" w:fill="auto"/>
                  <w:vAlign w:val="center"/>
                </w:tcPr>
                <w:p w14:paraId="05AE8485">
                  <w:pPr>
                    <w:widowControl/>
                    <w:jc w:val="center"/>
                    <w:rPr>
                      <w:rFonts w:hint="eastAsia" w:eastAsia="宋体" w:cs="宋体"/>
                      <w:kern w:val="0"/>
                      <w:sz w:val="18"/>
                      <w:szCs w:val="18"/>
                      <w:lang w:eastAsia="zh-CN"/>
                    </w:rPr>
                  </w:pPr>
                  <w:r>
                    <w:rPr>
                      <w:rFonts w:hint="eastAsia" w:cs="宋体"/>
                      <w:kern w:val="0"/>
                      <w:sz w:val="18"/>
                      <w:szCs w:val="18"/>
                      <w:lang w:eastAsia="zh-CN"/>
                    </w:rPr>
                    <w:t>监测项目</w:t>
                  </w:r>
                </w:p>
              </w:tc>
              <w:tc>
                <w:tcPr>
                  <w:tcW w:w="2153" w:type="pct"/>
                  <w:gridSpan w:val="6"/>
                  <w:tcBorders>
                    <w:top w:val="single" w:color="auto" w:sz="12" w:space="0"/>
                    <w:bottom w:val="single" w:color="auto" w:sz="4" w:space="0"/>
                    <w:right w:val="single" w:color="auto" w:sz="2" w:space="0"/>
                  </w:tcBorders>
                  <w:shd w:val="clear" w:color="auto" w:fill="auto"/>
                  <w:vAlign w:val="center"/>
                </w:tcPr>
                <w:p w14:paraId="41FF9AB1">
                  <w:pPr>
                    <w:widowControl/>
                    <w:jc w:val="center"/>
                    <w:rPr>
                      <w:rFonts w:hint="eastAsia" w:eastAsia="宋体" w:cs="宋体"/>
                      <w:kern w:val="0"/>
                      <w:sz w:val="18"/>
                      <w:szCs w:val="18"/>
                      <w:lang w:eastAsia="zh-CN"/>
                    </w:rPr>
                  </w:pPr>
                  <w:r>
                    <w:rPr>
                      <w:rFonts w:hint="eastAsia" w:cs="宋体"/>
                      <w:kern w:val="0"/>
                      <w:sz w:val="18"/>
                      <w:szCs w:val="18"/>
                      <w:lang w:eastAsia="zh-CN"/>
                    </w:rPr>
                    <w:t>监测结果</w:t>
                  </w:r>
                </w:p>
              </w:tc>
              <w:tc>
                <w:tcPr>
                  <w:tcW w:w="573" w:type="pct"/>
                  <w:vMerge w:val="restart"/>
                  <w:tcBorders>
                    <w:top w:val="single" w:color="auto" w:sz="12" w:space="0"/>
                    <w:left w:val="single" w:color="auto" w:sz="2" w:space="0"/>
                    <w:bottom w:val="nil"/>
                    <w:right w:val="single" w:color="auto" w:sz="2" w:space="0"/>
                  </w:tcBorders>
                  <w:shd w:val="clear" w:color="auto" w:fill="auto"/>
                  <w:vAlign w:val="center"/>
                </w:tcPr>
                <w:p w14:paraId="2888D510">
                  <w:pPr>
                    <w:widowControl/>
                    <w:jc w:val="center"/>
                    <w:rPr>
                      <w:rFonts w:cs="宋体"/>
                      <w:kern w:val="0"/>
                      <w:sz w:val="18"/>
                      <w:szCs w:val="18"/>
                    </w:rPr>
                  </w:pPr>
                  <w:r>
                    <w:rPr>
                      <w:rFonts w:hint="eastAsia" w:cs="宋体"/>
                      <w:kern w:val="0"/>
                      <w:sz w:val="18"/>
                      <w:szCs w:val="18"/>
                    </w:rPr>
                    <w:t>标准限值</w:t>
                  </w:r>
                </w:p>
              </w:tc>
              <w:tc>
                <w:tcPr>
                  <w:tcW w:w="536" w:type="pct"/>
                  <w:vMerge w:val="restart"/>
                  <w:tcBorders>
                    <w:top w:val="single" w:color="auto" w:sz="12" w:space="0"/>
                    <w:left w:val="single" w:color="auto" w:sz="2" w:space="0"/>
                  </w:tcBorders>
                  <w:shd w:val="clear" w:color="auto" w:fill="auto"/>
                  <w:vAlign w:val="center"/>
                </w:tcPr>
                <w:p w14:paraId="25C46471">
                  <w:pPr>
                    <w:widowControl/>
                    <w:jc w:val="center"/>
                    <w:rPr>
                      <w:rFonts w:cs="宋体"/>
                      <w:kern w:val="0"/>
                      <w:sz w:val="18"/>
                      <w:szCs w:val="18"/>
                    </w:rPr>
                  </w:pPr>
                  <w:r>
                    <w:rPr>
                      <w:rFonts w:hint="eastAsia" w:cs="宋体"/>
                      <w:kern w:val="0"/>
                      <w:sz w:val="18"/>
                      <w:szCs w:val="18"/>
                    </w:rPr>
                    <w:t>达标情况</w:t>
                  </w:r>
                </w:p>
              </w:tc>
            </w:tr>
            <w:tr w14:paraId="2026F5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continue"/>
                  <w:tcBorders>
                    <w:top w:val="single" w:color="auto" w:sz="4" w:space="0"/>
                    <w:bottom w:val="single" w:color="auto" w:sz="12" w:space="0"/>
                  </w:tcBorders>
                  <w:vAlign w:val="center"/>
                </w:tcPr>
                <w:p w14:paraId="009D6E67">
                  <w:pPr>
                    <w:widowControl/>
                    <w:jc w:val="left"/>
                    <w:rPr>
                      <w:rFonts w:cs="宋体"/>
                      <w:kern w:val="0"/>
                      <w:sz w:val="18"/>
                      <w:szCs w:val="18"/>
                    </w:rPr>
                  </w:pPr>
                </w:p>
              </w:tc>
              <w:tc>
                <w:tcPr>
                  <w:tcW w:w="545" w:type="pct"/>
                  <w:vMerge w:val="continue"/>
                  <w:tcBorders>
                    <w:bottom w:val="single" w:color="auto" w:sz="12" w:space="0"/>
                  </w:tcBorders>
                  <w:vAlign w:val="center"/>
                </w:tcPr>
                <w:p w14:paraId="257DD75A">
                  <w:pPr>
                    <w:widowControl/>
                    <w:jc w:val="left"/>
                    <w:rPr>
                      <w:rFonts w:cs="宋体"/>
                      <w:kern w:val="0"/>
                      <w:sz w:val="18"/>
                      <w:szCs w:val="18"/>
                    </w:rPr>
                  </w:pPr>
                </w:p>
              </w:tc>
              <w:tc>
                <w:tcPr>
                  <w:tcW w:w="654" w:type="pct"/>
                  <w:vMerge w:val="continue"/>
                  <w:tcBorders>
                    <w:top w:val="single" w:color="auto" w:sz="4" w:space="0"/>
                    <w:bottom w:val="single" w:color="auto" w:sz="12" w:space="0"/>
                  </w:tcBorders>
                  <w:vAlign w:val="center"/>
                </w:tcPr>
                <w:p w14:paraId="50DB2F76">
                  <w:pPr>
                    <w:widowControl/>
                    <w:jc w:val="left"/>
                    <w:rPr>
                      <w:rFonts w:cs="宋体"/>
                      <w:kern w:val="0"/>
                      <w:sz w:val="18"/>
                      <w:szCs w:val="18"/>
                    </w:rPr>
                  </w:pPr>
                </w:p>
              </w:tc>
              <w:tc>
                <w:tcPr>
                  <w:tcW w:w="536" w:type="pct"/>
                  <w:tcBorders>
                    <w:top w:val="single" w:color="auto" w:sz="4" w:space="0"/>
                    <w:bottom w:val="single" w:color="auto" w:sz="12" w:space="0"/>
                  </w:tcBorders>
                  <w:shd w:val="clear" w:color="auto" w:fill="auto"/>
                  <w:vAlign w:val="center"/>
                </w:tcPr>
                <w:p w14:paraId="4FD1B5E4">
                  <w:pPr>
                    <w:widowControl/>
                    <w:jc w:val="center"/>
                    <w:rPr>
                      <w:rFonts w:hint="eastAsia" w:eastAsia="宋体" w:cs="宋体"/>
                      <w:kern w:val="0"/>
                      <w:sz w:val="18"/>
                      <w:szCs w:val="18"/>
                      <w:lang w:eastAsia="zh-CN"/>
                    </w:rPr>
                  </w:pPr>
                  <w:r>
                    <w:rPr>
                      <w:rFonts w:hint="eastAsia" w:cs="宋体"/>
                      <w:kern w:val="0"/>
                      <w:sz w:val="18"/>
                      <w:szCs w:val="18"/>
                      <w:lang w:eastAsia="zh-CN"/>
                    </w:rPr>
                    <w:t>第</w:t>
                  </w:r>
                  <w:r>
                    <w:rPr>
                      <w:rFonts w:hint="eastAsia" w:cs="宋体"/>
                      <w:kern w:val="0"/>
                      <w:sz w:val="18"/>
                      <w:szCs w:val="18"/>
                      <w:lang w:val="en-US" w:eastAsia="zh-CN"/>
                    </w:rPr>
                    <w:t>1</w:t>
                  </w:r>
                  <w:r>
                    <w:rPr>
                      <w:rFonts w:hint="eastAsia" w:cs="宋体"/>
                      <w:kern w:val="0"/>
                      <w:sz w:val="18"/>
                      <w:szCs w:val="18"/>
                      <w:lang w:eastAsia="zh-CN"/>
                    </w:rPr>
                    <w:t>次</w:t>
                  </w:r>
                </w:p>
              </w:tc>
              <w:tc>
                <w:tcPr>
                  <w:tcW w:w="534" w:type="pct"/>
                  <w:gridSpan w:val="2"/>
                  <w:tcBorders>
                    <w:top w:val="single" w:color="auto" w:sz="4" w:space="0"/>
                    <w:bottom w:val="single" w:color="auto" w:sz="12" w:space="0"/>
                  </w:tcBorders>
                  <w:shd w:val="clear" w:color="auto" w:fill="auto"/>
                  <w:vAlign w:val="center"/>
                </w:tcPr>
                <w:p w14:paraId="2F0D549B">
                  <w:pPr>
                    <w:widowControl/>
                    <w:jc w:val="center"/>
                    <w:rPr>
                      <w:rFonts w:cs="宋体"/>
                      <w:kern w:val="0"/>
                      <w:sz w:val="18"/>
                      <w:szCs w:val="18"/>
                    </w:rPr>
                  </w:pPr>
                  <w:r>
                    <w:rPr>
                      <w:rFonts w:hint="eastAsia" w:cs="宋体"/>
                      <w:kern w:val="0"/>
                      <w:sz w:val="18"/>
                      <w:szCs w:val="18"/>
                      <w:lang w:eastAsia="zh-CN"/>
                    </w:rPr>
                    <w:t>第</w:t>
                  </w:r>
                  <w:r>
                    <w:rPr>
                      <w:rFonts w:hint="eastAsia" w:cs="宋体"/>
                      <w:kern w:val="0"/>
                      <w:sz w:val="18"/>
                      <w:szCs w:val="18"/>
                      <w:lang w:val="en-US" w:eastAsia="zh-CN"/>
                    </w:rPr>
                    <w:t>2</w:t>
                  </w:r>
                  <w:r>
                    <w:rPr>
                      <w:rFonts w:hint="eastAsia" w:cs="宋体"/>
                      <w:kern w:val="0"/>
                      <w:sz w:val="18"/>
                      <w:szCs w:val="18"/>
                      <w:lang w:eastAsia="zh-CN"/>
                    </w:rPr>
                    <w:t>次</w:t>
                  </w:r>
                </w:p>
              </w:tc>
              <w:tc>
                <w:tcPr>
                  <w:tcW w:w="534" w:type="pct"/>
                  <w:gridSpan w:val="2"/>
                  <w:tcBorders>
                    <w:top w:val="single" w:color="auto" w:sz="4" w:space="0"/>
                    <w:bottom w:val="single" w:color="auto" w:sz="12" w:space="0"/>
                  </w:tcBorders>
                  <w:shd w:val="clear" w:color="auto" w:fill="auto"/>
                  <w:vAlign w:val="center"/>
                </w:tcPr>
                <w:p w14:paraId="7AAA0150">
                  <w:pPr>
                    <w:widowControl/>
                    <w:jc w:val="center"/>
                    <w:rPr>
                      <w:rFonts w:cs="宋体"/>
                      <w:kern w:val="0"/>
                      <w:sz w:val="18"/>
                      <w:szCs w:val="18"/>
                    </w:rPr>
                  </w:pPr>
                  <w:r>
                    <w:rPr>
                      <w:rFonts w:hint="eastAsia" w:cs="宋体"/>
                      <w:kern w:val="0"/>
                      <w:sz w:val="18"/>
                      <w:szCs w:val="18"/>
                      <w:lang w:eastAsia="zh-CN"/>
                    </w:rPr>
                    <w:t>第</w:t>
                  </w:r>
                  <w:r>
                    <w:rPr>
                      <w:rFonts w:hint="eastAsia" w:cs="宋体"/>
                      <w:kern w:val="0"/>
                      <w:sz w:val="18"/>
                      <w:szCs w:val="18"/>
                      <w:lang w:val="en-US" w:eastAsia="zh-CN"/>
                    </w:rPr>
                    <w:t>3</w:t>
                  </w:r>
                  <w:r>
                    <w:rPr>
                      <w:rFonts w:hint="eastAsia" w:cs="宋体"/>
                      <w:kern w:val="0"/>
                      <w:sz w:val="18"/>
                      <w:szCs w:val="18"/>
                      <w:lang w:eastAsia="zh-CN"/>
                    </w:rPr>
                    <w:t>次</w:t>
                  </w:r>
                </w:p>
              </w:tc>
              <w:tc>
                <w:tcPr>
                  <w:tcW w:w="548" w:type="pct"/>
                  <w:tcBorders>
                    <w:top w:val="single" w:color="auto" w:sz="4" w:space="0"/>
                    <w:bottom w:val="single" w:color="auto" w:sz="12" w:space="0"/>
                    <w:right w:val="single" w:color="auto" w:sz="2" w:space="0"/>
                  </w:tcBorders>
                  <w:shd w:val="clear" w:color="auto" w:fill="auto"/>
                  <w:vAlign w:val="center"/>
                </w:tcPr>
                <w:p w14:paraId="39FEBF91">
                  <w:pPr>
                    <w:widowControl/>
                    <w:jc w:val="center"/>
                    <w:rPr>
                      <w:rFonts w:cs="宋体"/>
                      <w:kern w:val="0"/>
                      <w:sz w:val="18"/>
                      <w:szCs w:val="18"/>
                    </w:rPr>
                  </w:pPr>
                  <w:r>
                    <w:rPr>
                      <w:rFonts w:hint="eastAsia" w:cs="宋体"/>
                      <w:kern w:val="0"/>
                      <w:sz w:val="18"/>
                      <w:szCs w:val="18"/>
                      <w:lang w:eastAsia="zh-CN"/>
                    </w:rPr>
                    <w:t>第</w:t>
                  </w:r>
                  <w:r>
                    <w:rPr>
                      <w:rFonts w:hint="eastAsia" w:cs="宋体"/>
                      <w:kern w:val="0"/>
                      <w:sz w:val="18"/>
                      <w:szCs w:val="18"/>
                      <w:lang w:val="en-US" w:eastAsia="zh-CN"/>
                    </w:rPr>
                    <w:t>4</w:t>
                  </w:r>
                  <w:r>
                    <w:rPr>
                      <w:rFonts w:hint="eastAsia" w:cs="宋体"/>
                      <w:kern w:val="0"/>
                      <w:sz w:val="18"/>
                      <w:szCs w:val="18"/>
                      <w:lang w:eastAsia="zh-CN"/>
                    </w:rPr>
                    <w:t>次</w:t>
                  </w:r>
                </w:p>
              </w:tc>
              <w:tc>
                <w:tcPr>
                  <w:tcW w:w="573" w:type="pct"/>
                  <w:vMerge w:val="continue"/>
                  <w:tcBorders>
                    <w:top w:val="nil"/>
                    <w:left w:val="single" w:color="auto" w:sz="2" w:space="0"/>
                    <w:bottom w:val="single" w:color="auto" w:sz="12" w:space="0"/>
                    <w:right w:val="single" w:color="auto" w:sz="2" w:space="0"/>
                  </w:tcBorders>
                  <w:shd w:val="clear" w:color="auto" w:fill="auto"/>
                  <w:vAlign w:val="center"/>
                </w:tcPr>
                <w:p w14:paraId="623ECE24">
                  <w:pPr>
                    <w:widowControl/>
                    <w:jc w:val="center"/>
                    <w:rPr>
                      <w:rFonts w:cs="宋体"/>
                      <w:kern w:val="0"/>
                      <w:sz w:val="18"/>
                      <w:szCs w:val="18"/>
                    </w:rPr>
                  </w:pPr>
                </w:p>
              </w:tc>
              <w:tc>
                <w:tcPr>
                  <w:tcW w:w="536" w:type="pct"/>
                  <w:vMerge w:val="continue"/>
                  <w:tcBorders>
                    <w:left w:val="single" w:color="auto" w:sz="2" w:space="0"/>
                    <w:bottom w:val="single" w:color="auto" w:sz="12" w:space="0"/>
                  </w:tcBorders>
                  <w:shd w:val="clear" w:color="auto" w:fill="auto"/>
                  <w:vAlign w:val="center"/>
                </w:tcPr>
                <w:p w14:paraId="1A3012BC">
                  <w:pPr>
                    <w:widowControl/>
                    <w:jc w:val="center"/>
                    <w:rPr>
                      <w:rFonts w:cs="宋体"/>
                      <w:kern w:val="0"/>
                      <w:sz w:val="18"/>
                      <w:szCs w:val="18"/>
                    </w:rPr>
                  </w:pPr>
                </w:p>
              </w:tc>
            </w:tr>
            <w:tr w14:paraId="376320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restart"/>
                  <w:tcBorders>
                    <w:top w:val="single" w:color="auto" w:sz="12" w:space="0"/>
                  </w:tcBorders>
                  <w:shd w:val="clear" w:color="auto" w:fill="auto"/>
                  <w:vAlign w:val="center"/>
                </w:tcPr>
                <w:p w14:paraId="0DE58F59">
                  <w:pPr>
                    <w:widowControl/>
                    <w:jc w:val="center"/>
                    <w:rPr>
                      <w:rFonts w:hint="default" w:cs="宋体"/>
                      <w:kern w:val="0"/>
                      <w:sz w:val="18"/>
                      <w:szCs w:val="18"/>
                      <w:lang w:val="en-US" w:eastAsia="zh-CN"/>
                    </w:rPr>
                  </w:pPr>
                  <w:r>
                    <w:rPr>
                      <w:rFonts w:hint="eastAsia" w:cs="宋体"/>
                      <w:kern w:val="0"/>
                      <w:sz w:val="18"/>
                      <w:szCs w:val="18"/>
                      <w:lang w:val="en-US" w:eastAsia="zh-CN"/>
                    </w:rPr>
                    <w:t>2024/3/21</w:t>
                  </w:r>
                </w:p>
              </w:tc>
              <w:tc>
                <w:tcPr>
                  <w:tcW w:w="545" w:type="pct"/>
                  <w:vMerge w:val="restart"/>
                  <w:tcBorders>
                    <w:top w:val="single" w:color="auto" w:sz="12" w:space="0"/>
                  </w:tcBorders>
                  <w:shd w:val="clear" w:color="auto" w:fill="auto"/>
                  <w:vAlign w:val="center"/>
                </w:tcPr>
                <w:p w14:paraId="55605988">
                  <w:pPr>
                    <w:widowControl/>
                    <w:jc w:val="center"/>
                    <w:rPr>
                      <w:rFonts w:hint="default" w:cs="宋体"/>
                      <w:kern w:val="0"/>
                      <w:sz w:val="18"/>
                      <w:szCs w:val="18"/>
                      <w:lang w:val="en-US" w:eastAsia="zh-CN"/>
                    </w:rPr>
                  </w:pPr>
                  <w:r>
                    <w:rPr>
                      <w:rFonts w:hint="eastAsia" w:cs="宋体"/>
                      <w:kern w:val="0"/>
                      <w:sz w:val="18"/>
                      <w:szCs w:val="18"/>
                      <w:lang w:val="en-US" w:eastAsia="zh-CN"/>
                    </w:rPr>
                    <w:t>W1生活污水排口1#</w:t>
                  </w:r>
                </w:p>
              </w:tc>
              <w:tc>
                <w:tcPr>
                  <w:tcW w:w="654" w:type="pct"/>
                  <w:tcBorders>
                    <w:top w:val="single" w:color="auto" w:sz="12" w:space="0"/>
                  </w:tcBorders>
                  <w:shd w:val="clear" w:color="auto" w:fill="auto"/>
                  <w:vAlign w:val="center"/>
                </w:tcPr>
                <w:p w14:paraId="13AF40BD">
                  <w:pPr>
                    <w:widowControl/>
                    <w:jc w:val="center"/>
                    <w:rPr>
                      <w:rFonts w:cs="宋体"/>
                      <w:kern w:val="0"/>
                      <w:sz w:val="18"/>
                      <w:szCs w:val="18"/>
                    </w:rPr>
                  </w:pPr>
                  <w:r>
                    <w:rPr>
                      <w:rFonts w:hint="eastAsia" w:cs="宋体"/>
                      <w:kern w:val="0"/>
                      <w:sz w:val="18"/>
                      <w:szCs w:val="18"/>
                      <w:lang w:val="en-US" w:eastAsia="zh-CN"/>
                    </w:rPr>
                    <w:t>PH</w:t>
                  </w:r>
                  <w:r>
                    <w:rPr>
                      <w:rFonts w:hint="eastAsia" w:cs="宋体"/>
                      <w:kern w:val="0"/>
                      <w:sz w:val="18"/>
                      <w:szCs w:val="18"/>
                    </w:rPr>
                    <w:t xml:space="preserve"> </w:t>
                  </w:r>
                </w:p>
              </w:tc>
              <w:tc>
                <w:tcPr>
                  <w:tcW w:w="536" w:type="pct"/>
                  <w:tcBorders>
                    <w:top w:val="single" w:color="auto" w:sz="12" w:space="0"/>
                  </w:tcBorders>
                  <w:shd w:val="clear" w:color="auto" w:fill="auto"/>
                  <w:vAlign w:val="center"/>
                </w:tcPr>
                <w:p w14:paraId="00EB3BE4">
                  <w:pPr>
                    <w:widowControl/>
                    <w:jc w:val="center"/>
                    <w:rPr>
                      <w:rFonts w:hint="default" w:cs="宋体"/>
                      <w:kern w:val="0"/>
                      <w:sz w:val="18"/>
                      <w:szCs w:val="18"/>
                      <w:lang w:val="en-US" w:eastAsia="zh-CN"/>
                    </w:rPr>
                  </w:pPr>
                  <w:r>
                    <w:rPr>
                      <w:rFonts w:hint="eastAsia" w:cs="宋体"/>
                      <w:kern w:val="0"/>
                      <w:sz w:val="18"/>
                      <w:szCs w:val="18"/>
                      <w:lang w:val="en-US" w:eastAsia="zh-CN"/>
                    </w:rPr>
                    <w:t>7.6</w:t>
                  </w:r>
                </w:p>
              </w:tc>
              <w:tc>
                <w:tcPr>
                  <w:tcW w:w="534" w:type="pct"/>
                  <w:gridSpan w:val="2"/>
                  <w:tcBorders>
                    <w:top w:val="single" w:color="auto" w:sz="12" w:space="0"/>
                  </w:tcBorders>
                  <w:shd w:val="clear" w:color="auto" w:fill="auto"/>
                  <w:vAlign w:val="center"/>
                </w:tcPr>
                <w:p w14:paraId="477A0459">
                  <w:pPr>
                    <w:widowControl/>
                    <w:jc w:val="center"/>
                    <w:rPr>
                      <w:rFonts w:hint="default" w:eastAsia="宋体" w:cs="宋体"/>
                      <w:kern w:val="0"/>
                      <w:sz w:val="18"/>
                      <w:szCs w:val="18"/>
                      <w:lang w:val="en-US" w:eastAsia="zh-CN"/>
                    </w:rPr>
                  </w:pPr>
                  <w:r>
                    <w:rPr>
                      <w:rFonts w:hint="eastAsia" w:cs="宋体"/>
                      <w:kern w:val="0"/>
                      <w:sz w:val="18"/>
                      <w:szCs w:val="18"/>
                      <w:lang w:val="en-US" w:eastAsia="zh-CN"/>
                    </w:rPr>
                    <w:t>7.6</w:t>
                  </w:r>
                </w:p>
              </w:tc>
              <w:tc>
                <w:tcPr>
                  <w:tcW w:w="534" w:type="pct"/>
                  <w:gridSpan w:val="2"/>
                  <w:tcBorders>
                    <w:top w:val="single" w:color="auto" w:sz="12" w:space="0"/>
                  </w:tcBorders>
                  <w:shd w:val="clear" w:color="auto" w:fill="auto"/>
                  <w:vAlign w:val="center"/>
                </w:tcPr>
                <w:p w14:paraId="42D71A98">
                  <w:pPr>
                    <w:widowControl/>
                    <w:jc w:val="center"/>
                    <w:rPr>
                      <w:rFonts w:hint="default" w:eastAsia="宋体" w:cs="宋体"/>
                      <w:kern w:val="0"/>
                      <w:sz w:val="18"/>
                      <w:szCs w:val="18"/>
                      <w:lang w:val="en-US" w:eastAsia="zh-CN"/>
                    </w:rPr>
                  </w:pPr>
                  <w:r>
                    <w:rPr>
                      <w:rFonts w:hint="eastAsia" w:cs="宋体"/>
                      <w:kern w:val="0"/>
                      <w:sz w:val="18"/>
                      <w:szCs w:val="18"/>
                      <w:lang w:val="en-US" w:eastAsia="zh-CN"/>
                    </w:rPr>
                    <w:t>7.4</w:t>
                  </w:r>
                </w:p>
              </w:tc>
              <w:tc>
                <w:tcPr>
                  <w:tcW w:w="548" w:type="pct"/>
                  <w:tcBorders>
                    <w:top w:val="single" w:color="auto" w:sz="12" w:space="0"/>
                    <w:right w:val="single" w:color="auto" w:sz="2" w:space="0"/>
                  </w:tcBorders>
                  <w:shd w:val="clear" w:color="auto" w:fill="auto"/>
                  <w:vAlign w:val="center"/>
                </w:tcPr>
                <w:p w14:paraId="16DF663C">
                  <w:pPr>
                    <w:widowControl/>
                    <w:jc w:val="center"/>
                    <w:rPr>
                      <w:rFonts w:hint="default" w:eastAsia="宋体" w:cs="宋体"/>
                      <w:kern w:val="0"/>
                      <w:sz w:val="18"/>
                      <w:szCs w:val="18"/>
                      <w:lang w:val="en-US" w:eastAsia="zh-CN"/>
                    </w:rPr>
                  </w:pPr>
                  <w:r>
                    <w:rPr>
                      <w:rFonts w:hint="eastAsia" w:cs="宋体"/>
                      <w:kern w:val="0"/>
                      <w:sz w:val="18"/>
                      <w:szCs w:val="18"/>
                      <w:lang w:val="en-US" w:eastAsia="zh-CN"/>
                    </w:rPr>
                    <w:t>7.5</w:t>
                  </w:r>
                </w:p>
              </w:tc>
              <w:tc>
                <w:tcPr>
                  <w:tcW w:w="573" w:type="pct"/>
                  <w:tcBorders>
                    <w:top w:val="single" w:color="auto" w:sz="12" w:space="0"/>
                    <w:left w:val="single" w:color="auto" w:sz="2" w:space="0"/>
                    <w:bottom w:val="single" w:color="auto" w:sz="2" w:space="0"/>
                    <w:right w:val="single" w:color="auto" w:sz="2" w:space="0"/>
                  </w:tcBorders>
                  <w:shd w:val="clear" w:color="auto" w:fill="auto"/>
                  <w:vAlign w:val="center"/>
                </w:tcPr>
                <w:p w14:paraId="38011B21">
                  <w:pPr>
                    <w:widowControl/>
                    <w:jc w:val="center"/>
                    <w:rPr>
                      <w:rFonts w:hint="default" w:eastAsia="宋体" w:cs="宋体"/>
                      <w:kern w:val="0"/>
                      <w:sz w:val="18"/>
                      <w:szCs w:val="18"/>
                      <w:lang w:val="en-US" w:eastAsia="zh-CN"/>
                    </w:rPr>
                  </w:pPr>
                  <w:r>
                    <w:rPr>
                      <w:rFonts w:hint="eastAsia" w:cs="宋体"/>
                      <w:kern w:val="0"/>
                      <w:sz w:val="18"/>
                      <w:szCs w:val="18"/>
                      <w:lang w:val="en-US" w:eastAsia="zh-CN"/>
                    </w:rPr>
                    <w:t>6-9</w:t>
                  </w:r>
                </w:p>
              </w:tc>
              <w:tc>
                <w:tcPr>
                  <w:tcW w:w="536" w:type="pct"/>
                  <w:tcBorders>
                    <w:top w:val="single" w:color="auto" w:sz="12" w:space="0"/>
                    <w:left w:val="single" w:color="auto" w:sz="2" w:space="0"/>
                  </w:tcBorders>
                  <w:shd w:val="clear" w:color="auto" w:fill="auto"/>
                  <w:vAlign w:val="center"/>
                </w:tcPr>
                <w:p w14:paraId="25273818">
                  <w:pPr>
                    <w:widowControl/>
                    <w:jc w:val="center"/>
                    <w:rPr>
                      <w:rFonts w:cs="宋体"/>
                      <w:kern w:val="0"/>
                      <w:sz w:val="18"/>
                      <w:szCs w:val="18"/>
                    </w:rPr>
                  </w:pPr>
                  <w:r>
                    <w:rPr>
                      <w:rFonts w:hint="eastAsia" w:cs="宋体"/>
                      <w:kern w:val="0"/>
                      <w:sz w:val="18"/>
                      <w:szCs w:val="18"/>
                    </w:rPr>
                    <w:t>达标</w:t>
                  </w:r>
                </w:p>
              </w:tc>
            </w:tr>
            <w:tr w14:paraId="48BD3C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continue"/>
                  <w:vAlign w:val="center"/>
                </w:tcPr>
                <w:p w14:paraId="4B9300A1">
                  <w:pPr>
                    <w:widowControl/>
                    <w:jc w:val="center"/>
                    <w:rPr>
                      <w:rFonts w:hint="eastAsia" w:cs="宋体"/>
                      <w:kern w:val="0"/>
                      <w:sz w:val="18"/>
                      <w:szCs w:val="18"/>
                      <w:lang w:val="en-US" w:eastAsia="zh-CN"/>
                    </w:rPr>
                  </w:pPr>
                </w:p>
              </w:tc>
              <w:tc>
                <w:tcPr>
                  <w:tcW w:w="545" w:type="pct"/>
                  <w:vMerge w:val="continue"/>
                  <w:shd w:val="clear" w:color="auto" w:fill="auto"/>
                  <w:vAlign w:val="center"/>
                </w:tcPr>
                <w:p w14:paraId="0288D78F">
                  <w:pPr>
                    <w:widowControl/>
                    <w:jc w:val="center"/>
                    <w:rPr>
                      <w:rFonts w:hint="eastAsia" w:cs="宋体"/>
                      <w:kern w:val="0"/>
                      <w:sz w:val="18"/>
                      <w:szCs w:val="18"/>
                      <w:lang w:val="en-US" w:eastAsia="zh-CN"/>
                    </w:rPr>
                  </w:pPr>
                </w:p>
              </w:tc>
              <w:tc>
                <w:tcPr>
                  <w:tcW w:w="654" w:type="pct"/>
                  <w:shd w:val="clear" w:color="auto" w:fill="auto"/>
                  <w:vAlign w:val="center"/>
                </w:tcPr>
                <w:p w14:paraId="52EE3D90">
                  <w:pPr>
                    <w:widowControl/>
                    <w:jc w:val="center"/>
                    <w:rPr>
                      <w:rFonts w:hint="default" w:eastAsia="宋体" w:cs="宋体"/>
                      <w:kern w:val="0"/>
                      <w:sz w:val="18"/>
                      <w:szCs w:val="18"/>
                      <w:lang w:val="en-US" w:eastAsia="zh-CN"/>
                    </w:rPr>
                  </w:pPr>
                  <w:r>
                    <w:rPr>
                      <w:rFonts w:hint="eastAsia" w:cs="宋体"/>
                      <w:kern w:val="0"/>
                      <w:sz w:val="18"/>
                      <w:szCs w:val="18"/>
                      <w:lang w:val="en-US" w:eastAsia="zh-CN"/>
                    </w:rPr>
                    <w:t>COD</w:t>
                  </w:r>
                </w:p>
              </w:tc>
              <w:tc>
                <w:tcPr>
                  <w:tcW w:w="536" w:type="pct"/>
                  <w:shd w:val="clear" w:color="auto" w:fill="auto"/>
                  <w:vAlign w:val="center"/>
                </w:tcPr>
                <w:p w14:paraId="02AF95C1">
                  <w:pPr>
                    <w:widowControl/>
                    <w:jc w:val="center"/>
                    <w:rPr>
                      <w:rFonts w:hint="default" w:cs="宋体"/>
                      <w:kern w:val="0"/>
                      <w:sz w:val="18"/>
                      <w:szCs w:val="18"/>
                      <w:lang w:val="en-US" w:eastAsia="zh-CN"/>
                    </w:rPr>
                  </w:pPr>
                  <w:r>
                    <w:rPr>
                      <w:rFonts w:hint="eastAsia" w:cs="宋体"/>
                      <w:kern w:val="0"/>
                      <w:sz w:val="18"/>
                      <w:szCs w:val="18"/>
                      <w:lang w:val="en-US" w:eastAsia="zh-CN"/>
                    </w:rPr>
                    <w:t>195</w:t>
                  </w:r>
                </w:p>
              </w:tc>
              <w:tc>
                <w:tcPr>
                  <w:tcW w:w="534" w:type="pct"/>
                  <w:gridSpan w:val="2"/>
                  <w:shd w:val="clear" w:color="auto" w:fill="auto"/>
                  <w:vAlign w:val="center"/>
                </w:tcPr>
                <w:p w14:paraId="004018BF">
                  <w:pPr>
                    <w:widowControl/>
                    <w:jc w:val="center"/>
                    <w:rPr>
                      <w:rFonts w:hint="default" w:eastAsia="宋体" w:cs="宋体"/>
                      <w:kern w:val="0"/>
                      <w:sz w:val="18"/>
                      <w:szCs w:val="18"/>
                      <w:lang w:val="en-US" w:eastAsia="zh-CN"/>
                    </w:rPr>
                  </w:pPr>
                  <w:r>
                    <w:rPr>
                      <w:rFonts w:hint="eastAsia" w:cs="宋体"/>
                      <w:kern w:val="0"/>
                      <w:sz w:val="18"/>
                      <w:szCs w:val="18"/>
                      <w:lang w:val="en-US" w:eastAsia="zh-CN"/>
                    </w:rPr>
                    <w:t>180</w:t>
                  </w:r>
                </w:p>
              </w:tc>
              <w:tc>
                <w:tcPr>
                  <w:tcW w:w="534" w:type="pct"/>
                  <w:gridSpan w:val="2"/>
                  <w:shd w:val="clear" w:color="auto" w:fill="auto"/>
                  <w:vAlign w:val="center"/>
                </w:tcPr>
                <w:p w14:paraId="420EE23A">
                  <w:pPr>
                    <w:widowControl/>
                    <w:jc w:val="center"/>
                    <w:rPr>
                      <w:rFonts w:hint="default" w:eastAsia="宋体" w:cs="宋体"/>
                      <w:kern w:val="0"/>
                      <w:sz w:val="18"/>
                      <w:szCs w:val="18"/>
                      <w:lang w:val="en-US" w:eastAsia="zh-CN"/>
                    </w:rPr>
                  </w:pPr>
                  <w:r>
                    <w:rPr>
                      <w:rFonts w:hint="eastAsia" w:cs="宋体"/>
                      <w:kern w:val="0"/>
                      <w:sz w:val="18"/>
                      <w:szCs w:val="18"/>
                      <w:lang w:val="en-US" w:eastAsia="zh-CN"/>
                    </w:rPr>
                    <w:t>197</w:t>
                  </w:r>
                </w:p>
              </w:tc>
              <w:tc>
                <w:tcPr>
                  <w:tcW w:w="548" w:type="pct"/>
                  <w:tcBorders>
                    <w:right w:val="single" w:color="auto" w:sz="2" w:space="0"/>
                  </w:tcBorders>
                  <w:shd w:val="clear" w:color="auto" w:fill="auto"/>
                  <w:vAlign w:val="center"/>
                </w:tcPr>
                <w:p w14:paraId="793C531E">
                  <w:pPr>
                    <w:widowControl/>
                    <w:jc w:val="center"/>
                    <w:rPr>
                      <w:rFonts w:hint="default" w:eastAsia="宋体" w:cs="宋体"/>
                      <w:kern w:val="0"/>
                      <w:sz w:val="18"/>
                      <w:szCs w:val="18"/>
                      <w:lang w:val="en-US" w:eastAsia="zh-CN"/>
                    </w:rPr>
                  </w:pPr>
                  <w:r>
                    <w:rPr>
                      <w:rFonts w:hint="eastAsia" w:cs="宋体"/>
                      <w:kern w:val="0"/>
                      <w:sz w:val="18"/>
                      <w:szCs w:val="18"/>
                      <w:lang w:val="en-US" w:eastAsia="zh-CN"/>
                    </w:rPr>
                    <w:t>187</w:t>
                  </w:r>
                </w:p>
              </w:tc>
              <w:tc>
                <w:tcPr>
                  <w:tcW w:w="573" w:type="pct"/>
                  <w:tcBorders>
                    <w:top w:val="single" w:color="auto" w:sz="2" w:space="0"/>
                    <w:left w:val="single" w:color="auto" w:sz="2" w:space="0"/>
                    <w:bottom w:val="single" w:color="auto" w:sz="2" w:space="0"/>
                    <w:right w:val="single" w:color="auto" w:sz="2" w:space="0"/>
                  </w:tcBorders>
                  <w:shd w:val="clear" w:color="auto" w:fill="auto"/>
                  <w:vAlign w:val="center"/>
                </w:tcPr>
                <w:p w14:paraId="25EAC4F4">
                  <w:pPr>
                    <w:widowControl/>
                    <w:jc w:val="center"/>
                    <w:rPr>
                      <w:rFonts w:hint="default" w:eastAsia="宋体" w:cs="宋体"/>
                      <w:kern w:val="0"/>
                      <w:sz w:val="18"/>
                      <w:szCs w:val="18"/>
                      <w:lang w:val="en-US" w:eastAsia="zh-CN"/>
                    </w:rPr>
                  </w:pPr>
                  <w:r>
                    <w:rPr>
                      <w:rFonts w:hint="eastAsia" w:cs="宋体"/>
                      <w:kern w:val="0"/>
                      <w:sz w:val="18"/>
                      <w:szCs w:val="18"/>
                      <w:lang w:val="en-US" w:eastAsia="zh-CN"/>
                    </w:rPr>
                    <w:t>500</w:t>
                  </w:r>
                </w:p>
              </w:tc>
              <w:tc>
                <w:tcPr>
                  <w:tcW w:w="536" w:type="pct"/>
                  <w:tcBorders>
                    <w:left w:val="single" w:color="auto" w:sz="2" w:space="0"/>
                  </w:tcBorders>
                  <w:shd w:val="clear" w:color="auto" w:fill="auto"/>
                  <w:vAlign w:val="center"/>
                </w:tcPr>
                <w:p w14:paraId="33E189C7">
                  <w:pPr>
                    <w:widowControl/>
                    <w:jc w:val="center"/>
                    <w:rPr>
                      <w:rFonts w:cs="宋体"/>
                      <w:kern w:val="0"/>
                      <w:sz w:val="18"/>
                      <w:szCs w:val="18"/>
                    </w:rPr>
                  </w:pPr>
                  <w:r>
                    <w:rPr>
                      <w:rFonts w:hint="eastAsia" w:cs="宋体"/>
                      <w:kern w:val="0"/>
                      <w:sz w:val="18"/>
                      <w:szCs w:val="18"/>
                    </w:rPr>
                    <w:t>达标</w:t>
                  </w:r>
                </w:p>
              </w:tc>
            </w:tr>
            <w:tr w14:paraId="07889A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continue"/>
                  <w:vAlign w:val="center"/>
                </w:tcPr>
                <w:p w14:paraId="2287A235">
                  <w:pPr>
                    <w:widowControl/>
                    <w:jc w:val="center"/>
                    <w:rPr>
                      <w:rFonts w:hint="eastAsia" w:cs="宋体"/>
                      <w:kern w:val="0"/>
                      <w:sz w:val="18"/>
                      <w:szCs w:val="18"/>
                      <w:lang w:val="en-US" w:eastAsia="zh-CN"/>
                    </w:rPr>
                  </w:pPr>
                </w:p>
              </w:tc>
              <w:tc>
                <w:tcPr>
                  <w:tcW w:w="545" w:type="pct"/>
                  <w:vMerge w:val="continue"/>
                  <w:shd w:val="clear" w:color="auto" w:fill="auto"/>
                  <w:vAlign w:val="center"/>
                </w:tcPr>
                <w:p w14:paraId="51EA63A6">
                  <w:pPr>
                    <w:widowControl/>
                    <w:jc w:val="center"/>
                    <w:rPr>
                      <w:rFonts w:hint="eastAsia" w:cs="宋体"/>
                      <w:kern w:val="0"/>
                      <w:sz w:val="18"/>
                      <w:szCs w:val="18"/>
                      <w:lang w:val="en-US" w:eastAsia="zh-CN"/>
                    </w:rPr>
                  </w:pPr>
                </w:p>
              </w:tc>
              <w:tc>
                <w:tcPr>
                  <w:tcW w:w="654" w:type="pct"/>
                  <w:shd w:val="clear" w:color="auto" w:fill="auto"/>
                  <w:vAlign w:val="center"/>
                </w:tcPr>
                <w:p w14:paraId="7A4FB096">
                  <w:pPr>
                    <w:widowControl/>
                    <w:jc w:val="center"/>
                    <w:rPr>
                      <w:rFonts w:hint="default" w:eastAsia="宋体" w:cs="宋体"/>
                      <w:kern w:val="0"/>
                      <w:sz w:val="18"/>
                      <w:szCs w:val="18"/>
                      <w:lang w:val="en-US" w:eastAsia="zh-CN"/>
                    </w:rPr>
                  </w:pPr>
                  <w:r>
                    <w:rPr>
                      <w:rFonts w:hint="eastAsia" w:cs="宋体"/>
                      <w:kern w:val="0"/>
                      <w:sz w:val="18"/>
                      <w:szCs w:val="18"/>
                      <w:lang w:val="en-US" w:eastAsia="zh-CN"/>
                    </w:rPr>
                    <w:t>BOD5</w:t>
                  </w:r>
                </w:p>
              </w:tc>
              <w:tc>
                <w:tcPr>
                  <w:tcW w:w="536" w:type="pct"/>
                  <w:shd w:val="clear" w:color="auto" w:fill="auto"/>
                  <w:vAlign w:val="center"/>
                </w:tcPr>
                <w:p w14:paraId="5BAC5CA9">
                  <w:pPr>
                    <w:widowControl/>
                    <w:jc w:val="center"/>
                    <w:rPr>
                      <w:rFonts w:hint="default" w:cs="宋体"/>
                      <w:kern w:val="0"/>
                      <w:sz w:val="18"/>
                      <w:szCs w:val="18"/>
                      <w:lang w:val="en-US" w:eastAsia="zh-CN"/>
                    </w:rPr>
                  </w:pPr>
                  <w:r>
                    <w:rPr>
                      <w:rFonts w:hint="eastAsia" w:cs="宋体"/>
                      <w:kern w:val="0"/>
                      <w:sz w:val="18"/>
                      <w:szCs w:val="18"/>
                      <w:lang w:val="en-US" w:eastAsia="zh-CN"/>
                    </w:rPr>
                    <w:t>74.9</w:t>
                  </w:r>
                </w:p>
              </w:tc>
              <w:tc>
                <w:tcPr>
                  <w:tcW w:w="534" w:type="pct"/>
                  <w:gridSpan w:val="2"/>
                  <w:shd w:val="clear" w:color="auto" w:fill="auto"/>
                  <w:vAlign w:val="center"/>
                </w:tcPr>
                <w:p w14:paraId="6E20427A">
                  <w:pPr>
                    <w:widowControl/>
                    <w:jc w:val="center"/>
                    <w:rPr>
                      <w:rFonts w:hint="default" w:eastAsia="宋体" w:cs="宋体"/>
                      <w:kern w:val="0"/>
                      <w:sz w:val="18"/>
                      <w:szCs w:val="18"/>
                      <w:lang w:val="en-US" w:eastAsia="zh-CN"/>
                    </w:rPr>
                  </w:pPr>
                  <w:r>
                    <w:rPr>
                      <w:rFonts w:hint="eastAsia" w:cs="宋体"/>
                      <w:kern w:val="0"/>
                      <w:sz w:val="18"/>
                      <w:szCs w:val="18"/>
                      <w:lang w:val="en-US" w:eastAsia="zh-CN"/>
                    </w:rPr>
                    <w:t>75.4</w:t>
                  </w:r>
                </w:p>
              </w:tc>
              <w:tc>
                <w:tcPr>
                  <w:tcW w:w="534" w:type="pct"/>
                  <w:gridSpan w:val="2"/>
                  <w:shd w:val="clear" w:color="auto" w:fill="auto"/>
                  <w:vAlign w:val="center"/>
                </w:tcPr>
                <w:p w14:paraId="1BDBEA29">
                  <w:pPr>
                    <w:widowControl/>
                    <w:jc w:val="center"/>
                    <w:rPr>
                      <w:rFonts w:hint="default" w:eastAsia="宋体" w:cs="宋体"/>
                      <w:kern w:val="0"/>
                      <w:sz w:val="18"/>
                      <w:szCs w:val="18"/>
                      <w:lang w:val="en-US" w:eastAsia="zh-CN"/>
                    </w:rPr>
                  </w:pPr>
                  <w:r>
                    <w:rPr>
                      <w:rFonts w:hint="eastAsia" w:cs="宋体"/>
                      <w:kern w:val="0"/>
                      <w:sz w:val="18"/>
                      <w:szCs w:val="18"/>
                      <w:lang w:val="en-US" w:eastAsia="zh-CN"/>
                    </w:rPr>
                    <w:t>71.4</w:t>
                  </w:r>
                </w:p>
              </w:tc>
              <w:tc>
                <w:tcPr>
                  <w:tcW w:w="548" w:type="pct"/>
                  <w:tcBorders>
                    <w:right w:val="single" w:color="auto" w:sz="2" w:space="0"/>
                  </w:tcBorders>
                  <w:shd w:val="clear" w:color="auto" w:fill="auto"/>
                  <w:vAlign w:val="center"/>
                </w:tcPr>
                <w:p w14:paraId="65B877BE">
                  <w:pPr>
                    <w:widowControl/>
                    <w:jc w:val="center"/>
                    <w:rPr>
                      <w:rFonts w:hint="default" w:eastAsia="宋体" w:cs="宋体"/>
                      <w:kern w:val="0"/>
                      <w:sz w:val="18"/>
                      <w:szCs w:val="18"/>
                      <w:lang w:val="en-US" w:eastAsia="zh-CN"/>
                    </w:rPr>
                  </w:pPr>
                  <w:r>
                    <w:rPr>
                      <w:rFonts w:hint="eastAsia" w:cs="宋体"/>
                      <w:kern w:val="0"/>
                      <w:sz w:val="18"/>
                      <w:szCs w:val="18"/>
                      <w:lang w:val="en-US" w:eastAsia="zh-CN"/>
                    </w:rPr>
                    <w:t>65.0</w:t>
                  </w:r>
                </w:p>
              </w:tc>
              <w:tc>
                <w:tcPr>
                  <w:tcW w:w="573" w:type="pct"/>
                  <w:tcBorders>
                    <w:top w:val="single" w:color="auto" w:sz="2" w:space="0"/>
                    <w:left w:val="single" w:color="auto" w:sz="2" w:space="0"/>
                    <w:right w:val="single" w:color="auto" w:sz="2" w:space="0"/>
                  </w:tcBorders>
                  <w:shd w:val="clear" w:color="auto" w:fill="auto"/>
                  <w:vAlign w:val="center"/>
                </w:tcPr>
                <w:p w14:paraId="3B76C80F">
                  <w:pPr>
                    <w:widowControl/>
                    <w:jc w:val="center"/>
                    <w:rPr>
                      <w:rFonts w:hint="default" w:eastAsia="宋体" w:cs="宋体"/>
                      <w:kern w:val="0"/>
                      <w:sz w:val="18"/>
                      <w:szCs w:val="18"/>
                      <w:lang w:val="en-US" w:eastAsia="zh-CN"/>
                    </w:rPr>
                  </w:pPr>
                  <w:r>
                    <w:rPr>
                      <w:rFonts w:hint="eastAsia" w:cs="宋体"/>
                      <w:kern w:val="0"/>
                      <w:sz w:val="18"/>
                      <w:szCs w:val="18"/>
                      <w:lang w:val="en-US" w:eastAsia="zh-CN"/>
                    </w:rPr>
                    <w:t>300</w:t>
                  </w:r>
                </w:p>
              </w:tc>
              <w:tc>
                <w:tcPr>
                  <w:tcW w:w="536" w:type="pct"/>
                  <w:tcBorders>
                    <w:left w:val="single" w:color="auto" w:sz="2" w:space="0"/>
                  </w:tcBorders>
                  <w:shd w:val="clear" w:color="auto" w:fill="auto"/>
                  <w:vAlign w:val="center"/>
                </w:tcPr>
                <w:p w14:paraId="6924252F">
                  <w:pPr>
                    <w:widowControl/>
                    <w:jc w:val="center"/>
                    <w:rPr>
                      <w:rFonts w:cs="宋体"/>
                      <w:kern w:val="0"/>
                      <w:sz w:val="18"/>
                      <w:szCs w:val="18"/>
                    </w:rPr>
                  </w:pPr>
                  <w:r>
                    <w:rPr>
                      <w:rFonts w:hint="eastAsia" w:cs="宋体"/>
                      <w:kern w:val="0"/>
                      <w:sz w:val="18"/>
                      <w:szCs w:val="18"/>
                    </w:rPr>
                    <w:t>达标</w:t>
                  </w:r>
                </w:p>
              </w:tc>
            </w:tr>
            <w:tr w14:paraId="76B8C2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continue"/>
                  <w:vAlign w:val="center"/>
                </w:tcPr>
                <w:p w14:paraId="60030C9A">
                  <w:pPr>
                    <w:widowControl/>
                    <w:jc w:val="center"/>
                    <w:rPr>
                      <w:rFonts w:hint="eastAsia" w:cs="宋体"/>
                      <w:kern w:val="0"/>
                      <w:sz w:val="18"/>
                      <w:szCs w:val="18"/>
                      <w:lang w:val="en-US" w:eastAsia="zh-CN"/>
                    </w:rPr>
                  </w:pPr>
                </w:p>
              </w:tc>
              <w:tc>
                <w:tcPr>
                  <w:tcW w:w="545" w:type="pct"/>
                  <w:vMerge w:val="continue"/>
                  <w:shd w:val="clear" w:color="auto" w:fill="auto"/>
                  <w:vAlign w:val="center"/>
                </w:tcPr>
                <w:p w14:paraId="213AB8E9">
                  <w:pPr>
                    <w:widowControl/>
                    <w:jc w:val="center"/>
                    <w:rPr>
                      <w:rFonts w:hint="eastAsia" w:cs="宋体"/>
                      <w:kern w:val="0"/>
                      <w:sz w:val="18"/>
                      <w:szCs w:val="18"/>
                      <w:lang w:val="en-US" w:eastAsia="zh-CN"/>
                    </w:rPr>
                  </w:pPr>
                </w:p>
              </w:tc>
              <w:tc>
                <w:tcPr>
                  <w:tcW w:w="654" w:type="pct"/>
                  <w:shd w:val="clear" w:color="auto" w:fill="auto"/>
                  <w:vAlign w:val="center"/>
                </w:tcPr>
                <w:p w14:paraId="7D577832">
                  <w:pPr>
                    <w:widowControl/>
                    <w:jc w:val="center"/>
                    <w:rPr>
                      <w:rFonts w:hint="eastAsia" w:eastAsia="宋体" w:cs="宋体"/>
                      <w:kern w:val="0"/>
                      <w:sz w:val="18"/>
                      <w:szCs w:val="18"/>
                      <w:lang w:eastAsia="zh-CN"/>
                    </w:rPr>
                  </w:pPr>
                  <w:r>
                    <w:rPr>
                      <w:rFonts w:hint="eastAsia" w:cs="宋体"/>
                      <w:kern w:val="0"/>
                      <w:sz w:val="18"/>
                      <w:szCs w:val="18"/>
                      <w:lang w:eastAsia="zh-CN"/>
                    </w:rPr>
                    <w:t>悬浮物</w:t>
                  </w:r>
                </w:p>
              </w:tc>
              <w:tc>
                <w:tcPr>
                  <w:tcW w:w="536" w:type="pct"/>
                  <w:shd w:val="clear" w:color="auto" w:fill="auto"/>
                  <w:vAlign w:val="center"/>
                </w:tcPr>
                <w:p w14:paraId="32FFA3F0">
                  <w:pPr>
                    <w:widowControl/>
                    <w:jc w:val="center"/>
                    <w:rPr>
                      <w:rFonts w:hint="default" w:cs="宋体"/>
                      <w:kern w:val="0"/>
                      <w:sz w:val="18"/>
                      <w:szCs w:val="18"/>
                      <w:lang w:val="en-US" w:eastAsia="zh-CN"/>
                    </w:rPr>
                  </w:pPr>
                  <w:r>
                    <w:rPr>
                      <w:rFonts w:hint="eastAsia" w:cs="宋体"/>
                      <w:kern w:val="0"/>
                      <w:sz w:val="18"/>
                      <w:szCs w:val="18"/>
                      <w:lang w:val="en-US" w:eastAsia="zh-CN"/>
                    </w:rPr>
                    <w:t>65</w:t>
                  </w:r>
                </w:p>
              </w:tc>
              <w:tc>
                <w:tcPr>
                  <w:tcW w:w="534" w:type="pct"/>
                  <w:gridSpan w:val="2"/>
                  <w:shd w:val="clear" w:color="auto" w:fill="auto"/>
                  <w:vAlign w:val="center"/>
                </w:tcPr>
                <w:p w14:paraId="6EACDF96">
                  <w:pPr>
                    <w:widowControl/>
                    <w:jc w:val="center"/>
                    <w:rPr>
                      <w:rFonts w:hint="default" w:eastAsia="宋体" w:cs="宋体"/>
                      <w:kern w:val="0"/>
                      <w:sz w:val="18"/>
                      <w:szCs w:val="18"/>
                      <w:lang w:val="en-US" w:eastAsia="zh-CN"/>
                    </w:rPr>
                  </w:pPr>
                  <w:r>
                    <w:rPr>
                      <w:rFonts w:hint="eastAsia" w:cs="宋体"/>
                      <w:kern w:val="0"/>
                      <w:sz w:val="18"/>
                      <w:szCs w:val="18"/>
                      <w:lang w:val="en-US" w:eastAsia="zh-CN"/>
                    </w:rPr>
                    <w:t>61</w:t>
                  </w:r>
                </w:p>
              </w:tc>
              <w:tc>
                <w:tcPr>
                  <w:tcW w:w="534" w:type="pct"/>
                  <w:gridSpan w:val="2"/>
                  <w:shd w:val="clear" w:color="auto" w:fill="auto"/>
                  <w:vAlign w:val="center"/>
                </w:tcPr>
                <w:p w14:paraId="26801B9F">
                  <w:pPr>
                    <w:widowControl/>
                    <w:jc w:val="center"/>
                    <w:rPr>
                      <w:rFonts w:hint="default" w:eastAsia="宋体" w:cs="宋体"/>
                      <w:kern w:val="0"/>
                      <w:sz w:val="18"/>
                      <w:szCs w:val="18"/>
                      <w:lang w:val="en-US" w:eastAsia="zh-CN"/>
                    </w:rPr>
                  </w:pPr>
                  <w:r>
                    <w:rPr>
                      <w:rFonts w:hint="eastAsia" w:cs="宋体"/>
                      <w:kern w:val="0"/>
                      <w:sz w:val="18"/>
                      <w:szCs w:val="18"/>
                      <w:lang w:val="en-US" w:eastAsia="zh-CN"/>
                    </w:rPr>
                    <w:t>68</w:t>
                  </w:r>
                </w:p>
              </w:tc>
              <w:tc>
                <w:tcPr>
                  <w:tcW w:w="548" w:type="pct"/>
                  <w:shd w:val="clear" w:color="auto" w:fill="auto"/>
                  <w:vAlign w:val="center"/>
                </w:tcPr>
                <w:p w14:paraId="72D93141">
                  <w:pPr>
                    <w:widowControl/>
                    <w:jc w:val="center"/>
                    <w:rPr>
                      <w:rFonts w:hint="default" w:eastAsia="宋体" w:cs="宋体"/>
                      <w:kern w:val="0"/>
                      <w:sz w:val="18"/>
                      <w:szCs w:val="18"/>
                      <w:lang w:val="en-US" w:eastAsia="zh-CN"/>
                    </w:rPr>
                  </w:pPr>
                  <w:r>
                    <w:rPr>
                      <w:rFonts w:hint="eastAsia" w:cs="宋体"/>
                      <w:kern w:val="0"/>
                      <w:sz w:val="18"/>
                      <w:szCs w:val="18"/>
                      <w:lang w:val="en-US" w:eastAsia="zh-CN"/>
                    </w:rPr>
                    <w:t>70</w:t>
                  </w:r>
                </w:p>
              </w:tc>
              <w:tc>
                <w:tcPr>
                  <w:tcW w:w="573" w:type="pct"/>
                  <w:shd w:val="clear" w:color="auto" w:fill="auto"/>
                  <w:vAlign w:val="center"/>
                </w:tcPr>
                <w:p w14:paraId="72DDCB12">
                  <w:pPr>
                    <w:widowControl/>
                    <w:jc w:val="center"/>
                    <w:rPr>
                      <w:rFonts w:hint="default" w:eastAsia="宋体" w:cs="宋体"/>
                      <w:kern w:val="0"/>
                      <w:sz w:val="18"/>
                      <w:szCs w:val="18"/>
                      <w:lang w:val="en-US" w:eastAsia="zh-CN"/>
                    </w:rPr>
                  </w:pPr>
                  <w:r>
                    <w:rPr>
                      <w:rFonts w:hint="eastAsia" w:cs="宋体"/>
                      <w:kern w:val="0"/>
                      <w:sz w:val="18"/>
                      <w:szCs w:val="18"/>
                      <w:lang w:val="en-US" w:eastAsia="zh-CN"/>
                    </w:rPr>
                    <w:t>400</w:t>
                  </w:r>
                </w:p>
              </w:tc>
              <w:tc>
                <w:tcPr>
                  <w:tcW w:w="536" w:type="pct"/>
                  <w:shd w:val="clear" w:color="auto" w:fill="auto"/>
                  <w:vAlign w:val="center"/>
                </w:tcPr>
                <w:p w14:paraId="760F6F51">
                  <w:pPr>
                    <w:widowControl/>
                    <w:jc w:val="center"/>
                    <w:rPr>
                      <w:rFonts w:cs="宋体"/>
                      <w:kern w:val="0"/>
                      <w:sz w:val="18"/>
                      <w:szCs w:val="18"/>
                    </w:rPr>
                  </w:pPr>
                  <w:r>
                    <w:rPr>
                      <w:rFonts w:hint="eastAsia" w:cs="宋体"/>
                      <w:kern w:val="0"/>
                      <w:sz w:val="18"/>
                      <w:szCs w:val="18"/>
                    </w:rPr>
                    <w:t>达标</w:t>
                  </w:r>
                </w:p>
              </w:tc>
            </w:tr>
            <w:tr w14:paraId="466975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continue"/>
                  <w:vAlign w:val="center"/>
                </w:tcPr>
                <w:p w14:paraId="00907DAA">
                  <w:pPr>
                    <w:widowControl/>
                    <w:jc w:val="center"/>
                    <w:rPr>
                      <w:rFonts w:hint="eastAsia" w:cs="宋体"/>
                      <w:kern w:val="0"/>
                      <w:sz w:val="18"/>
                      <w:szCs w:val="18"/>
                      <w:lang w:val="en-US" w:eastAsia="zh-CN"/>
                    </w:rPr>
                  </w:pPr>
                </w:p>
              </w:tc>
              <w:tc>
                <w:tcPr>
                  <w:tcW w:w="545" w:type="pct"/>
                  <w:vMerge w:val="continue"/>
                  <w:shd w:val="clear" w:color="auto" w:fill="auto"/>
                  <w:vAlign w:val="center"/>
                </w:tcPr>
                <w:p w14:paraId="694E924C">
                  <w:pPr>
                    <w:widowControl/>
                    <w:jc w:val="center"/>
                    <w:rPr>
                      <w:rFonts w:hint="eastAsia" w:cs="宋体"/>
                      <w:kern w:val="0"/>
                      <w:sz w:val="18"/>
                      <w:szCs w:val="18"/>
                      <w:lang w:val="en-US" w:eastAsia="zh-CN"/>
                    </w:rPr>
                  </w:pPr>
                </w:p>
              </w:tc>
              <w:tc>
                <w:tcPr>
                  <w:tcW w:w="654" w:type="pct"/>
                  <w:shd w:val="clear" w:color="auto" w:fill="auto"/>
                  <w:vAlign w:val="center"/>
                </w:tcPr>
                <w:p w14:paraId="16965517">
                  <w:pPr>
                    <w:widowControl/>
                    <w:jc w:val="center"/>
                    <w:rPr>
                      <w:rFonts w:hint="eastAsia" w:eastAsia="宋体" w:cs="宋体"/>
                      <w:kern w:val="0"/>
                      <w:sz w:val="18"/>
                      <w:szCs w:val="18"/>
                      <w:lang w:eastAsia="zh-CN"/>
                    </w:rPr>
                  </w:pPr>
                  <w:r>
                    <w:rPr>
                      <w:rFonts w:hint="eastAsia" w:cs="宋体"/>
                      <w:kern w:val="0"/>
                      <w:sz w:val="18"/>
                      <w:szCs w:val="18"/>
                      <w:lang w:eastAsia="zh-CN"/>
                    </w:rPr>
                    <w:t>氨氮</w:t>
                  </w:r>
                </w:p>
              </w:tc>
              <w:tc>
                <w:tcPr>
                  <w:tcW w:w="536" w:type="pct"/>
                  <w:shd w:val="clear" w:color="auto" w:fill="auto"/>
                  <w:vAlign w:val="center"/>
                </w:tcPr>
                <w:p w14:paraId="4D576AFA">
                  <w:pPr>
                    <w:widowControl/>
                    <w:jc w:val="center"/>
                    <w:rPr>
                      <w:rFonts w:hint="default" w:cs="宋体"/>
                      <w:kern w:val="0"/>
                      <w:sz w:val="18"/>
                      <w:szCs w:val="18"/>
                      <w:lang w:val="en-US" w:eastAsia="zh-CN"/>
                    </w:rPr>
                  </w:pPr>
                  <w:r>
                    <w:rPr>
                      <w:rFonts w:hint="eastAsia" w:cs="宋体"/>
                      <w:kern w:val="0"/>
                      <w:sz w:val="18"/>
                      <w:szCs w:val="18"/>
                      <w:lang w:val="en-US" w:eastAsia="zh-CN"/>
                    </w:rPr>
                    <w:t>0.871</w:t>
                  </w:r>
                </w:p>
              </w:tc>
              <w:tc>
                <w:tcPr>
                  <w:tcW w:w="534" w:type="pct"/>
                  <w:gridSpan w:val="2"/>
                  <w:shd w:val="clear" w:color="auto" w:fill="auto"/>
                  <w:vAlign w:val="center"/>
                </w:tcPr>
                <w:p w14:paraId="1B79DE7E">
                  <w:pPr>
                    <w:widowControl/>
                    <w:jc w:val="center"/>
                    <w:rPr>
                      <w:rFonts w:hint="default" w:eastAsia="宋体" w:cs="宋体"/>
                      <w:kern w:val="0"/>
                      <w:sz w:val="18"/>
                      <w:szCs w:val="18"/>
                      <w:lang w:val="en-US" w:eastAsia="zh-CN"/>
                    </w:rPr>
                  </w:pPr>
                  <w:r>
                    <w:rPr>
                      <w:rFonts w:hint="eastAsia" w:cs="宋体"/>
                      <w:kern w:val="0"/>
                      <w:sz w:val="18"/>
                      <w:szCs w:val="18"/>
                      <w:lang w:val="en-US" w:eastAsia="zh-CN"/>
                    </w:rPr>
                    <w:t>0.769</w:t>
                  </w:r>
                </w:p>
              </w:tc>
              <w:tc>
                <w:tcPr>
                  <w:tcW w:w="534" w:type="pct"/>
                  <w:gridSpan w:val="2"/>
                  <w:shd w:val="clear" w:color="auto" w:fill="auto"/>
                  <w:vAlign w:val="center"/>
                </w:tcPr>
                <w:p w14:paraId="2C8EAA01">
                  <w:pPr>
                    <w:widowControl/>
                    <w:jc w:val="center"/>
                    <w:rPr>
                      <w:rFonts w:hint="default" w:eastAsia="宋体" w:cs="宋体"/>
                      <w:kern w:val="0"/>
                      <w:sz w:val="18"/>
                      <w:szCs w:val="18"/>
                      <w:lang w:val="en-US" w:eastAsia="zh-CN"/>
                    </w:rPr>
                  </w:pPr>
                  <w:r>
                    <w:rPr>
                      <w:rFonts w:hint="eastAsia" w:cs="宋体"/>
                      <w:kern w:val="0"/>
                      <w:sz w:val="18"/>
                      <w:szCs w:val="18"/>
                      <w:lang w:val="en-US" w:eastAsia="zh-CN"/>
                    </w:rPr>
                    <w:t>0.821</w:t>
                  </w:r>
                </w:p>
              </w:tc>
              <w:tc>
                <w:tcPr>
                  <w:tcW w:w="548" w:type="pct"/>
                  <w:shd w:val="clear" w:color="auto" w:fill="auto"/>
                  <w:vAlign w:val="center"/>
                </w:tcPr>
                <w:p w14:paraId="2E3CDA6D">
                  <w:pPr>
                    <w:widowControl/>
                    <w:jc w:val="center"/>
                    <w:rPr>
                      <w:rFonts w:hint="default" w:cs="宋体"/>
                      <w:kern w:val="0"/>
                      <w:sz w:val="18"/>
                      <w:szCs w:val="18"/>
                      <w:lang w:val="en-US" w:eastAsia="zh-CN"/>
                    </w:rPr>
                  </w:pPr>
                  <w:r>
                    <w:rPr>
                      <w:rFonts w:hint="eastAsia" w:cs="宋体"/>
                      <w:kern w:val="0"/>
                      <w:sz w:val="18"/>
                      <w:szCs w:val="18"/>
                      <w:lang w:val="en-US" w:eastAsia="zh-CN"/>
                    </w:rPr>
                    <w:t>0.839</w:t>
                  </w:r>
                </w:p>
              </w:tc>
              <w:tc>
                <w:tcPr>
                  <w:tcW w:w="573" w:type="pct"/>
                  <w:shd w:val="clear" w:color="auto" w:fill="auto"/>
                  <w:vAlign w:val="center"/>
                </w:tcPr>
                <w:p w14:paraId="027B45A4">
                  <w:pPr>
                    <w:widowControl/>
                    <w:jc w:val="center"/>
                    <w:rPr>
                      <w:rFonts w:hint="default" w:eastAsia="宋体" w:cs="宋体"/>
                      <w:kern w:val="0"/>
                      <w:sz w:val="18"/>
                      <w:szCs w:val="18"/>
                      <w:lang w:val="en-US" w:eastAsia="zh-CN"/>
                    </w:rPr>
                  </w:pPr>
                  <w:r>
                    <w:rPr>
                      <w:rFonts w:hint="eastAsia" w:cs="宋体"/>
                      <w:kern w:val="0"/>
                      <w:sz w:val="18"/>
                      <w:szCs w:val="18"/>
                      <w:lang w:val="en-US" w:eastAsia="zh-CN"/>
                    </w:rPr>
                    <w:t>45</w:t>
                  </w:r>
                </w:p>
              </w:tc>
              <w:tc>
                <w:tcPr>
                  <w:tcW w:w="536" w:type="pct"/>
                  <w:shd w:val="clear" w:color="auto" w:fill="auto"/>
                  <w:vAlign w:val="center"/>
                </w:tcPr>
                <w:p w14:paraId="509DBC8B">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rPr>
                    <w:t>达标</w:t>
                  </w:r>
                </w:p>
              </w:tc>
            </w:tr>
            <w:tr w14:paraId="021254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continue"/>
                  <w:vAlign w:val="center"/>
                </w:tcPr>
                <w:p w14:paraId="76F08FB7">
                  <w:pPr>
                    <w:widowControl/>
                    <w:jc w:val="center"/>
                    <w:rPr>
                      <w:rFonts w:hint="eastAsia" w:cs="宋体"/>
                      <w:kern w:val="0"/>
                      <w:sz w:val="18"/>
                      <w:szCs w:val="18"/>
                      <w:lang w:val="en-US" w:eastAsia="zh-CN"/>
                    </w:rPr>
                  </w:pPr>
                </w:p>
              </w:tc>
              <w:tc>
                <w:tcPr>
                  <w:tcW w:w="545" w:type="pct"/>
                  <w:vMerge w:val="continue"/>
                  <w:shd w:val="clear" w:color="auto" w:fill="auto"/>
                  <w:vAlign w:val="center"/>
                </w:tcPr>
                <w:p w14:paraId="0FF01091">
                  <w:pPr>
                    <w:widowControl/>
                    <w:jc w:val="center"/>
                    <w:rPr>
                      <w:rFonts w:hint="eastAsia" w:cs="宋体"/>
                      <w:kern w:val="0"/>
                      <w:sz w:val="18"/>
                      <w:szCs w:val="18"/>
                      <w:lang w:val="en-US" w:eastAsia="zh-CN"/>
                    </w:rPr>
                  </w:pPr>
                </w:p>
              </w:tc>
              <w:tc>
                <w:tcPr>
                  <w:tcW w:w="654" w:type="pct"/>
                  <w:shd w:val="clear" w:color="auto" w:fill="auto"/>
                  <w:vAlign w:val="center"/>
                </w:tcPr>
                <w:p w14:paraId="0AD698CE">
                  <w:pPr>
                    <w:widowControl/>
                    <w:jc w:val="center"/>
                    <w:rPr>
                      <w:rFonts w:hint="eastAsia" w:eastAsia="宋体" w:cs="宋体"/>
                      <w:kern w:val="0"/>
                      <w:sz w:val="18"/>
                      <w:szCs w:val="18"/>
                      <w:lang w:eastAsia="zh-CN"/>
                    </w:rPr>
                  </w:pPr>
                  <w:r>
                    <w:rPr>
                      <w:rFonts w:hint="eastAsia" w:cs="宋体"/>
                      <w:kern w:val="0"/>
                      <w:sz w:val="18"/>
                      <w:szCs w:val="18"/>
                      <w:lang w:eastAsia="zh-CN"/>
                    </w:rPr>
                    <w:t>动植物油类</w:t>
                  </w:r>
                </w:p>
              </w:tc>
              <w:tc>
                <w:tcPr>
                  <w:tcW w:w="536" w:type="pct"/>
                  <w:shd w:val="clear" w:color="auto" w:fill="auto"/>
                  <w:vAlign w:val="center"/>
                </w:tcPr>
                <w:p w14:paraId="57E2857F">
                  <w:pPr>
                    <w:widowControl/>
                    <w:jc w:val="center"/>
                    <w:rPr>
                      <w:rFonts w:hint="default" w:cs="宋体"/>
                      <w:kern w:val="0"/>
                      <w:sz w:val="18"/>
                      <w:szCs w:val="18"/>
                      <w:lang w:val="en-US" w:eastAsia="zh-CN"/>
                    </w:rPr>
                  </w:pPr>
                  <w:r>
                    <w:rPr>
                      <w:rFonts w:hint="eastAsia" w:cs="宋体"/>
                      <w:kern w:val="0"/>
                      <w:sz w:val="18"/>
                      <w:szCs w:val="18"/>
                      <w:lang w:val="en-US" w:eastAsia="zh-CN"/>
                    </w:rPr>
                    <w:t>10.9</w:t>
                  </w:r>
                </w:p>
              </w:tc>
              <w:tc>
                <w:tcPr>
                  <w:tcW w:w="534" w:type="pct"/>
                  <w:gridSpan w:val="2"/>
                  <w:shd w:val="clear" w:color="auto" w:fill="auto"/>
                  <w:vAlign w:val="center"/>
                </w:tcPr>
                <w:p w14:paraId="60592FCB">
                  <w:pPr>
                    <w:widowControl/>
                    <w:jc w:val="center"/>
                    <w:rPr>
                      <w:rFonts w:hint="default" w:eastAsia="宋体" w:cs="宋体"/>
                      <w:kern w:val="0"/>
                      <w:sz w:val="18"/>
                      <w:szCs w:val="18"/>
                      <w:lang w:val="en-US" w:eastAsia="zh-CN"/>
                    </w:rPr>
                  </w:pPr>
                  <w:r>
                    <w:rPr>
                      <w:rFonts w:hint="eastAsia" w:cs="宋体"/>
                      <w:kern w:val="0"/>
                      <w:sz w:val="18"/>
                      <w:szCs w:val="18"/>
                      <w:lang w:val="en-US" w:eastAsia="zh-CN"/>
                    </w:rPr>
                    <w:t>10.6</w:t>
                  </w:r>
                </w:p>
              </w:tc>
              <w:tc>
                <w:tcPr>
                  <w:tcW w:w="534" w:type="pct"/>
                  <w:gridSpan w:val="2"/>
                  <w:shd w:val="clear" w:color="auto" w:fill="auto"/>
                  <w:vAlign w:val="center"/>
                </w:tcPr>
                <w:p w14:paraId="523D7F50">
                  <w:pPr>
                    <w:widowControl/>
                    <w:jc w:val="center"/>
                    <w:rPr>
                      <w:rFonts w:hint="default" w:eastAsia="宋体" w:cs="宋体"/>
                      <w:kern w:val="0"/>
                      <w:sz w:val="18"/>
                      <w:szCs w:val="18"/>
                      <w:lang w:val="en-US" w:eastAsia="zh-CN"/>
                    </w:rPr>
                  </w:pPr>
                  <w:r>
                    <w:rPr>
                      <w:rFonts w:hint="eastAsia" w:cs="宋体"/>
                      <w:kern w:val="0"/>
                      <w:sz w:val="18"/>
                      <w:szCs w:val="18"/>
                      <w:lang w:val="en-US" w:eastAsia="zh-CN"/>
                    </w:rPr>
                    <w:t>11.3</w:t>
                  </w:r>
                </w:p>
              </w:tc>
              <w:tc>
                <w:tcPr>
                  <w:tcW w:w="548" w:type="pct"/>
                  <w:shd w:val="clear" w:color="auto" w:fill="auto"/>
                  <w:vAlign w:val="center"/>
                </w:tcPr>
                <w:p w14:paraId="6E097971">
                  <w:pPr>
                    <w:widowControl/>
                    <w:jc w:val="center"/>
                    <w:rPr>
                      <w:rFonts w:hint="default" w:cs="宋体"/>
                      <w:kern w:val="0"/>
                      <w:sz w:val="18"/>
                      <w:szCs w:val="18"/>
                      <w:lang w:val="en-US" w:eastAsia="zh-CN"/>
                    </w:rPr>
                  </w:pPr>
                  <w:r>
                    <w:rPr>
                      <w:rFonts w:hint="eastAsia" w:cs="宋体"/>
                      <w:kern w:val="0"/>
                      <w:sz w:val="18"/>
                      <w:szCs w:val="18"/>
                      <w:lang w:val="en-US" w:eastAsia="zh-CN"/>
                    </w:rPr>
                    <w:t>11.0</w:t>
                  </w:r>
                </w:p>
              </w:tc>
              <w:tc>
                <w:tcPr>
                  <w:tcW w:w="573" w:type="pct"/>
                  <w:shd w:val="clear" w:color="auto" w:fill="auto"/>
                  <w:vAlign w:val="center"/>
                </w:tcPr>
                <w:p w14:paraId="23391D04">
                  <w:pPr>
                    <w:widowControl/>
                    <w:jc w:val="center"/>
                    <w:rPr>
                      <w:rFonts w:hint="default" w:eastAsia="宋体" w:cs="宋体"/>
                      <w:kern w:val="0"/>
                      <w:sz w:val="18"/>
                      <w:szCs w:val="18"/>
                      <w:lang w:val="en-US" w:eastAsia="zh-CN"/>
                    </w:rPr>
                  </w:pPr>
                  <w:r>
                    <w:rPr>
                      <w:rFonts w:hint="eastAsia" w:cs="宋体"/>
                      <w:kern w:val="0"/>
                      <w:sz w:val="18"/>
                      <w:szCs w:val="18"/>
                      <w:lang w:val="en-US" w:eastAsia="zh-CN"/>
                    </w:rPr>
                    <w:t>100</w:t>
                  </w:r>
                </w:p>
              </w:tc>
              <w:tc>
                <w:tcPr>
                  <w:tcW w:w="536" w:type="pct"/>
                  <w:shd w:val="clear" w:color="auto" w:fill="auto"/>
                  <w:vAlign w:val="center"/>
                </w:tcPr>
                <w:p w14:paraId="03A66263">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rPr>
                    <w:t>达标</w:t>
                  </w:r>
                </w:p>
              </w:tc>
            </w:tr>
            <w:tr w14:paraId="3E81BA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continue"/>
                  <w:shd w:val="clear" w:color="auto" w:fill="auto"/>
                  <w:vAlign w:val="center"/>
                </w:tcPr>
                <w:p w14:paraId="264CE693">
                  <w:pPr>
                    <w:widowControl/>
                    <w:jc w:val="center"/>
                    <w:rPr>
                      <w:rFonts w:hint="default" w:cs="宋体"/>
                      <w:kern w:val="0"/>
                      <w:sz w:val="18"/>
                      <w:szCs w:val="18"/>
                      <w:lang w:val="en-US" w:eastAsia="zh-CN"/>
                    </w:rPr>
                  </w:pPr>
                </w:p>
              </w:tc>
              <w:tc>
                <w:tcPr>
                  <w:tcW w:w="545" w:type="pct"/>
                  <w:vMerge w:val="restart"/>
                  <w:shd w:val="clear" w:color="auto" w:fill="auto"/>
                  <w:vAlign w:val="center"/>
                </w:tcPr>
                <w:p w14:paraId="3BCA51C1">
                  <w:pPr>
                    <w:widowControl/>
                    <w:jc w:val="center"/>
                    <w:rPr>
                      <w:rFonts w:hint="eastAsia" w:cs="宋体"/>
                      <w:kern w:val="0"/>
                      <w:sz w:val="18"/>
                      <w:szCs w:val="18"/>
                      <w:lang w:val="en-US" w:eastAsia="zh-CN"/>
                    </w:rPr>
                  </w:pPr>
                  <w:r>
                    <w:rPr>
                      <w:rFonts w:hint="eastAsia" w:cs="宋体"/>
                      <w:kern w:val="0"/>
                      <w:sz w:val="18"/>
                      <w:szCs w:val="18"/>
                      <w:lang w:val="en-US" w:eastAsia="zh-CN"/>
                    </w:rPr>
                    <w:t>W2生活污水排口2#</w:t>
                  </w:r>
                </w:p>
              </w:tc>
              <w:tc>
                <w:tcPr>
                  <w:tcW w:w="654" w:type="pct"/>
                  <w:shd w:val="clear" w:color="auto" w:fill="auto"/>
                  <w:vAlign w:val="center"/>
                </w:tcPr>
                <w:p w14:paraId="0690DFF6">
                  <w:pPr>
                    <w:widowControl/>
                    <w:jc w:val="center"/>
                    <w:rPr>
                      <w:rFonts w:cs="宋体"/>
                      <w:kern w:val="0"/>
                      <w:sz w:val="18"/>
                      <w:szCs w:val="18"/>
                    </w:rPr>
                  </w:pPr>
                  <w:r>
                    <w:rPr>
                      <w:rFonts w:hint="eastAsia" w:cs="宋体"/>
                      <w:kern w:val="0"/>
                      <w:sz w:val="18"/>
                      <w:szCs w:val="18"/>
                      <w:lang w:val="en-US" w:eastAsia="zh-CN"/>
                    </w:rPr>
                    <w:t>PH</w:t>
                  </w:r>
                  <w:r>
                    <w:rPr>
                      <w:rFonts w:hint="eastAsia" w:cs="宋体"/>
                      <w:kern w:val="0"/>
                      <w:sz w:val="18"/>
                      <w:szCs w:val="18"/>
                    </w:rPr>
                    <w:t xml:space="preserve"> </w:t>
                  </w:r>
                </w:p>
              </w:tc>
              <w:tc>
                <w:tcPr>
                  <w:tcW w:w="538" w:type="pct"/>
                  <w:gridSpan w:val="2"/>
                  <w:shd w:val="clear" w:color="auto" w:fill="auto"/>
                  <w:vAlign w:val="center"/>
                </w:tcPr>
                <w:p w14:paraId="74D82BC2">
                  <w:pPr>
                    <w:widowControl/>
                    <w:jc w:val="center"/>
                    <w:rPr>
                      <w:rFonts w:hint="default" w:cs="宋体"/>
                      <w:kern w:val="0"/>
                      <w:sz w:val="18"/>
                      <w:szCs w:val="18"/>
                      <w:lang w:val="en-US" w:eastAsia="zh-CN"/>
                    </w:rPr>
                  </w:pPr>
                  <w:r>
                    <w:rPr>
                      <w:rFonts w:hint="eastAsia" w:cs="宋体"/>
                      <w:kern w:val="0"/>
                      <w:sz w:val="18"/>
                      <w:szCs w:val="18"/>
                      <w:lang w:val="en-US" w:eastAsia="zh-CN"/>
                    </w:rPr>
                    <w:t>7.4</w:t>
                  </w:r>
                </w:p>
              </w:tc>
              <w:tc>
                <w:tcPr>
                  <w:tcW w:w="532" w:type="pct"/>
                  <w:shd w:val="clear" w:color="auto" w:fill="auto"/>
                  <w:vAlign w:val="center"/>
                </w:tcPr>
                <w:p w14:paraId="72103AA3">
                  <w:pPr>
                    <w:widowControl/>
                    <w:jc w:val="center"/>
                    <w:rPr>
                      <w:rFonts w:hint="eastAsia" w:cs="宋体"/>
                      <w:kern w:val="0"/>
                      <w:sz w:val="18"/>
                      <w:szCs w:val="18"/>
                    </w:rPr>
                  </w:pPr>
                  <w:r>
                    <w:rPr>
                      <w:rFonts w:hint="eastAsia" w:cs="宋体"/>
                      <w:kern w:val="0"/>
                      <w:sz w:val="18"/>
                      <w:szCs w:val="18"/>
                      <w:lang w:val="en-US" w:eastAsia="zh-CN"/>
                    </w:rPr>
                    <w:t>7.4</w:t>
                  </w:r>
                </w:p>
              </w:tc>
              <w:tc>
                <w:tcPr>
                  <w:tcW w:w="516" w:type="pct"/>
                  <w:shd w:val="clear" w:color="auto" w:fill="auto"/>
                  <w:vAlign w:val="center"/>
                </w:tcPr>
                <w:p w14:paraId="778307E4">
                  <w:pPr>
                    <w:widowControl/>
                    <w:jc w:val="center"/>
                    <w:rPr>
                      <w:rFonts w:hint="default" w:eastAsia="宋体" w:cs="宋体"/>
                      <w:kern w:val="0"/>
                      <w:sz w:val="18"/>
                      <w:szCs w:val="18"/>
                      <w:lang w:val="en-US" w:eastAsia="zh-CN"/>
                    </w:rPr>
                  </w:pPr>
                  <w:r>
                    <w:rPr>
                      <w:rFonts w:hint="eastAsia" w:cs="宋体"/>
                      <w:kern w:val="0"/>
                      <w:sz w:val="18"/>
                      <w:szCs w:val="18"/>
                      <w:lang w:val="en-US" w:eastAsia="zh-CN"/>
                    </w:rPr>
                    <w:t>7.5</w:t>
                  </w:r>
                </w:p>
              </w:tc>
              <w:tc>
                <w:tcPr>
                  <w:tcW w:w="566" w:type="pct"/>
                  <w:gridSpan w:val="2"/>
                  <w:shd w:val="clear" w:color="auto" w:fill="auto"/>
                  <w:vAlign w:val="center"/>
                </w:tcPr>
                <w:p w14:paraId="6FAF9A4B">
                  <w:pPr>
                    <w:widowControl/>
                    <w:jc w:val="center"/>
                    <w:rPr>
                      <w:rFonts w:hint="default" w:eastAsia="宋体" w:cs="宋体"/>
                      <w:kern w:val="0"/>
                      <w:sz w:val="18"/>
                      <w:szCs w:val="18"/>
                      <w:lang w:val="en-US" w:eastAsia="zh-CN"/>
                    </w:rPr>
                  </w:pPr>
                  <w:r>
                    <w:rPr>
                      <w:rFonts w:hint="eastAsia" w:cs="宋体"/>
                      <w:kern w:val="0"/>
                      <w:sz w:val="18"/>
                      <w:szCs w:val="18"/>
                      <w:lang w:val="en-US" w:eastAsia="zh-CN"/>
                    </w:rPr>
                    <w:t>7.5</w:t>
                  </w:r>
                </w:p>
              </w:tc>
              <w:tc>
                <w:tcPr>
                  <w:tcW w:w="573" w:type="pct"/>
                  <w:shd w:val="clear" w:color="auto" w:fill="auto"/>
                  <w:vAlign w:val="center"/>
                </w:tcPr>
                <w:p w14:paraId="191B0A99">
                  <w:pPr>
                    <w:widowControl/>
                    <w:jc w:val="center"/>
                    <w:rPr>
                      <w:rFonts w:cs="宋体"/>
                      <w:kern w:val="0"/>
                      <w:sz w:val="18"/>
                      <w:szCs w:val="18"/>
                    </w:rPr>
                  </w:pPr>
                  <w:r>
                    <w:rPr>
                      <w:rFonts w:hint="eastAsia" w:cs="宋体"/>
                      <w:kern w:val="0"/>
                      <w:sz w:val="18"/>
                      <w:szCs w:val="18"/>
                      <w:lang w:val="en-US" w:eastAsia="zh-CN"/>
                    </w:rPr>
                    <w:t>6-9</w:t>
                  </w:r>
                </w:p>
              </w:tc>
              <w:tc>
                <w:tcPr>
                  <w:tcW w:w="536" w:type="pct"/>
                  <w:shd w:val="clear" w:color="auto" w:fill="auto"/>
                  <w:vAlign w:val="center"/>
                </w:tcPr>
                <w:p w14:paraId="5E5C873C">
                  <w:pPr>
                    <w:widowControl/>
                    <w:jc w:val="center"/>
                    <w:rPr>
                      <w:rFonts w:cs="宋体"/>
                      <w:kern w:val="0"/>
                      <w:sz w:val="18"/>
                      <w:szCs w:val="18"/>
                    </w:rPr>
                  </w:pPr>
                  <w:r>
                    <w:rPr>
                      <w:rFonts w:hint="eastAsia" w:cs="宋体"/>
                      <w:kern w:val="0"/>
                      <w:sz w:val="18"/>
                      <w:szCs w:val="18"/>
                    </w:rPr>
                    <w:t>达标</w:t>
                  </w:r>
                </w:p>
              </w:tc>
            </w:tr>
            <w:tr w14:paraId="29C273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continue"/>
                  <w:vAlign w:val="center"/>
                </w:tcPr>
                <w:p w14:paraId="611146D4">
                  <w:pPr>
                    <w:widowControl/>
                    <w:jc w:val="left"/>
                    <w:rPr>
                      <w:rFonts w:cs="宋体"/>
                      <w:kern w:val="0"/>
                      <w:sz w:val="18"/>
                      <w:szCs w:val="18"/>
                    </w:rPr>
                  </w:pPr>
                </w:p>
              </w:tc>
              <w:tc>
                <w:tcPr>
                  <w:tcW w:w="545" w:type="pct"/>
                  <w:vMerge w:val="continue"/>
                  <w:shd w:val="clear" w:color="auto" w:fill="auto"/>
                  <w:vAlign w:val="center"/>
                </w:tcPr>
                <w:p w14:paraId="56D449BF">
                  <w:pPr>
                    <w:widowControl/>
                    <w:jc w:val="left"/>
                    <w:rPr>
                      <w:rFonts w:cs="宋体"/>
                      <w:kern w:val="0"/>
                      <w:sz w:val="18"/>
                      <w:szCs w:val="18"/>
                    </w:rPr>
                  </w:pPr>
                </w:p>
              </w:tc>
              <w:tc>
                <w:tcPr>
                  <w:tcW w:w="654" w:type="pct"/>
                  <w:shd w:val="clear" w:color="auto" w:fill="auto"/>
                  <w:vAlign w:val="center"/>
                </w:tcPr>
                <w:p w14:paraId="682D0BE2">
                  <w:pPr>
                    <w:widowControl/>
                    <w:jc w:val="center"/>
                    <w:rPr>
                      <w:rFonts w:cs="宋体"/>
                      <w:kern w:val="0"/>
                      <w:sz w:val="18"/>
                      <w:szCs w:val="18"/>
                    </w:rPr>
                  </w:pPr>
                  <w:r>
                    <w:rPr>
                      <w:rFonts w:hint="eastAsia" w:cs="宋体"/>
                      <w:kern w:val="0"/>
                      <w:sz w:val="18"/>
                      <w:szCs w:val="18"/>
                      <w:lang w:val="en-US" w:eastAsia="zh-CN"/>
                    </w:rPr>
                    <w:t>COD</w:t>
                  </w:r>
                </w:p>
              </w:tc>
              <w:tc>
                <w:tcPr>
                  <w:tcW w:w="538" w:type="pct"/>
                  <w:gridSpan w:val="2"/>
                  <w:shd w:val="clear" w:color="auto" w:fill="auto"/>
                  <w:vAlign w:val="center"/>
                </w:tcPr>
                <w:p w14:paraId="62D392C7">
                  <w:pPr>
                    <w:widowControl/>
                    <w:jc w:val="center"/>
                    <w:rPr>
                      <w:rFonts w:hint="default" w:cs="宋体"/>
                      <w:kern w:val="0"/>
                      <w:sz w:val="18"/>
                      <w:szCs w:val="18"/>
                      <w:lang w:val="en-US" w:eastAsia="zh-CN"/>
                    </w:rPr>
                  </w:pPr>
                  <w:r>
                    <w:rPr>
                      <w:rFonts w:hint="eastAsia" w:cs="宋体"/>
                      <w:kern w:val="0"/>
                      <w:sz w:val="18"/>
                      <w:szCs w:val="18"/>
                      <w:lang w:val="en-US" w:eastAsia="zh-CN"/>
                    </w:rPr>
                    <w:t>192</w:t>
                  </w:r>
                </w:p>
              </w:tc>
              <w:tc>
                <w:tcPr>
                  <w:tcW w:w="532" w:type="pct"/>
                  <w:shd w:val="clear" w:color="auto" w:fill="auto"/>
                  <w:vAlign w:val="center"/>
                </w:tcPr>
                <w:p w14:paraId="5CE2A337">
                  <w:pPr>
                    <w:widowControl/>
                    <w:jc w:val="center"/>
                    <w:rPr>
                      <w:rFonts w:hint="default" w:eastAsia="宋体" w:cs="宋体"/>
                      <w:kern w:val="0"/>
                      <w:sz w:val="18"/>
                      <w:szCs w:val="18"/>
                      <w:lang w:val="en-US" w:eastAsia="zh-CN"/>
                    </w:rPr>
                  </w:pPr>
                  <w:r>
                    <w:rPr>
                      <w:rFonts w:hint="eastAsia" w:cs="宋体"/>
                      <w:kern w:val="0"/>
                      <w:sz w:val="18"/>
                      <w:szCs w:val="18"/>
                      <w:lang w:val="en-US" w:eastAsia="zh-CN"/>
                    </w:rPr>
                    <w:t>209</w:t>
                  </w:r>
                </w:p>
              </w:tc>
              <w:tc>
                <w:tcPr>
                  <w:tcW w:w="516" w:type="pct"/>
                  <w:shd w:val="clear" w:color="auto" w:fill="auto"/>
                  <w:vAlign w:val="center"/>
                </w:tcPr>
                <w:p w14:paraId="697CB649">
                  <w:pPr>
                    <w:widowControl/>
                    <w:jc w:val="center"/>
                    <w:rPr>
                      <w:rFonts w:hint="default" w:eastAsia="宋体" w:cs="宋体"/>
                      <w:kern w:val="0"/>
                      <w:sz w:val="18"/>
                      <w:szCs w:val="18"/>
                      <w:lang w:val="en-US" w:eastAsia="zh-CN"/>
                    </w:rPr>
                  </w:pPr>
                  <w:r>
                    <w:rPr>
                      <w:rFonts w:hint="eastAsia" w:cs="宋体"/>
                      <w:kern w:val="0"/>
                      <w:sz w:val="18"/>
                      <w:szCs w:val="18"/>
                      <w:lang w:val="en-US" w:eastAsia="zh-CN"/>
                    </w:rPr>
                    <w:t>205</w:t>
                  </w:r>
                </w:p>
              </w:tc>
              <w:tc>
                <w:tcPr>
                  <w:tcW w:w="566" w:type="pct"/>
                  <w:gridSpan w:val="2"/>
                  <w:shd w:val="clear" w:color="auto" w:fill="auto"/>
                  <w:vAlign w:val="center"/>
                </w:tcPr>
                <w:p w14:paraId="074FD7CD">
                  <w:pPr>
                    <w:widowControl/>
                    <w:jc w:val="center"/>
                    <w:rPr>
                      <w:rFonts w:hint="default" w:eastAsia="宋体" w:cs="宋体"/>
                      <w:kern w:val="0"/>
                      <w:sz w:val="18"/>
                      <w:szCs w:val="18"/>
                      <w:lang w:val="en-US" w:eastAsia="zh-CN"/>
                    </w:rPr>
                  </w:pPr>
                  <w:r>
                    <w:rPr>
                      <w:rFonts w:hint="eastAsia" w:cs="宋体"/>
                      <w:kern w:val="0"/>
                      <w:sz w:val="18"/>
                      <w:szCs w:val="18"/>
                      <w:lang w:val="en-US" w:eastAsia="zh-CN"/>
                    </w:rPr>
                    <w:t>197</w:t>
                  </w:r>
                </w:p>
              </w:tc>
              <w:tc>
                <w:tcPr>
                  <w:tcW w:w="573" w:type="pct"/>
                  <w:shd w:val="clear" w:color="auto" w:fill="auto"/>
                  <w:vAlign w:val="center"/>
                </w:tcPr>
                <w:p w14:paraId="6D48DF6C">
                  <w:pPr>
                    <w:widowControl/>
                    <w:jc w:val="center"/>
                    <w:rPr>
                      <w:rFonts w:cs="宋体"/>
                      <w:kern w:val="0"/>
                      <w:sz w:val="18"/>
                      <w:szCs w:val="18"/>
                    </w:rPr>
                  </w:pPr>
                  <w:r>
                    <w:rPr>
                      <w:rFonts w:hint="eastAsia" w:cs="宋体"/>
                      <w:kern w:val="0"/>
                      <w:sz w:val="18"/>
                      <w:szCs w:val="18"/>
                      <w:lang w:val="en-US" w:eastAsia="zh-CN"/>
                    </w:rPr>
                    <w:t>500</w:t>
                  </w:r>
                </w:p>
              </w:tc>
              <w:tc>
                <w:tcPr>
                  <w:tcW w:w="536" w:type="pct"/>
                  <w:shd w:val="clear" w:color="auto" w:fill="auto"/>
                  <w:vAlign w:val="center"/>
                </w:tcPr>
                <w:p w14:paraId="3F44FCF5">
                  <w:pPr>
                    <w:widowControl/>
                    <w:jc w:val="center"/>
                    <w:rPr>
                      <w:rFonts w:cs="宋体"/>
                      <w:kern w:val="0"/>
                      <w:sz w:val="18"/>
                      <w:szCs w:val="18"/>
                    </w:rPr>
                  </w:pPr>
                  <w:r>
                    <w:rPr>
                      <w:rFonts w:hint="eastAsia" w:cs="宋体"/>
                      <w:kern w:val="0"/>
                      <w:sz w:val="18"/>
                      <w:szCs w:val="18"/>
                    </w:rPr>
                    <w:t>达标</w:t>
                  </w:r>
                </w:p>
              </w:tc>
            </w:tr>
            <w:tr w14:paraId="4F204B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continue"/>
                  <w:vAlign w:val="center"/>
                </w:tcPr>
                <w:p w14:paraId="4C1CADF6">
                  <w:pPr>
                    <w:widowControl/>
                    <w:jc w:val="left"/>
                    <w:rPr>
                      <w:rFonts w:cs="宋体"/>
                      <w:kern w:val="0"/>
                      <w:sz w:val="18"/>
                      <w:szCs w:val="18"/>
                    </w:rPr>
                  </w:pPr>
                </w:p>
              </w:tc>
              <w:tc>
                <w:tcPr>
                  <w:tcW w:w="545" w:type="pct"/>
                  <w:vMerge w:val="continue"/>
                  <w:shd w:val="clear" w:color="auto" w:fill="auto"/>
                  <w:vAlign w:val="center"/>
                </w:tcPr>
                <w:p w14:paraId="5898696F">
                  <w:pPr>
                    <w:widowControl/>
                    <w:jc w:val="left"/>
                    <w:rPr>
                      <w:rFonts w:cs="宋体"/>
                      <w:kern w:val="0"/>
                      <w:sz w:val="18"/>
                      <w:szCs w:val="18"/>
                    </w:rPr>
                  </w:pPr>
                </w:p>
              </w:tc>
              <w:tc>
                <w:tcPr>
                  <w:tcW w:w="654" w:type="pct"/>
                  <w:shd w:val="clear" w:color="auto" w:fill="auto"/>
                  <w:vAlign w:val="center"/>
                </w:tcPr>
                <w:p w14:paraId="5FF48217">
                  <w:pPr>
                    <w:widowControl/>
                    <w:jc w:val="center"/>
                    <w:rPr>
                      <w:rFonts w:cs="宋体"/>
                      <w:kern w:val="0"/>
                      <w:sz w:val="18"/>
                      <w:szCs w:val="18"/>
                    </w:rPr>
                  </w:pPr>
                  <w:r>
                    <w:rPr>
                      <w:rFonts w:hint="eastAsia" w:cs="宋体"/>
                      <w:kern w:val="0"/>
                      <w:sz w:val="18"/>
                      <w:szCs w:val="18"/>
                      <w:lang w:val="en-US" w:eastAsia="zh-CN"/>
                    </w:rPr>
                    <w:t>BOD5</w:t>
                  </w:r>
                </w:p>
              </w:tc>
              <w:tc>
                <w:tcPr>
                  <w:tcW w:w="538" w:type="pct"/>
                  <w:gridSpan w:val="2"/>
                  <w:shd w:val="clear" w:color="auto" w:fill="auto"/>
                  <w:vAlign w:val="center"/>
                </w:tcPr>
                <w:p w14:paraId="52C95EB1">
                  <w:pPr>
                    <w:widowControl/>
                    <w:jc w:val="center"/>
                    <w:rPr>
                      <w:rFonts w:hint="default" w:cs="宋体"/>
                      <w:kern w:val="0"/>
                      <w:sz w:val="18"/>
                      <w:szCs w:val="18"/>
                      <w:lang w:val="en-US" w:eastAsia="zh-CN"/>
                    </w:rPr>
                  </w:pPr>
                  <w:r>
                    <w:rPr>
                      <w:rFonts w:hint="eastAsia" w:cs="宋体"/>
                      <w:kern w:val="0"/>
                      <w:sz w:val="18"/>
                      <w:szCs w:val="18"/>
                      <w:lang w:val="en-US" w:eastAsia="zh-CN"/>
                    </w:rPr>
                    <w:t>67.4</w:t>
                  </w:r>
                </w:p>
              </w:tc>
              <w:tc>
                <w:tcPr>
                  <w:tcW w:w="532" w:type="pct"/>
                  <w:shd w:val="clear" w:color="auto" w:fill="auto"/>
                  <w:vAlign w:val="center"/>
                </w:tcPr>
                <w:p w14:paraId="470F8B40">
                  <w:pPr>
                    <w:widowControl/>
                    <w:jc w:val="center"/>
                    <w:rPr>
                      <w:rFonts w:hint="default" w:eastAsia="宋体" w:cs="宋体"/>
                      <w:kern w:val="0"/>
                      <w:sz w:val="18"/>
                      <w:szCs w:val="18"/>
                      <w:lang w:val="en-US" w:eastAsia="zh-CN"/>
                    </w:rPr>
                  </w:pPr>
                  <w:r>
                    <w:rPr>
                      <w:rFonts w:hint="eastAsia" w:cs="宋体"/>
                      <w:kern w:val="0"/>
                      <w:sz w:val="18"/>
                      <w:szCs w:val="18"/>
                      <w:lang w:val="en-US" w:eastAsia="zh-CN"/>
                    </w:rPr>
                    <w:t>62.0</w:t>
                  </w:r>
                </w:p>
              </w:tc>
              <w:tc>
                <w:tcPr>
                  <w:tcW w:w="516" w:type="pct"/>
                  <w:shd w:val="clear" w:color="auto" w:fill="auto"/>
                  <w:vAlign w:val="center"/>
                </w:tcPr>
                <w:p w14:paraId="48ADD92A">
                  <w:pPr>
                    <w:widowControl/>
                    <w:jc w:val="center"/>
                    <w:rPr>
                      <w:rFonts w:hint="default" w:eastAsia="宋体" w:cs="宋体"/>
                      <w:kern w:val="0"/>
                      <w:sz w:val="18"/>
                      <w:szCs w:val="18"/>
                      <w:lang w:val="en-US" w:eastAsia="zh-CN"/>
                    </w:rPr>
                  </w:pPr>
                  <w:r>
                    <w:rPr>
                      <w:rFonts w:hint="eastAsia" w:cs="宋体"/>
                      <w:kern w:val="0"/>
                      <w:sz w:val="18"/>
                      <w:szCs w:val="18"/>
                      <w:lang w:val="en-US" w:eastAsia="zh-CN"/>
                    </w:rPr>
                    <w:t>76.0</w:t>
                  </w:r>
                </w:p>
              </w:tc>
              <w:tc>
                <w:tcPr>
                  <w:tcW w:w="566" w:type="pct"/>
                  <w:gridSpan w:val="2"/>
                  <w:shd w:val="clear" w:color="auto" w:fill="auto"/>
                  <w:vAlign w:val="center"/>
                </w:tcPr>
                <w:p w14:paraId="5F9659E9">
                  <w:pPr>
                    <w:widowControl/>
                    <w:jc w:val="center"/>
                    <w:rPr>
                      <w:rFonts w:hint="default" w:eastAsia="宋体" w:cs="宋体"/>
                      <w:kern w:val="0"/>
                      <w:sz w:val="18"/>
                      <w:szCs w:val="18"/>
                      <w:lang w:val="en-US" w:eastAsia="zh-CN"/>
                    </w:rPr>
                  </w:pPr>
                  <w:r>
                    <w:rPr>
                      <w:rFonts w:hint="eastAsia" w:cs="宋体"/>
                      <w:kern w:val="0"/>
                      <w:sz w:val="18"/>
                      <w:szCs w:val="18"/>
                      <w:lang w:val="en-US" w:eastAsia="zh-CN"/>
                    </w:rPr>
                    <w:t>79.4</w:t>
                  </w:r>
                </w:p>
              </w:tc>
              <w:tc>
                <w:tcPr>
                  <w:tcW w:w="573" w:type="pct"/>
                  <w:shd w:val="clear" w:color="auto" w:fill="auto"/>
                  <w:vAlign w:val="center"/>
                </w:tcPr>
                <w:p w14:paraId="0DBEAF53">
                  <w:pPr>
                    <w:widowControl/>
                    <w:jc w:val="center"/>
                    <w:rPr>
                      <w:rFonts w:cs="宋体"/>
                      <w:kern w:val="0"/>
                      <w:sz w:val="18"/>
                      <w:szCs w:val="18"/>
                    </w:rPr>
                  </w:pPr>
                  <w:r>
                    <w:rPr>
                      <w:rFonts w:hint="eastAsia" w:cs="宋体"/>
                      <w:kern w:val="0"/>
                      <w:sz w:val="18"/>
                      <w:szCs w:val="18"/>
                      <w:lang w:val="en-US" w:eastAsia="zh-CN"/>
                    </w:rPr>
                    <w:t>300</w:t>
                  </w:r>
                </w:p>
              </w:tc>
              <w:tc>
                <w:tcPr>
                  <w:tcW w:w="536" w:type="pct"/>
                  <w:shd w:val="clear" w:color="auto" w:fill="auto"/>
                  <w:vAlign w:val="center"/>
                </w:tcPr>
                <w:p w14:paraId="2D91D9B7">
                  <w:pPr>
                    <w:widowControl/>
                    <w:jc w:val="center"/>
                    <w:rPr>
                      <w:rFonts w:cs="宋体"/>
                      <w:kern w:val="0"/>
                      <w:sz w:val="18"/>
                      <w:szCs w:val="18"/>
                    </w:rPr>
                  </w:pPr>
                  <w:r>
                    <w:rPr>
                      <w:rFonts w:hint="eastAsia" w:cs="宋体"/>
                      <w:kern w:val="0"/>
                      <w:sz w:val="18"/>
                      <w:szCs w:val="18"/>
                    </w:rPr>
                    <w:t>达标</w:t>
                  </w:r>
                </w:p>
              </w:tc>
            </w:tr>
            <w:tr w14:paraId="3F72E0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continue"/>
                  <w:vAlign w:val="center"/>
                </w:tcPr>
                <w:p w14:paraId="5164CBC7">
                  <w:pPr>
                    <w:widowControl/>
                    <w:jc w:val="left"/>
                    <w:rPr>
                      <w:rFonts w:cs="宋体"/>
                      <w:kern w:val="0"/>
                      <w:sz w:val="18"/>
                      <w:szCs w:val="18"/>
                    </w:rPr>
                  </w:pPr>
                </w:p>
              </w:tc>
              <w:tc>
                <w:tcPr>
                  <w:tcW w:w="545" w:type="pct"/>
                  <w:vMerge w:val="continue"/>
                  <w:shd w:val="clear" w:color="auto" w:fill="auto"/>
                  <w:vAlign w:val="center"/>
                </w:tcPr>
                <w:p w14:paraId="50CE2508">
                  <w:pPr>
                    <w:widowControl/>
                    <w:jc w:val="left"/>
                    <w:rPr>
                      <w:rFonts w:cs="宋体"/>
                      <w:kern w:val="0"/>
                      <w:sz w:val="18"/>
                      <w:szCs w:val="18"/>
                    </w:rPr>
                  </w:pPr>
                </w:p>
              </w:tc>
              <w:tc>
                <w:tcPr>
                  <w:tcW w:w="654" w:type="pct"/>
                  <w:shd w:val="clear" w:color="auto" w:fill="auto"/>
                  <w:vAlign w:val="center"/>
                </w:tcPr>
                <w:p w14:paraId="021907A8">
                  <w:pPr>
                    <w:widowControl/>
                    <w:jc w:val="center"/>
                    <w:rPr>
                      <w:rFonts w:cs="宋体"/>
                      <w:kern w:val="0"/>
                      <w:sz w:val="18"/>
                      <w:szCs w:val="18"/>
                    </w:rPr>
                  </w:pPr>
                  <w:r>
                    <w:rPr>
                      <w:rFonts w:hint="eastAsia" w:cs="宋体"/>
                      <w:kern w:val="0"/>
                      <w:sz w:val="18"/>
                      <w:szCs w:val="18"/>
                      <w:lang w:eastAsia="zh-CN"/>
                    </w:rPr>
                    <w:t>悬浮物</w:t>
                  </w:r>
                </w:p>
              </w:tc>
              <w:tc>
                <w:tcPr>
                  <w:tcW w:w="538" w:type="pct"/>
                  <w:gridSpan w:val="2"/>
                  <w:shd w:val="clear" w:color="auto" w:fill="auto"/>
                  <w:vAlign w:val="center"/>
                </w:tcPr>
                <w:p w14:paraId="082F9274">
                  <w:pPr>
                    <w:widowControl/>
                    <w:jc w:val="center"/>
                    <w:rPr>
                      <w:rFonts w:hint="default" w:cs="宋体"/>
                      <w:kern w:val="0"/>
                      <w:sz w:val="18"/>
                      <w:szCs w:val="18"/>
                      <w:lang w:val="en-US" w:eastAsia="zh-CN"/>
                    </w:rPr>
                  </w:pPr>
                  <w:r>
                    <w:rPr>
                      <w:rFonts w:hint="eastAsia" w:cs="宋体"/>
                      <w:kern w:val="0"/>
                      <w:sz w:val="18"/>
                      <w:szCs w:val="18"/>
                      <w:lang w:val="en-US" w:eastAsia="zh-CN"/>
                    </w:rPr>
                    <w:t>72</w:t>
                  </w:r>
                </w:p>
              </w:tc>
              <w:tc>
                <w:tcPr>
                  <w:tcW w:w="532" w:type="pct"/>
                  <w:shd w:val="clear" w:color="auto" w:fill="auto"/>
                  <w:vAlign w:val="center"/>
                </w:tcPr>
                <w:p w14:paraId="5059AAF7">
                  <w:pPr>
                    <w:widowControl/>
                    <w:jc w:val="center"/>
                    <w:rPr>
                      <w:rFonts w:hint="default" w:eastAsia="宋体" w:cs="宋体"/>
                      <w:kern w:val="0"/>
                      <w:sz w:val="18"/>
                      <w:szCs w:val="18"/>
                      <w:lang w:val="en-US" w:eastAsia="zh-CN"/>
                    </w:rPr>
                  </w:pPr>
                  <w:r>
                    <w:rPr>
                      <w:rFonts w:hint="eastAsia" w:cs="宋体"/>
                      <w:kern w:val="0"/>
                      <w:sz w:val="18"/>
                      <w:szCs w:val="18"/>
                      <w:lang w:val="en-US" w:eastAsia="zh-CN"/>
                    </w:rPr>
                    <w:t>75</w:t>
                  </w:r>
                </w:p>
              </w:tc>
              <w:tc>
                <w:tcPr>
                  <w:tcW w:w="516" w:type="pct"/>
                  <w:shd w:val="clear" w:color="auto" w:fill="auto"/>
                  <w:vAlign w:val="center"/>
                </w:tcPr>
                <w:p w14:paraId="6E2FB822">
                  <w:pPr>
                    <w:widowControl/>
                    <w:jc w:val="center"/>
                    <w:rPr>
                      <w:rFonts w:hint="default" w:eastAsia="宋体" w:cs="宋体"/>
                      <w:kern w:val="0"/>
                      <w:sz w:val="18"/>
                      <w:szCs w:val="18"/>
                      <w:lang w:val="en-US" w:eastAsia="zh-CN"/>
                    </w:rPr>
                  </w:pPr>
                  <w:r>
                    <w:rPr>
                      <w:rFonts w:hint="eastAsia" w:cs="宋体"/>
                      <w:kern w:val="0"/>
                      <w:sz w:val="18"/>
                      <w:szCs w:val="18"/>
                      <w:lang w:val="en-US" w:eastAsia="zh-CN"/>
                    </w:rPr>
                    <w:t>78</w:t>
                  </w:r>
                </w:p>
              </w:tc>
              <w:tc>
                <w:tcPr>
                  <w:tcW w:w="566" w:type="pct"/>
                  <w:gridSpan w:val="2"/>
                  <w:shd w:val="clear" w:color="auto" w:fill="auto"/>
                  <w:vAlign w:val="center"/>
                </w:tcPr>
                <w:p w14:paraId="69CBD167">
                  <w:pPr>
                    <w:widowControl/>
                    <w:jc w:val="center"/>
                    <w:rPr>
                      <w:rFonts w:hint="default" w:eastAsia="宋体" w:cs="宋体"/>
                      <w:kern w:val="0"/>
                      <w:sz w:val="18"/>
                      <w:szCs w:val="18"/>
                      <w:lang w:val="en-US" w:eastAsia="zh-CN"/>
                    </w:rPr>
                  </w:pPr>
                  <w:r>
                    <w:rPr>
                      <w:rFonts w:hint="eastAsia" w:cs="宋体"/>
                      <w:kern w:val="0"/>
                      <w:sz w:val="18"/>
                      <w:szCs w:val="18"/>
                      <w:lang w:val="en-US" w:eastAsia="zh-CN"/>
                    </w:rPr>
                    <w:t>73</w:t>
                  </w:r>
                </w:p>
              </w:tc>
              <w:tc>
                <w:tcPr>
                  <w:tcW w:w="573" w:type="pct"/>
                  <w:shd w:val="clear" w:color="auto" w:fill="auto"/>
                  <w:vAlign w:val="center"/>
                </w:tcPr>
                <w:p w14:paraId="63CA98DE">
                  <w:pPr>
                    <w:widowControl/>
                    <w:jc w:val="center"/>
                    <w:rPr>
                      <w:rFonts w:cs="宋体"/>
                      <w:kern w:val="0"/>
                      <w:sz w:val="18"/>
                      <w:szCs w:val="18"/>
                    </w:rPr>
                  </w:pPr>
                  <w:r>
                    <w:rPr>
                      <w:rFonts w:hint="eastAsia" w:cs="宋体"/>
                      <w:kern w:val="0"/>
                      <w:sz w:val="18"/>
                      <w:szCs w:val="18"/>
                      <w:lang w:val="en-US" w:eastAsia="zh-CN"/>
                    </w:rPr>
                    <w:t>400</w:t>
                  </w:r>
                </w:p>
              </w:tc>
              <w:tc>
                <w:tcPr>
                  <w:tcW w:w="536" w:type="pct"/>
                  <w:shd w:val="clear" w:color="auto" w:fill="auto"/>
                  <w:vAlign w:val="center"/>
                </w:tcPr>
                <w:p w14:paraId="0525FD03">
                  <w:pPr>
                    <w:widowControl/>
                    <w:jc w:val="center"/>
                    <w:rPr>
                      <w:rFonts w:cs="宋体"/>
                      <w:kern w:val="0"/>
                      <w:sz w:val="18"/>
                      <w:szCs w:val="18"/>
                    </w:rPr>
                  </w:pPr>
                  <w:r>
                    <w:rPr>
                      <w:rFonts w:hint="eastAsia" w:cs="宋体"/>
                      <w:kern w:val="0"/>
                      <w:sz w:val="18"/>
                      <w:szCs w:val="18"/>
                    </w:rPr>
                    <w:t>达标</w:t>
                  </w:r>
                </w:p>
              </w:tc>
            </w:tr>
            <w:tr w14:paraId="03CFCB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continue"/>
                  <w:vAlign w:val="center"/>
                </w:tcPr>
                <w:p w14:paraId="3BDDB71A">
                  <w:pPr>
                    <w:widowControl/>
                    <w:jc w:val="left"/>
                    <w:rPr>
                      <w:rFonts w:cs="宋体"/>
                      <w:kern w:val="0"/>
                      <w:sz w:val="18"/>
                      <w:szCs w:val="18"/>
                    </w:rPr>
                  </w:pPr>
                </w:p>
              </w:tc>
              <w:tc>
                <w:tcPr>
                  <w:tcW w:w="545" w:type="pct"/>
                  <w:vMerge w:val="continue"/>
                  <w:shd w:val="clear" w:color="auto" w:fill="auto"/>
                  <w:vAlign w:val="center"/>
                </w:tcPr>
                <w:p w14:paraId="4418DB14">
                  <w:pPr>
                    <w:widowControl/>
                    <w:jc w:val="left"/>
                    <w:rPr>
                      <w:rFonts w:cs="宋体"/>
                      <w:kern w:val="0"/>
                      <w:sz w:val="18"/>
                      <w:szCs w:val="18"/>
                    </w:rPr>
                  </w:pPr>
                </w:p>
              </w:tc>
              <w:tc>
                <w:tcPr>
                  <w:tcW w:w="654" w:type="pct"/>
                  <w:shd w:val="clear" w:color="auto" w:fill="auto"/>
                  <w:vAlign w:val="center"/>
                </w:tcPr>
                <w:p w14:paraId="4C96E3D7">
                  <w:pPr>
                    <w:widowControl/>
                    <w:jc w:val="center"/>
                    <w:rPr>
                      <w:rFonts w:hint="eastAsia" w:cs="宋体"/>
                      <w:kern w:val="0"/>
                      <w:sz w:val="18"/>
                      <w:szCs w:val="18"/>
                    </w:rPr>
                  </w:pPr>
                  <w:r>
                    <w:rPr>
                      <w:rFonts w:hint="eastAsia" w:cs="宋体"/>
                      <w:kern w:val="0"/>
                      <w:sz w:val="18"/>
                      <w:szCs w:val="18"/>
                      <w:lang w:eastAsia="zh-CN"/>
                    </w:rPr>
                    <w:t>氨氮</w:t>
                  </w:r>
                </w:p>
              </w:tc>
              <w:tc>
                <w:tcPr>
                  <w:tcW w:w="538" w:type="pct"/>
                  <w:gridSpan w:val="2"/>
                  <w:shd w:val="clear" w:color="auto" w:fill="auto"/>
                  <w:vAlign w:val="center"/>
                </w:tcPr>
                <w:p w14:paraId="3C99CA73">
                  <w:pPr>
                    <w:widowControl/>
                    <w:jc w:val="center"/>
                    <w:rPr>
                      <w:rFonts w:hint="default" w:cs="宋体"/>
                      <w:kern w:val="0"/>
                      <w:sz w:val="18"/>
                      <w:szCs w:val="18"/>
                      <w:lang w:val="en-US" w:eastAsia="zh-CN"/>
                    </w:rPr>
                  </w:pPr>
                  <w:r>
                    <w:rPr>
                      <w:rFonts w:hint="eastAsia" w:cs="宋体"/>
                      <w:kern w:val="0"/>
                      <w:sz w:val="18"/>
                      <w:szCs w:val="18"/>
                      <w:lang w:val="en-US" w:eastAsia="zh-CN"/>
                    </w:rPr>
                    <w:t>2.96</w:t>
                  </w:r>
                </w:p>
              </w:tc>
              <w:tc>
                <w:tcPr>
                  <w:tcW w:w="532" w:type="pct"/>
                  <w:shd w:val="clear" w:color="auto" w:fill="auto"/>
                  <w:vAlign w:val="center"/>
                </w:tcPr>
                <w:p w14:paraId="5BC36E4B">
                  <w:pPr>
                    <w:widowControl/>
                    <w:jc w:val="center"/>
                    <w:rPr>
                      <w:rFonts w:hint="default" w:eastAsia="宋体" w:cs="宋体"/>
                      <w:kern w:val="0"/>
                      <w:sz w:val="18"/>
                      <w:szCs w:val="18"/>
                      <w:lang w:val="en-US" w:eastAsia="zh-CN"/>
                    </w:rPr>
                  </w:pPr>
                  <w:r>
                    <w:rPr>
                      <w:rFonts w:hint="eastAsia" w:cs="宋体"/>
                      <w:kern w:val="0"/>
                      <w:sz w:val="18"/>
                      <w:szCs w:val="18"/>
                      <w:lang w:val="en-US" w:eastAsia="zh-CN"/>
                    </w:rPr>
                    <w:t>2.8</w:t>
                  </w:r>
                </w:p>
              </w:tc>
              <w:tc>
                <w:tcPr>
                  <w:tcW w:w="516" w:type="pct"/>
                  <w:shd w:val="clear" w:color="auto" w:fill="auto"/>
                  <w:vAlign w:val="center"/>
                </w:tcPr>
                <w:p w14:paraId="3A5354E4">
                  <w:pPr>
                    <w:widowControl/>
                    <w:jc w:val="center"/>
                    <w:rPr>
                      <w:rFonts w:hint="default" w:eastAsia="宋体" w:cs="宋体"/>
                      <w:kern w:val="0"/>
                      <w:sz w:val="18"/>
                      <w:szCs w:val="18"/>
                      <w:lang w:val="en-US" w:eastAsia="zh-CN"/>
                    </w:rPr>
                  </w:pPr>
                  <w:r>
                    <w:rPr>
                      <w:rFonts w:hint="eastAsia" w:cs="宋体"/>
                      <w:kern w:val="0"/>
                      <w:sz w:val="18"/>
                      <w:szCs w:val="18"/>
                      <w:lang w:val="en-US" w:eastAsia="zh-CN"/>
                    </w:rPr>
                    <w:t>2.49</w:t>
                  </w:r>
                </w:p>
              </w:tc>
              <w:tc>
                <w:tcPr>
                  <w:tcW w:w="566" w:type="pct"/>
                  <w:gridSpan w:val="2"/>
                  <w:shd w:val="clear" w:color="auto" w:fill="auto"/>
                  <w:vAlign w:val="center"/>
                </w:tcPr>
                <w:p w14:paraId="1E183907">
                  <w:pPr>
                    <w:widowControl/>
                    <w:jc w:val="center"/>
                    <w:rPr>
                      <w:rFonts w:hint="default" w:cs="宋体"/>
                      <w:kern w:val="0"/>
                      <w:sz w:val="18"/>
                      <w:szCs w:val="18"/>
                      <w:lang w:val="en-US" w:eastAsia="zh-CN"/>
                    </w:rPr>
                  </w:pPr>
                  <w:r>
                    <w:rPr>
                      <w:rFonts w:hint="eastAsia" w:cs="宋体"/>
                      <w:kern w:val="0"/>
                      <w:sz w:val="18"/>
                      <w:szCs w:val="18"/>
                      <w:lang w:val="en-US" w:eastAsia="zh-CN"/>
                    </w:rPr>
                    <w:t>2.75</w:t>
                  </w:r>
                </w:p>
              </w:tc>
              <w:tc>
                <w:tcPr>
                  <w:tcW w:w="573" w:type="pct"/>
                  <w:shd w:val="clear" w:color="auto" w:fill="auto"/>
                  <w:vAlign w:val="center"/>
                </w:tcPr>
                <w:p w14:paraId="392E5FFA">
                  <w:pPr>
                    <w:widowControl/>
                    <w:jc w:val="center"/>
                    <w:rPr>
                      <w:rFonts w:hint="eastAsia" w:cs="宋体"/>
                      <w:kern w:val="0"/>
                      <w:sz w:val="18"/>
                      <w:szCs w:val="18"/>
                    </w:rPr>
                  </w:pPr>
                  <w:r>
                    <w:rPr>
                      <w:rFonts w:hint="eastAsia" w:cs="宋体"/>
                      <w:kern w:val="0"/>
                      <w:sz w:val="18"/>
                      <w:szCs w:val="18"/>
                      <w:lang w:val="en-US" w:eastAsia="zh-CN"/>
                    </w:rPr>
                    <w:t>45</w:t>
                  </w:r>
                </w:p>
              </w:tc>
              <w:tc>
                <w:tcPr>
                  <w:tcW w:w="536" w:type="pct"/>
                  <w:shd w:val="clear" w:color="auto" w:fill="auto"/>
                  <w:vAlign w:val="center"/>
                </w:tcPr>
                <w:p w14:paraId="7919D980">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rPr>
                    <w:t>达标</w:t>
                  </w:r>
                </w:p>
              </w:tc>
            </w:tr>
            <w:tr w14:paraId="4109E6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continue"/>
                  <w:vAlign w:val="center"/>
                </w:tcPr>
                <w:p w14:paraId="69AA0B24">
                  <w:pPr>
                    <w:widowControl/>
                    <w:jc w:val="left"/>
                    <w:rPr>
                      <w:rFonts w:cs="宋体"/>
                      <w:kern w:val="0"/>
                      <w:sz w:val="18"/>
                      <w:szCs w:val="18"/>
                    </w:rPr>
                  </w:pPr>
                </w:p>
              </w:tc>
              <w:tc>
                <w:tcPr>
                  <w:tcW w:w="545" w:type="pct"/>
                  <w:vMerge w:val="continue"/>
                  <w:shd w:val="clear" w:color="auto" w:fill="auto"/>
                  <w:vAlign w:val="center"/>
                </w:tcPr>
                <w:p w14:paraId="1D66FC0E">
                  <w:pPr>
                    <w:widowControl/>
                    <w:jc w:val="left"/>
                    <w:rPr>
                      <w:rFonts w:cs="宋体"/>
                      <w:kern w:val="0"/>
                      <w:sz w:val="18"/>
                      <w:szCs w:val="18"/>
                    </w:rPr>
                  </w:pPr>
                </w:p>
              </w:tc>
              <w:tc>
                <w:tcPr>
                  <w:tcW w:w="654" w:type="pct"/>
                  <w:shd w:val="clear" w:color="auto" w:fill="auto"/>
                  <w:vAlign w:val="center"/>
                </w:tcPr>
                <w:p w14:paraId="7E846518">
                  <w:pPr>
                    <w:widowControl/>
                    <w:jc w:val="center"/>
                    <w:rPr>
                      <w:rFonts w:hint="eastAsia" w:cs="宋体"/>
                      <w:kern w:val="0"/>
                      <w:sz w:val="18"/>
                      <w:szCs w:val="18"/>
                    </w:rPr>
                  </w:pPr>
                  <w:r>
                    <w:rPr>
                      <w:rFonts w:hint="eastAsia" w:cs="宋体"/>
                      <w:kern w:val="0"/>
                      <w:sz w:val="18"/>
                      <w:szCs w:val="18"/>
                      <w:lang w:eastAsia="zh-CN"/>
                    </w:rPr>
                    <w:t>动植物油类</w:t>
                  </w:r>
                </w:p>
              </w:tc>
              <w:tc>
                <w:tcPr>
                  <w:tcW w:w="538" w:type="pct"/>
                  <w:gridSpan w:val="2"/>
                  <w:shd w:val="clear" w:color="auto" w:fill="auto"/>
                  <w:vAlign w:val="center"/>
                </w:tcPr>
                <w:p w14:paraId="19794CF7">
                  <w:pPr>
                    <w:widowControl/>
                    <w:jc w:val="center"/>
                    <w:rPr>
                      <w:rFonts w:hint="default" w:cs="宋体"/>
                      <w:kern w:val="0"/>
                      <w:sz w:val="18"/>
                      <w:szCs w:val="18"/>
                      <w:lang w:val="en-US" w:eastAsia="zh-CN"/>
                    </w:rPr>
                  </w:pPr>
                  <w:r>
                    <w:rPr>
                      <w:rFonts w:hint="eastAsia" w:cs="宋体"/>
                      <w:kern w:val="0"/>
                      <w:sz w:val="18"/>
                      <w:szCs w:val="18"/>
                      <w:lang w:val="en-US" w:eastAsia="zh-CN"/>
                    </w:rPr>
                    <w:t>7.81</w:t>
                  </w:r>
                </w:p>
              </w:tc>
              <w:tc>
                <w:tcPr>
                  <w:tcW w:w="532" w:type="pct"/>
                  <w:shd w:val="clear" w:color="auto" w:fill="auto"/>
                  <w:vAlign w:val="center"/>
                </w:tcPr>
                <w:p w14:paraId="06791F9B">
                  <w:pPr>
                    <w:widowControl/>
                    <w:jc w:val="center"/>
                    <w:rPr>
                      <w:rFonts w:hint="default" w:eastAsia="宋体" w:cs="宋体"/>
                      <w:kern w:val="0"/>
                      <w:sz w:val="18"/>
                      <w:szCs w:val="18"/>
                      <w:lang w:val="en-US" w:eastAsia="zh-CN"/>
                    </w:rPr>
                  </w:pPr>
                  <w:r>
                    <w:rPr>
                      <w:rFonts w:hint="eastAsia" w:cs="宋体"/>
                      <w:kern w:val="0"/>
                      <w:sz w:val="18"/>
                      <w:szCs w:val="18"/>
                      <w:lang w:val="en-US" w:eastAsia="zh-CN"/>
                    </w:rPr>
                    <w:t>9.68</w:t>
                  </w:r>
                </w:p>
              </w:tc>
              <w:tc>
                <w:tcPr>
                  <w:tcW w:w="516" w:type="pct"/>
                  <w:shd w:val="clear" w:color="auto" w:fill="auto"/>
                  <w:vAlign w:val="center"/>
                </w:tcPr>
                <w:p w14:paraId="0D6244A0">
                  <w:pPr>
                    <w:widowControl/>
                    <w:jc w:val="center"/>
                    <w:rPr>
                      <w:rFonts w:hint="default" w:eastAsia="宋体" w:cs="宋体"/>
                      <w:kern w:val="0"/>
                      <w:sz w:val="18"/>
                      <w:szCs w:val="18"/>
                      <w:lang w:val="en-US" w:eastAsia="zh-CN"/>
                    </w:rPr>
                  </w:pPr>
                  <w:r>
                    <w:rPr>
                      <w:rFonts w:hint="eastAsia" w:cs="宋体"/>
                      <w:kern w:val="0"/>
                      <w:sz w:val="18"/>
                      <w:szCs w:val="18"/>
                      <w:lang w:val="en-US" w:eastAsia="zh-CN"/>
                    </w:rPr>
                    <w:t>9.51</w:t>
                  </w:r>
                </w:p>
              </w:tc>
              <w:tc>
                <w:tcPr>
                  <w:tcW w:w="566" w:type="pct"/>
                  <w:gridSpan w:val="2"/>
                  <w:shd w:val="clear" w:color="auto" w:fill="auto"/>
                  <w:vAlign w:val="center"/>
                </w:tcPr>
                <w:p w14:paraId="1C121468">
                  <w:pPr>
                    <w:widowControl/>
                    <w:jc w:val="center"/>
                    <w:rPr>
                      <w:rFonts w:hint="default" w:cs="宋体"/>
                      <w:kern w:val="0"/>
                      <w:sz w:val="18"/>
                      <w:szCs w:val="18"/>
                      <w:lang w:val="en-US" w:eastAsia="zh-CN"/>
                    </w:rPr>
                  </w:pPr>
                  <w:r>
                    <w:rPr>
                      <w:rFonts w:hint="eastAsia" w:cs="宋体"/>
                      <w:kern w:val="0"/>
                      <w:sz w:val="18"/>
                      <w:szCs w:val="18"/>
                      <w:lang w:val="en-US" w:eastAsia="zh-CN"/>
                    </w:rPr>
                    <w:t>8.05</w:t>
                  </w:r>
                </w:p>
              </w:tc>
              <w:tc>
                <w:tcPr>
                  <w:tcW w:w="573" w:type="pct"/>
                  <w:shd w:val="clear" w:color="auto" w:fill="auto"/>
                  <w:vAlign w:val="center"/>
                </w:tcPr>
                <w:p w14:paraId="43C2202B">
                  <w:pPr>
                    <w:widowControl/>
                    <w:jc w:val="center"/>
                    <w:rPr>
                      <w:rFonts w:hint="eastAsia" w:cs="宋体"/>
                      <w:kern w:val="0"/>
                      <w:sz w:val="18"/>
                      <w:szCs w:val="18"/>
                    </w:rPr>
                  </w:pPr>
                  <w:r>
                    <w:rPr>
                      <w:rFonts w:hint="eastAsia" w:cs="宋体"/>
                      <w:kern w:val="0"/>
                      <w:sz w:val="18"/>
                      <w:szCs w:val="18"/>
                      <w:lang w:val="en-US" w:eastAsia="zh-CN"/>
                    </w:rPr>
                    <w:t>100</w:t>
                  </w:r>
                </w:p>
              </w:tc>
              <w:tc>
                <w:tcPr>
                  <w:tcW w:w="536" w:type="pct"/>
                  <w:shd w:val="clear" w:color="auto" w:fill="auto"/>
                  <w:vAlign w:val="center"/>
                </w:tcPr>
                <w:p w14:paraId="1008E44C">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rPr>
                    <w:t>达标</w:t>
                  </w:r>
                </w:p>
              </w:tc>
            </w:tr>
            <w:tr w14:paraId="1F5F8C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restart"/>
                  <w:vAlign w:val="center"/>
                </w:tcPr>
                <w:p w14:paraId="7BA0C379">
                  <w:pPr>
                    <w:widowControl/>
                    <w:jc w:val="left"/>
                    <w:rPr>
                      <w:rFonts w:cs="宋体"/>
                      <w:kern w:val="0"/>
                      <w:sz w:val="18"/>
                      <w:szCs w:val="18"/>
                    </w:rPr>
                  </w:pPr>
                  <w:r>
                    <w:rPr>
                      <w:rFonts w:hint="eastAsia" w:cs="宋体"/>
                      <w:kern w:val="0"/>
                      <w:sz w:val="18"/>
                      <w:szCs w:val="18"/>
                      <w:lang w:val="en-US" w:eastAsia="zh-CN"/>
                    </w:rPr>
                    <w:t>2024/3/22</w:t>
                  </w:r>
                </w:p>
              </w:tc>
              <w:tc>
                <w:tcPr>
                  <w:tcW w:w="545" w:type="pct"/>
                  <w:vMerge w:val="restart"/>
                  <w:shd w:val="clear" w:color="auto" w:fill="auto"/>
                  <w:vAlign w:val="center"/>
                </w:tcPr>
                <w:p w14:paraId="5BC3E163">
                  <w:pPr>
                    <w:widowControl/>
                    <w:jc w:val="center"/>
                    <w:rPr>
                      <w:rFonts w:cs="宋体"/>
                      <w:kern w:val="0"/>
                      <w:sz w:val="18"/>
                      <w:szCs w:val="18"/>
                    </w:rPr>
                  </w:pPr>
                  <w:r>
                    <w:rPr>
                      <w:rFonts w:hint="eastAsia" w:cs="宋体"/>
                      <w:kern w:val="0"/>
                      <w:sz w:val="18"/>
                      <w:szCs w:val="18"/>
                      <w:lang w:val="en-US" w:eastAsia="zh-CN"/>
                    </w:rPr>
                    <w:t>W1生活污水排口1#</w:t>
                  </w:r>
                </w:p>
              </w:tc>
              <w:tc>
                <w:tcPr>
                  <w:tcW w:w="654" w:type="pct"/>
                  <w:shd w:val="clear" w:color="auto" w:fill="auto"/>
                  <w:vAlign w:val="center"/>
                </w:tcPr>
                <w:p w14:paraId="64857868">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val="en-US" w:eastAsia="zh-CN"/>
                    </w:rPr>
                    <w:t>PH</w:t>
                  </w:r>
                  <w:r>
                    <w:rPr>
                      <w:rFonts w:hint="eastAsia" w:cs="宋体"/>
                      <w:kern w:val="0"/>
                      <w:sz w:val="18"/>
                      <w:szCs w:val="18"/>
                    </w:rPr>
                    <w:t xml:space="preserve"> </w:t>
                  </w:r>
                </w:p>
              </w:tc>
              <w:tc>
                <w:tcPr>
                  <w:tcW w:w="538" w:type="pct"/>
                  <w:gridSpan w:val="2"/>
                  <w:shd w:val="clear" w:color="auto" w:fill="auto"/>
                  <w:vAlign w:val="center"/>
                </w:tcPr>
                <w:p w14:paraId="6A2C1702">
                  <w:pPr>
                    <w:widowControl/>
                    <w:jc w:val="center"/>
                    <w:rPr>
                      <w:rFonts w:hint="default" w:cs="宋体"/>
                      <w:kern w:val="0"/>
                      <w:sz w:val="18"/>
                      <w:szCs w:val="18"/>
                      <w:lang w:val="en-US" w:eastAsia="zh-CN"/>
                    </w:rPr>
                  </w:pPr>
                  <w:r>
                    <w:rPr>
                      <w:rFonts w:hint="eastAsia" w:cs="宋体"/>
                      <w:kern w:val="0"/>
                      <w:sz w:val="18"/>
                      <w:szCs w:val="18"/>
                      <w:lang w:val="en-US" w:eastAsia="zh-CN"/>
                    </w:rPr>
                    <w:t>7.5</w:t>
                  </w:r>
                </w:p>
              </w:tc>
              <w:tc>
                <w:tcPr>
                  <w:tcW w:w="532" w:type="pct"/>
                  <w:shd w:val="clear" w:color="auto" w:fill="auto"/>
                  <w:vAlign w:val="center"/>
                </w:tcPr>
                <w:p w14:paraId="2181C2F2">
                  <w:pPr>
                    <w:widowControl/>
                    <w:jc w:val="center"/>
                    <w:rPr>
                      <w:rFonts w:hint="default" w:cs="宋体"/>
                      <w:kern w:val="0"/>
                      <w:sz w:val="18"/>
                      <w:szCs w:val="18"/>
                      <w:lang w:val="en-US" w:eastAsia="zh-CN"/>
                    </w:rPr>
                  </w:pPr>
                  <w:r>
                    <w:rPr>
                      <w:rFonts w:hint="eastAsia" w:cs="宋体"/>
                      <w:kern w:val="0"/>
                      <w:sz w:val="18"/>
                      <w:szCs w:val="18"/>
                      <w:lang w:val="en-US" w:eastAsia="zh-CN"/>
                    </w:rPr>
                    <w:t>7.6</w:t>
                  </w:r>
                </w:p>
              </w:tc>
              <w:tc>
                <w:tcPr>
                  <w:tcW w:w="516" w:type="pct"/>
                  <w:shd w:val="clear" w:color="auto" w:fill="auto"/>
                  <w:vAlign w:val="center"/>
                </w:tcPr>
                <w:p w14:paraId="08EBDA79">
                  <w:pPr>
                    <w:widowControl/>
                    <w:jc w:val="center"/>
                    <w:rPr>
                      <w:rFonts w:hint="default" w:cs="宋体"/>
                      <w:kern w:val="0"/>
                      <w:sz w:val="18"/>
                      <w:szCs w:val="18"/>
                      <w:lang w:val="en-US" w:eastAsia="zh-CN"/>
                    </w:rPr>
                  </w:pPr>
                  <w:r>
                    <w:rPr>
                      <w:rFonts w:hint="eastAsia" w:cs="宋体"/>
                      <w:kern w:val="0"/>
                      <w:sz w:val="18"/>
                      <w:szCs w:val="18"/>
                      <w:lang w:val="en-US" w:eastAsia="zh-CN"/>
                    </w:rPr>
                    <w:t>7.5</w:t>
                  </w:r>
                </w:p>
              </w:tc>
              <w:tc>
                <w:tcPr>
                  <w:tcW w:w="566" w:type="pct"/>
                  <w:gridSpan w:val="2"/>
                  <w:shd w:val="clear" w:color="auto" w:fill="auto"/>
                  <w:vAlign w:val="center"/>
                </w:tcPr>
                <w:p w14:paraId="6DCC99D4">
                  <w:pPr>
                    <w:widowControl/>
                    <w:jc w:val="center"/>
                    <w:rPr>
                      <w:rFonts w:hint="default" w:cs="宋体"/>
                      <w:kern w:val="0"/>
                      <w:sz w:val="18"/>
                      <w:szCs w:val="18"/>
                      <w:lang w:val="en-US" w:eastAsia="zh-CN"/>
                    </w:rPr>
                  </w:pPr>
                  <w:r>
                    <w:rPr>
                      <w:rFonts w:hint="eastAsia" w:cs="宋体"/>
                      <w:kern w:val="0"/>
                      <w:sz w:val="18"/>
                      <w:szCs w:val="18"/>
                      <w:lang w:val="en-US" w:eastAsia="zh-CN"/>
                    </w:rPr>
                    <w:t>7.3</w:t>
                  </w:r>
                </w:p>
              </w:tc>
              <w:tc>
                <w:tcPr>
                  <w:tcW w:w="573" w:type="pct"/>
                  <w:shd w:val="clear" w:color="auto" w:fill="auto"/>
                  <w:vAlign w:val="center"/>
                </w:tcPr>
                <w:p w14:paraId="41B0A91A">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val="en-US" w:eastAsia="zh-CN"/>
                    </w:rPr>
                    <w:t>6-9</w:t>
                  </w:r>
                </w:p>
              </w:tc>
              <w:tc>
                <w:tcPr>
                  <w:tcW w:w="536" w:type="pct"/>
                  <w:shd w:val="clear" w:color="auto" w:fill="auto"/>
                  <w:vAlign w:val="center"/>
                </w:tcPr>
                <w:p w14:paraId="4B485829">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rPr>
                    <w:t>达标</w:t>
                  </w:r>
                </w:p>
              </w:tc>
            </w:tr>
            <w:tr w14:paraId="5627B3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continue"/>
                  <w:vAlign w:val="center"/>
                </w:tcPr>
                <w:p w14:paraId="3026F309">
                  <w:pPr>
                    <w:widowControl/>
                    <w:jc w:val="left"/>
                    <w:rPr>
                      <w:rFonts w:cs="宋体"/>
                      <w:kern w:val="0"/>
                      <w:sz w:val="18"/>
                      <w:szCs w:val="18"/>
                    </w:rPr>
                  </w:pPr>
                </w:p>
              </w:tc>
              <w:tc>
                <w:tcPr>
                  <w:tcW w:w="545" w:type="pct"/>
                  <w:vMerge w:val="continue"/>
                  <w:shd w:val="clear" w:color="auto" w:fill="auto"/>
                  <w:vAlign w:val="center"/>
                </w:tcPr>
                <w:p w14:paraId="6F143878">
                  <w:pPr>
                    <w:widowControl/>
                    <w:jc w:val="left"/>
                    <w:rPr>
                      <w:rFonts w:cs="宋体"/>
                      <w:kern w:val="0"/>
                      <w:sz w:val="18"/>
                      <w:szCs w:val="18"/>
                    </w:rPr>
                  </w:pPr>
                </w:p>
              </w:tc>
              <w:tc>
                <w:tcPr>
                  <w:tcW w:w="654" w:type="pct"/>
                  <w:shd w:val="clear" w:color="auto" w:fill="auto"/>
                  <w:vAlign w:val="center"/>
                </w:tcPr>
                <w:p w14:paraId="48449E1D">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val="en-US" w:eastAsia="zh-CN"/>
                    </w:rPr>
                    <w:t>COD</w:t>
                  </w:r>
                </w:p>
              </w:tc>
              <w:tc>
                <w:tcPr>
                  <w:tcW w:w="538" w:type="pct"/>
                  <w:gridSpan w:val="2"/>
                  <w:shd w:val="clear" w:color="auto" w:fill="auto"/>
                  <w:vAlign w:val="center"/>
                </w:tcPr>
                <w:p w14:paraId="6CD0C323">
                  <w:pPr>
                    <w:widowControl/>
                    <w:jc w:val="center"/>
                    <w:rPr>
                      <w:rFonts w:hint="default" w:cs="宋体"/>
                      <w:kern w:val="0"/>
                      <w:sz w:val="18"/>
                      <w:szCs w:val="18"/>
                      <w:lang w:val="en-US" w:eastAsia="zh-CN"/>
                    </w:rPr>
                  </w:pPr>
                  <w:r>
                    <w:rPr>
                      <w:rFonts w:hint="eastAsia" w:cs="宋体"/>
                      <w:kern w:val="0"/>
                      <w:sz w:val="18"/>
                      <w:szCs w:val="18"/>
                      <w:lang w:val="en-US" w:eastAsia="zh-CN"/>
                    </w:rPr>
                    <w:t>210</w:t>
                  </w:r>
                </w:p>
              </w:tc>
              <w:tc>
                <w:tcPr>
                  <w:tcW w:w="532" w:type="pct"/>
                  <w:shd w:val="clear" w:color="auto" w:fill="auto"/>
                  <w:vAlign w:val="center"/>
                </w:tcPr>
                <w:p w14:paraId="345BF841">
                  <w:pPr>
                    <w:widowControl/>
                    <w:jc w:val="center"/>
                    <w:rPr>
                      <w:rFonts w:hint="default" w:cs="宋体"/>
                      <w:kern w:val="0"/>
                      <w:sz w:val="18"/>
                      <w:szCs w:val="18"/>
                      <w:lang w:val="en-US" w:eastAsia="zh-CN"/>
                    </w:rPr>
                  </w:pPr>
                  <w:r>
                    <w:rPr>
                      <w:rFonts w:hint="eastAsia" w:cs="宋体"/>
                      <w:kern w:val="0"/>
                      <w:sz w:val="18"/>
                      <w:szCs w:val="18"/>
                      <w:lang w:val="en-US" w:eastAsia="zh-CN"/>
                    </w:rPr>
                    <w:t>180</w:t>
                  </w:r>
                </w:p>
              </w:tc>
              <w:tc>
                <w:tcPr>
                  <w:tcW w:w="516" w:type="pct"/>
                  <w:shd w:val="clear" w:color="auto" w:fill="auto"/>
                  <w:vAlign w:val="center"/>
                </w:tcPr>
                <w:p w14:paraId="0FE4C98F">
                  <w:pPr>
                    <w:widowControl/>
                    <w:jc w:val="center"/>
                    <w:rPr>
                      <w:rFonts w:hint="default" w:cs="宋体"/>
                      <w:kern w:val="0"/>
                      <w:sz w:val="18"/>
                      <w:szCs w:val="18"/>
                      <w:lang w:val="en-US" w:eastAsia="zh-CN"/>
                    </w:rPr>
                  </w:pPr>
                  <w:r>
                    <w:rPr>
                      <w:rFonts w:hint="eastAsia" w:cs="宋体"/>
                      <w:kern w:val="0"/>
                      <w:sz w:val="18"/>
                      <w:szCs w:val="18"/>
                      <w:lang w:val="en-US" w:eastAsia="zh-CN"/>
                    </w:rPr>
                    <w:t>195</w:t>
                  </w:r>
                </w:p>
              </w:tc>
              <w:tc>
                <w:tcPr>
                  <w:tcW w:w="566" w:type="pct"/>
                  <w:gridSpan w:val="2"/>
                  <w:shd w:val="clear" w:color="auto" w:fill="auto"/>
                  <w:vAlign w:val="center"/>
                </w:tcPr>
                <w:p w14:paraId="77728C0F">
                  <w:pPr>
                    <w:widowControl/>
                    <w:jc w:val="center"/>
                    <w:rPr>
                      <w:rFonts w:hint="default" w:cs="宋体"/>
                      <w:kern w:val="0"/>
                      <w:sz w:val="18"/>
                      <w:szCs w:val="18"/>
                      <w:lang w:val="en-US" w:eastAsia="zh-CN"/>
                    </w:rPr>
                  </w:pPr>
                  <w:r>
                    <w:rPr>
                      <w:rFonts w:hint="eastAsia" w:cs="宋体"/>
                      <w:kern w:val="0"/>
                      <w:sz w:val="18"/>
                      <w:szCs w:val="18"/>
                      <w:lang w:val="en-US" w:eastAsia="zh-CN"/>
                    </w:rPr>
                    <w:t>215</w:t>
                  </w:r>
                </w:p>
              </w:tc>
              <w:tc>
                <w:tcPr>
                  <w:tcW w:w="573" w:type="pct"/>
                  <w:shd w:val="clear" w:color="auto" w:fill="auto"/>
                  <w:vAlign w:val="center"/>
                </w:tcPr>
                <w:p w14:paraId="22A64360">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val="en-US" w:eastAsia="zh-CN"/>
                    </w:rPr>
                    <w:t>500</w:t>
                  </w:r>
                </w:p>
              </w:tc>
              <w:tc>
                <w:tcPr>
                  <w:tcW w:w="536" w:type="pct"/>
                  <w:shd w:val="clear" w:color="auto" w:fill="auto"/>
                  <w:vAlign w:val="center"/>
                </w:tcPr>
                <w:p w14:paraId="6B105E21">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rPr>
                    <w:t>达标</w:t>
                  </w:r>
                </w:p>
              </w:tc>
            </w:tr>
            <w:tr w14:paraId="63428D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continue"/>
                  <w:vAlign w:val="center"/>
                </w:tcPr>
                <w:p w14:paraId="6358BA52">
                  <w:pPr>
                    <w:widowControl/>
                    <w:jc w:val="left"/>
                    <w:rPr>
                      <w:rFonts w:cs="宋体"/>
                      <w:kern w:val="0"/>
                      <w:sz w:val="18"/>
                      <w:szCs w:val="18"/>
                    </w:rPr>
                  </w:pPr>
                </w:p>
              </w:tc>
              <w:tc>
                <w:tcPr>
                  <w:tcW w:w="545" w:type="pct"/>
                  <w:vMerge w:val="continue"/>
                  <w:shd w:val="clear" w:color="auto" w:fill="auto"/>
                  <w:vAlign w:val="center"/>
                </w:tcPr>
                <w:p w14:paraId="7ED72E5E">
                  <w:pPr>
                    <w:widowControl/>
                    <w:jc w:val="left"/>
                    <w:rPr>
                      <w:rFonts w:cs="宋体"/>
                      <w:kern w:val="0"/>
                      <w:sz w:val="18"/>
                      <w:szCs w:val="18"/>
                    </w:rPr>
                  </w:pPr>
                </w:p>
              </w:tc>
              <w:tc>
                <w:tcPr>
                  <w:tcW w:w="654" w:type="pct"/>
                  <w:shd w:val="clear" w:color="auto" w:fill="auto"/>
                  <w:vAlign w:val="center"/>
                </w:tcPr>
                <w:p w14:paraId="095DC7BA">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val="en-US" w:eastAsia="zh-CN"/>
                    </w:rPr>
                    <w:t>BOD5</w:t>
                  </w:r>
                </w:p>
              </w:tc>
              <w:tc>
                <w:tcPr>
                  <w:tcW w:w="538" w:type="pct"/>
                  <w:gridSpan w:val="2"/>
                  <w:shd w:val="clear" w:color="auto" w:fill="auto"/>
                  <w:vAlign w:val="center"/>
                </w:tcPr>
                <w:p w14:paraId="6075F19F">
                  <w:pPr>
                    <w:widowControl/>
                    <w:jc w:val="center"/>
                    <w:rPr>
                      <w:rFonts w:hint="default" w:cs="宋体"/>
                      <w:kern w:val="0"/>
                      <w:sz w:val="18"/>
                      <w:szCs w:val="18"/>
                      <w:lang w:val="en-US" w:eastAsia="zh-CN"/>
                    </w:rPr>
                  </w:pPr>
                  <w:r>
                    <w:rPr>
                      <w:rFonts w:hint="eastAsia" w:cs="宋体"/>
                      <w:kern w:val="0"/>
                      <w:sz w:val="18"/>
                      <w:szCs w:val="18"/>
                      <w:lang w:val="en-US" w:eastAsia="zh-CN"/>
                    </w:rPr>
                    <w:t>67.1</w:t>
                  </w:r>
                </w:p>
              </w:tc>
              <w:tc>
                <w:tcPr>
                  <w:tcW w:w="532" w:type="pct"/>
                  <w:shd w:val="clear" w:color="auto" w:fill="auto"/>
                  <w:vAlign w:val="center"/>
                </w:tcPr>
                <w:p w14:paraId="7442764F">
                  <w:pPr>
                    <w:widowControl/>
                    <w:jc w:val="center"/>
                    <w:rPr>
                      <w:rFonts w:hint="default" w:cs="宋体"/>
                      <w:kern w:val="0"/>
                      <w:sz w:val="18"/>
                      <w:szCs w:val="18"/>
                      <w:lang w:val="en-US" w:eastAsia="zh-CN"/>
                    </w:rPr>
                  </w:pPr>
                  <w:r>
                    <w:rPr>
                      <w:rFonts w:hint="eastAsia" w:cs="宋体"/>
                      <w:kern w:val="0"/>
                      <w:sz w:val="18"/>
                      <w:szCs w:val="18"/>
                      <w:lang w:val="en-US" w:eastAsia="zh-CN"/>
                    </w:rPr>
                    <w:t>72.2</w:t>
                  </w:r>
                </w:p>
              </w:tc>
              <w:tc>
                <w:tcPr>
                  <w:tcW w:w="516" w:type="pct"/>
                  <w:shd w:val="clear" w:color="auto" w:fill="auto"/>
                  <w:vAlign w:val="center"/>
                </w:tcPr>
                <w:p w14:paraId="1588B1A8">
                  <w:pPr>
                    <w:widowControl/>
                    <w:jc w:val="center"/>
                    <w:rPr>
                      <w:rFonts w:hint="default" w:cs="宋体"/>
                      <w:kern w:val="0"/>
                      <w:sz w:val="18"/>
                      <w:szCs w:val="18"/>
                      <w:lang w:val="en-US" w:eastAsia="zh-CN"/>
                    </w:rPr>
                  </w:pPr>
                  <w:r>
                    <w:rPr>
                      <w:rFonts w:hint="eastAsia" w:cs="宋体"/>
                      <w:kern w:val="0"/>
                      <w:sz w:val="18"/>
                      <w:szCs w:val="18"/>
                      <w:lang w:val="en-US" w:eastAsia="zh-CN"/>
                    </w:rPr>
                    <w:t>62.2</w:t>
                  </w:r>
                </w:p>
              </w:tc>
              <w:tc>
                <w:tcPr>
                  <w:tcW w:w="566" w:type="pct"/>
                  <w:gridSpan w:val="2"/>
                  <w:shd w:val="clear" w:color="auto" w:fill="auto"/>
                  <w:vAlign w:val="center"/>
                </w:tcPr>
                <w:p w14:paraId="7ACD5C9C">
                  <w:pPr>
                    <w:widowControl/>
                    <w:jc w:val="center"/>
                    <w:rPr>
                      <w:rFonts w:hint="default" w:cs="宋体"/>
                      <w:kern w:val="0"/>
                      <w:sz w:val="18"/>
                      <w:szCs w:val="18"/>
                      <w:lang w:val="en-US" w:eastAsia="zh-CN"/>
                    </w:rPr>
                  </w:pPr>
                  <w:r>
                    <w:rPr>
                      <w:rFonts w:hint="eastAsia" w:cs="宋体"/>
                      <w:kern w:val="0"/>
                      <w:sz w:val="18"/>
                      <w:szCs w:val="18"/>
                      <w:lang w:val="en-US" w:eastAsia="zh-CN"/>
                    </w:rPr>
                    <w:t>64.4</w:t>
                  </w:r>
                </w:p>
              </w:tc>
              <w:tc>
                <w:tcPr>
                  <w:tcW w:w="573" w:type="pct"/>
                  <w:shd w:val="clear" w:color="auto" w:fill="auto"/>
                  <w:vAlign w:val="center"/>
                </w:tcPr>
                <w:p w14:paraId="5F08FC31">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val="en-US" w:eastAsia="zh-CN"/>
                    </w:rPr>
                    <w:t>300</w:t>
                  </w:r>
                </w:p>
              </w:tc>
              <w:tc>
                <w:tcPr>
                  <w:tcW w:w="536" w:type="pct"/>
                  <w:shd w:val="clear" w:color="auto" w:fill="auto"/>
                  <w:vAlign w:val="center"/>
                </w:tcPr>
                <w:p w14:paraId="7F08C8BE">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rPr>
                    <w:t>达标</w:t>
                  </w:r>
                </w:p>
              </w:tc>
            </w:tr>
            <w:tr w14:paraId="2C2772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continue"/>
                  <w:vAlign w:val="center"/>
                </w:tcPr>
                <w:p w14:paraId="50FA1767">
                  <w:pPr>
                    <w:widowControl/>
                    <w:jc w:val="left"/>
                    <w:rPr>
                      <w:rFonts w:cs="宋体"/>
                      <w:kern w:val="0"/>
                      <w:sz w:val="18"/>
                      <w:szCs w:val="18"/>
                    </w:rPr>
                  </w:pPr>
                </w:p>
              </w:tc>
              <w:tc>
                <w:tcPr>
                  <w:tcW w:w="545" w:type="pct"/>
                  <w:vMerge w:val="continue"/>
                  <w:shd w:val="clear" w:color="auto" w:fill="auto"/>
                  <w:vAlign w:val="center"/>
                </w:tcPr>
                <w:p w14:paraId="469F42CF">
                  <w:pPr>
                    <w:widowControl/>
                    <w:jc w:val="left"/>
                    <w:rPr>
                      <w:rFonts w:cs="宋体"/>
                      <w:kern w:val="0"/>
                      <w:sz w:val="18"/>
                      <w:szCs w:val="18"/>
                    </w:rPr>
                  </w:pPr>
                </w:p>
              </w:tc>
              <w:tc>
                <w:tcPr>
                  <w:tcW w:w="654" w:type="pct"/>
                  <w:shd w:val="clear" w:color="auto" w:fill="auto"/>
                  <w:vAlign w:val="center"/>
                </w:tcPr>
                <w:p w14:paraId="2DAEA19C">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eastAsia="zh-CN"/>
                    </w:rPr>
                    <w:t>悬浮物</w:t>
                  </w:r>
                </w:p>
              </w:tc>
              <w:tc>
                <w:tcPr>
                  <w:tcW w:w="538" w:type="pct"/>
                  <w:gridSpan w:val="2"/>
                  <w:shd w:val="clear" w:color="auto" w:fill="auto"/>
                  <w:vAlign w:val="center"/>
                </w:tcPr>
                <w:p w14:paraId="09BBBEF2">
                  <w:pPr>
                    <w:widowControl/>
                    <w:jc w:val="center"/>
                    <w:rPr>
                      <w:rFonts w:hint="default" w:cs="宋体"/>
                      <w:kern w:val="0"/>
                      <w:sz w:val="18"/>
                      <w:szCs w:val="18"/>
                      <w:lang w:val="en-US" w:eastAsia="zh-CN"/>
                    </w:rPr>
                  </w:pPr>
                  <w:r>
                    <w:rPr>
                      <w:rFonts w:hint="eastAsia" w:cs="宋体"/>
                      <w:kern w:val="0"/>
                      <w:sz w:val="18"/>
                      <w:szCs w:val="18"/>
                      <w:lang w:val="en-US" w:eastAsia="zh-CN"/>
                    </w:rPr>
                    <w:t>69</w:t>
                  </w:r>
                </w:p>
              </w:tc>
              <w:tc>
                <w:tcPr>
                  <w:tcW w:w="532" w:type="pct"/>
                  <w:shd w:val="clear" w:color="auto" w:fill="auto"/>
                  <w:vAlign w:val="center"/>
                </w:tcPr>
                <w:p w14:paraId="3C080E24">
                  <w:pPr>
                    <w:widowControl/>
                    <w:jc w:val="center"/>
                    <w:rPr>
                      <w:rFonts w:hint="default" w:cs="宋体"/>
                      <w:kern w:val="0"/>
                      <w:sz w:val="18"/>
                      <w:szCs w:val="18"/>
                      <w:lang w:val="en-US" w:eastAsia="zh-CN"/>
                    </w:rPr>
                  </w:pPr>
                  <w:r>
                    <w:rPr>
                      <w:rFonts w:hint="eastAsia" w:cs="宋体"/>
                      <w:kern w:val="0"/>
                      <w:sz w:val="18"/>
                      <w:szCs w:val="18"/>
                      <w:lang w:val="en-US" w:eastAsia="zh-CN"/>
                    </w:rPr>
                    <w:t>64</w:t>
                  </w:r>
                </w:p>
              </w:tc>
              <w:tc>
                <w:tcPr>
                  <w:tcW w:w="516" w:type="pct"/>
                  <w:shd w:val="clear" w:color="auto" w:fill="auto"/>
                  <w:vAlign w:val="center"/>
                </w:tcPr>
                <w:p w14:paraId="06DA7B7D">
                  <w:pPr>
                    <w:widowControl/>
                    <w:jc w:val="center"/>
                    <w:rPr>
                      <w:rFonts w:hint="default" w:cs="宋体"/>
                      <w:kern w:val="0"/>
                      <w:sz w:val="18"/>
                      <w:szCs w:val="18"/>
                      <w:lang w:val="en-US" w:eastAsia="zh-CN"/>
                    </w:rPr>
                  </w:pPr>
                  <w:r>
                    <w:rPr>
                      <w:rFonts w:hint="eastAsia" w:cs="宋体"/>
                      <w:kern w:val="0"/>
                      <w:sz w:val="18"/>
                      <w:szCs w:val="18"/>
                      <w:lang w:val="en-US" w:eastAsia="zh-CN"/>
                    </w:rPr>
                    <w:t>66</w:t>
                  </w:r>
                </w:p>
              </w:tc>
              <w:tc>
                <w:tcPr>
                  <w:tcW w:w="566" w:type="pct"/>
                  <w:gridSpan w:val="2"/>
                  <w:shd w:val="clear" w:color="auto" w:fill="auto"/>
                  <w:vAlign w:val="center"/>
                </w:tcPr>
                <w:p w14:paraId="47A82CA3">
                  <w:pPr>
                    <w:widowControl/>
                    <w:jc w:val="center"/>
                    <w:rPr>
                      <w:rFonts w:hint="default" w:cs="宋体"/>
                      <w:kern w:val="0"/>
                      <w:sz w:val="18"/>
                      <w:szCs w:val="18"/>
                      <w:lang w:val="en-US" w:eastAsia="zh-CN"/>
                    </w:rPr>
                  </w:pPr>
                  <w:r>
                    <w:rPr>
                      <w:rFonts w:hint="eastAsia" w:cs="宋体"/>
                      <w:kern w:val="0"/>
                      <w:sz w:val="18"/>
                      <w:szCs w:val="18"/>
                      <w:lang w:val="en-US" w:eastAsia="zh-CN"/>
                    </w:rPr>
                    <w:t>62</w:t>
                  </w:r>
                </w:p>
              </w:tc>
              <w:tc>
                <w:tcPr>
                  <w:tcW w:w="573" w:type="pct"/>
                  <w:shd w:val="clear" w:color="auto" w:fill="auto"/>
                  <w:vAlign w:val="center"/>
                </w:tcPr>
                <w:p w14:paraId="71CF7F1F">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val="en-US" w:eastAsia="zh-CN"/>
                    </w:rPr>
                    <w:t>400</w:t>
                  </w:r>
                </w:p>
              </w:tc>
              <w:tc>
                <w:tcPr>
                  <w:tcW w:w="536" w:type="pct"/>
                  <w:shd w:val="clear" w:color="auto" w:fill="auto"/>
                  <w:vAlign w:val="center"/>
                </w:tcPr>
                <w:p w14:paraId="70007533">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rPr>
                    <w:t>达标</w:t>
                  </w:r>
                </w:p>
              </w:tc>
            </w:tr>
            <w:tr w14:paraId="5AB0FF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continue"/>
                  <w:vAlign w:val="center"/>
                </w:tcPr>
                <w:p w14:paraId="7CAE338F">
                  <w:pPr>
                    <w:widowControl/>
                    <w:jc w:val="left"/>
                    <w:rPr>
                      <w:rFonts w:cs="宋体"/>
                      <w:kern w:val="0"/>
                      <w:sz w:val="18"/>
                      <w:szCs w:val="18"/>
                    </w:rPr>
                  </w:pPr>
                </w:p>
              </w:tc>
              <w:tc>
                <w:tcPr>
                  <w:tcW w:w="545" w:type="pct"/>
                  <w:vMerge w:val="continue"/>
                  <w:shd w:val="clear" w:color="auto" w:fill="auto"/>
                  <w:vAlign w:val="center"/>
                </w:tcPr>
                <w:p w14:paraId="5435D001">
                  <w:pPr>
                    <w:widowControl/>
                    <w:jc w:val="left"/>
                    <w:rPr>
                      <w:rFonts w:cs="宋体"/>
                      <w:kern w:val="0"/>
                      <w:sz w:val="18"/>
                      <w:szCs w:val="18"/>
                    </w:rPr>
                  </w:pPr>
                </w:p>
              </w:tc>
              <w:tc>
                <w:tcPr>
                  <w:tcW w:w="654" w:type="pct"/>
                  <w:shd w:val="clear" w:color="auto" w:fill="auto"/>
                  <w:vAlign w:val="center"/>
                </w:tcPr>
                <w:p w14:paraId="707492ED">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eastAsia="zh-CN"/>
                    </w:rPr>
                    <w:t>氨氮</w:t>
                  </w:r>
                </w:p>
              </w:tc>
              <w:tc>
                <w:tcPr>
                  <w:tcW w:w="538" w:type="pct"/>
                  <w:gridSpan w:val="2"/>
                  <w:shd w:val="clear" w:color="auto" w:fill="auto"/>
                  <w:vAlign w:val="center"/>
                </w:tcPr>
                <w:p w14:paraId="47FBFD19">
                  <w:pPr>
                    <w:widowControl/>
                    <w:jc w:val="center"/>
                    <w:rPr>
                      <w:rFonts w:hint="default" w:cs="宋体"/>
                      <w:kern w:val="0"/>
                      <w:sz w:val="18"/>
                      <w:szCs w:val="18"/>
                      <w:lang w:val="en-US" w:eastAsia="zh-CN"/>
                    </w:rPr>
                  </w:pPr>
                  <w:r>
                    <w:rPr>
                      <w:rFonts w:hint="eastAsia" w:cs="宋体"/>
                      <w:kern w:val="0"/>
                      <w:sz w:val="18"/>
                      <w:szCs w:val="18"/>
                      <w:lang w:val="en-US" w:eastAsia="zh-CN"/>
                    </w:rPr>
                    <w:t>0.801</w:t>
                  </w:r>
                </w:p>
              </w:tc>
              <w:tc>
                <w:tcPr>
                  <w:tcW w:w="532" w:type="pct"/>
                  <w:shd w:val="clear" w:color="auto" w:fill="auto"/>
                  <w:vAlign w:val="center"/>
                </w:tcPr>
                <w:p w14:paraId="1CB62CB2">
                  <w:pPr>
                    <w:widowControl/>
                    <w:jc w:val="center"/>
                    <w:rPr>
                      <w:rFonts w:hint="default" w:cs="宋体"/>
                      <w:kern w:val="0"/>
                      <w:sz w:val="18"/>
                      <w:szCs w:val="18"/>
                      <w:lang w:val="en-US" w:eastAsia="zh-CN"/>
                    </w:rPr>
                  </w:pPr>
                  <w:r>
                    <w:rPr>
                      <w:rFonts w:hint="eastAsia" w:cs="宋体"/>
                      <w:kern w:val="0"/>
                      <w:sz w:val="18"/>
                      <w:szCs w:val="18"/>
                      <w:lang w:val="en-US" w:eastAsia="zh-CN"/>
                    </w:rPr>
                    <w:t>0.771</w:t>
                  </w:r>
                </w:p>
              </w:tc>
              <w:tc>
                <w:tcPr>
                  <w:tcW w:w="516" w:type="pct"/>
                  <w:shd w:val="clear" w:color="auto" w:fill="auto"/>
                  <w:vAlign w:val="center"/>
                </w:tcPr>
                <w:p w14:paraId="4D9AA1DA">
                  <w:pPr>
                    <w:widowControl/>
                    <w:jc w:val="center"/>
                    <w:rPr>
                      <w:rFonts w:hint="default" w:cs="宋体"/>
                      <w:kern w:val="0"/>
                      <w:sz w:val="18"/>
                      <w:szCs w:val="18"/>
                      <w:lang w:val="en-US" w:eastAsia="zh-CN"/>
                    </w:rPr>
                  </w:pPr>
                  <w:r>
                    <w:rPr>
                      <w:rFonts w:hint="eastAsia" w:cs="宋体"/>
                      <w:kern w:val="0"/>
                      <w:sz w:val="18"/>
                      <w:szCs w:val="18"/>
                      <w:lang w:val="en-US" w:eastAsia="zh-CN"/>
                    </w:rPr>
                    <w:t>0.748</w:t>
                  </w:r>
                </w:p>
              </w:tc>
              <w:tc>
                <w:tcPr>
                  <w:tcW w:w="566" w:type="pct"/>
                  <w:gridSpan w:val="2"/>
                  <w:shd w:val="clear" w:color="auto" w:fill="auto"/>
                  <w:vAlign w:val="center"/>
                </w:tcPr>
                <w:p w14:paraId="77E05857">
                  <w:pPr>
                    <w:widowControl/>
                    <w:jc w:val="center"/>
                    <w:rPr>
                      <w:rFonts w:hint="default" w:cs="宋体"/>
                      <w:kern w:val="0"/>
                      <w:sz w:val="18"/>
                      <w:szCs w:val="18"/>
                      <w:lang w:val="en-US" w:eastAsia="zh-CN"/>
                    </w:rPr>
                  </w:pPr>
                  <w:r>
                    <w:rPr>
                      <w:rFonts w:hint="eastAsia" w:cs="宋体"/>
                      <w:kern w:val="0"/>
                      <w:sz w:val="18"/>
                      <w:szCs w:val="18"/>
                      <w:lang w:val="en-US" w:eastAsia="zh-CN"/>
                    </w:rPr>
                    <w:t>0.866</w:t>
                  </w:r>
                </w:p>
              </w:tc>
              <w:tc>
                <w:tcPr>
                  <w:tcW w:w="573" w:type="pct"/>
                  <w:shd w:val="clear" w:color="auto" w:fill="auto"/>
                  <w:vAlign w:val="center"/>
                </w:tcPr>
                <w:p w14:paraId="38926B8C">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val="en-US" w:eastAsia="zh-CN"/>
                    </w:rPr>
                    <w:t>45</w:t>
                  </w:r>
                </w:p>
              </w:tc>
              <w:tc>
                <w:tcPr>
                  <w:tcW w:w="536" w:type="pct"/>
                  <w:shd w:val="clear" w:color="auto" w:fill="auto"/>
                  <w:vAlign w:val="center"/>
                </w:tcPr>
                <w:p w14:paraId="4560A9C0">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rPr>
                    <w:t>达标</w:t>
                  </w:r>
                </w:p>
              </w:tc>
            </w:tr>
            <w:tr w14:paraId="4C4633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continue"/>
                  <w:vAlign w:val="center"/>
                </w:tcPr>
                <w:p w14:paraId="452C9EB8">
                  <w:pPr>
                    <w:widowControl/>
                    <w:jc w:val="left"/>
                    <w:rPr>
                      <w:rFonts w:cs="宋体"/>
                      <w:kern w:val="0"/>
                      <w:sz w:val="18"/>
                      <w:szCs w:val="18"/>
                    </w:rPr>
                  </w:pPr>
                </w:p>
              </w:tc>
              <w:tc>
                <w:tcPr>
                  <w:tcW w:w="545" w:type="pct"/>
                  <w:vMerge w:val="continue"/>
                  <w:shd w:val="clear" w:color="auto" w:fill="auto"/>
                  <w:vAlign w:val="center"/>
                </w:tcPr>
                <w:p w14:paraId="1EC5AF79">
                  <w:pPr>
                    <w:widowControl/>
                    <w:jc w:val="left"/>
                    <w:rPr>
                      <w:rFonts w:cs="宋体"/>
                      <w:kern w:val="0"/>
                      <w:sz w:val="18"/>
                      <w:szCs w:val="18"/>
                    </w:rPr>
                  </w:pPr>
                </w:p>
              </w:tc>
              <w:tc>
                <w:tcPr>
                  <w:tcW w:w="654" w:type="pct"/>
                  <w:shd w:val="clear" w:color="auto" w:fill="auto"/>
                  <w:vAlign w:val="center"/>
                </w:tcPr>
                <w:p w14:paraId="412768BE">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eastAsia="zh-CN"/>
                    </w:rPr>
                    <w:t>动植物油类</w:t>
                  </w:r>
                </w:p>
              </w:tc>
              <w:tc>
                <w:tcPr>
                  <w:tcW w:w="538" w:type="pct"/>
                  <w:gridSpan w:val="2"/>
                  <w:shd w:val="clear" w:color="auto" w:fill="auto"/>
                  <w:vAlign w:val="center"/>
                </w:tcPr>
                <w:p w14:paraId="79EB96B7">
                  <w:pPr>
                    <w:widowControl/>
                    <w:jc w:val="center"/>
                    <w:rPr>
                      <w:rFonts w:hint="default" w:cs="宋体"/>
                      <w:kern w:val="0"/>
                      <w:sz w:val="18"/>
                      <w:szCs w:val="18"/>
                      <w:lang w:val="en-US" w:eastAsia="zh-CN"/>
                    </w:rPr>
                  </w:pPr>
                  <w:r>
                    <w:rPr>
                      <w:rFonts w:hint="eastAsia" w:cs="宋体"/>
                      <w:kern w:val="0"/>
                      <w:sz w:val="18"/>
                      <w:szCs w:val="18"/>
                      <w:lang w:val="en-US" w:eastAsia="zh-CN"/>
                    </w:rPr>
                    <w:t>10.1</w:t>
                  </w:r>
                </w:p>
              </w:tc>
              <w:tc>
                <w:tcPr>
                  <w:tcW w:w="532" w:type="pct"/>
                  <w:shd w:val="clear" w:color="auto" w:fill="auto"/>
                  <w:vAlign w:val="center"/>
                </w:tcPr>
                <w:p w14:paraId="04958679">
                  <w:pPr>
                    <w:widowControl/>
                    <w:jc w:val="center"/>
                    <w:rPr>
                      <w:rFonts w:hint="default" w:cs="宋体"/>
                      <w:kern w:val="0"/>
                      <w:sz w:val="18"/>
                      <w:szCs w:val="18"/>
                      <w:lang w:val="en-US" w:eastAsia="zh-CN"/>
                    </w:rPr>
                  </w:pPr>
                  <w:r>
                    <w:rPr>
                      <w:rFonts w:hint="eastAsia" w:cs="宋体"/>
                      <w:kern w:val="0"/>
                      <w:sz w:val="18"/>
                      <w:szCs w:val="18"/>
                      <w:lang w:val="en-US" w:eastAsia="zh-CN"/>
                    </w:rPr>
                    <w:t>9.78</w:t>
                  </w:r>
                </w:p>
              </w:tc>
              <w:tc>
                <w:tcPr>
                  <w:tcW w:w="516" w:type="pct"/>
                  <w:shd w:val="clear" w:color="auto" w:fill="auto"/>
                  <w:vAlign w:val="center"/>
                </w:tcPr>
                <w:p w14:paraId="41C942BC">
                  <w:pPr>
                    <w:widowControl/>
                    <w:jc w:val="center"/>
                    <w:rPr>
                      <w:rFonts w:hint="default" w:cs="宋体"/>
                      <w:kern w:val="0"/>
                      <w:sz w:val="18"/>
                      <w:szCs w:val="18"/>
                      <w:lang w:val="en-US" w:eastAsia="zh-CN"/>
                    </w:rPr>
                  </w:pPr>
                  <w:r>
                    <w:rPr>
                      <w:rFonts w:hint="eastAsia" w:cs="宋体"/>
                      <w:kern w:val="0"/>
                      <w:sz w:val="18"/>
                      <w:szCs w:val="18"/>
                      <w:lang w:val="en-US" w:eastAsia="zh-CN"/>
                    </w:rPr>
                    <w:t>9.96</w:t>
                  </w:r>
                </w:p>
              </w:tc>
              <w:tc>
                <w:tcPr>
                  <w:tcW w:w="566" w:type="pct"/>
                  <w:gridSpan w:val="2"/>
                  <w:shd w:val="clear" w:color="auto" w:fill="auto"/>
                  <w:vAlign w:val="center"/>
                </w:tcPr>
                <w:p w14:paraId="0406D769">
                  <w:pPr>
                    <w:widowControl/>
                    <w:jc w:val="center"/>
                    <w:rPr>
                      <w:rFonts w:hint="default" w:cs="宋体"/>
                      <w:kern w:val="0"/>
                      <w:sz w:val="18"/>
                      <w:szCs w:val="18"/>
                      <w:lang w:val="en-US" w:eastAsia="zh-CN"/>
                    </w:rPr>
                  </w:pPr>
                  <w:r>
                    <w:rPr>
                      <w:rFonts w:hint="eastAsia" w:cs="宋体"/>
                      <w:kern w:val="0"/>
                      <w:sz w:val="18"/>
                      <w:szCs w:val="18"/>
                      <w:lang w:val="en-US" w:eastAsia="zh-CN"/>
                    </w:rPr>
                    <w:t>9.94</w:t>
                  </w:r>
                </w:p>
              </w:tc>
              <w:tc>
                <w:tcPr>
                  <w:tcW w:w="573" w:type="pct"/>
                  <w:shd w:val="clear" w:color="auto" w:fill="auto"/>
                  <w:vAlign w:val="center"/>
                </w:tcPr>
                <w:p w14:paraId="5DC69C17">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val="en-US" w:eastAsia="zh-CN"/>
                    </w:rPr>
                    <w:t>100</w:t>
                  </w:r>
                </w:p>
              </w:tc>
              <w:tc>
                <w:tcPr>
                  <w:tcW w:w="536" w:type="pct"/>
                  <w:shd w:val="clear" w:color="auto" w:fill="auto"/>
                  <w:vAlign w:val="center"/>
                </w:tcPr>
                <w:p w14:paraId="2B0AFD35">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rPr>
                    <w:t>达标</w:t>
                  </w:r>
                </w:p>
              </w:tc>
            </w:tr>
            <w:tr w14:paraId="3A42C4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continue"/>
                  <w:vAlign w:val="center"/>
                </w:tcPr>
                <w:p w14:paraId="4F789F8E">
                  <w:pPr>
                    <w:widowControl/>
                    <w:jc w:val="left"/>
                    <w:rPr>
                      <w:rFonts w:cs="宋体"/>
                      <w:kern w:val="0"/>
                      <w:sz w:val="18"/>
                      <w:szCs w:val="18"/>
                    </w:rPr>
                  </w:pPr>
                </w:p>
              </w:tc>
              <w:tc>
                <w:tcPr>
                  <w:tcW w:w="545" w:type="pct"/>
                  <w:vMerge w:val="restart"/>
                  <w:shd w:val="clear" w:color="auto" w:fill="auto"/>
                  <w:vAlign w:val="center"/>
                </w:tcPr>
                <w:p w14:paraId="48D16773">
                  <w:pPr>
                    <w:widowControl/>
                    <w:jc w:val="center"/>
                    <w:rPr>
                      <w:rFonts w:cs="宋体"/>
                      <w:kern w:val="0"/>
                      <w:sz w:val="18"/>
                      <w:szCs w:val="18"/>
                    </w:rPr>
                  </w:pPr>
                  <w:r>
                    <w:rPr>
                      <w:rFonts w:hint="eastAsia" w:cs="宋体"/>
                      <w:kern w:val="0"/>
                      <w:sz w:val="18"/>
                      <w:szCs w:val="18"/>
                      <w:lang w:val="en-US" w:eastAsia="zh-CN"/>
                    </w:rPr>
                    <w:t>W2生活污水排口2#</w:t>
                  </w:r>
                </w:p>
              </w:tc>
              <w:tc>
                <w:tcPr>
                  <w:tcW w:w="654" w:type="pct"/>
                  <w:shd w:val="clear" w:color="auto" w:fill="auto"/>
                  <w:vAlign w:val="center"/>
                </w:tcPr>
                <w:p w14:paraId="40DBE383">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val="en-US" w:eastAsia="zh-CN"/>
                    </w:rPr>
                    <w:t>PH</w:t>
                  </w:r>
                  <w:r>
                    <w:rPr>
                      <w:rFonts w:hint="eastAsia" w:cs="宋体"/>
                      <w:kern w:val="0"/>
                      <w:sz w:val="18"/>
                      <w:szCs w:val="18"/>
                    </w:rPr>
                    <w:t xml:space="preserve"> </w:t>
                  </w:r>
                </w:p>
              </w:tc>
              <w:tc>
                <w:tcPr>
                  <w:tcW w:w="538" w:type="pct"/>
                  <w:gridSpan w:val="2"/>
                  <w:shd w:val="clear" w:color="auto" w:fill="auto"/>
                  <w:vAlign w:val="center"/>
                </w:tcPr>
                <w:p w14:paraId="09289523">
                  <w:pPr>
                    <w:widowControl/>
                    <w:jc w:val="center"/>
                    <w:rPr>
                      <w:rFonts w:hint="default" w:cs="宋体"/>
                      <w:kern w:val="0"/>
                      <w:sz w:val="18"/>
                      <w:szCs w:val="18"/>
                      <w:lang w:val="en-US" w:eastAsia="zh-CN"/>
                    </w:rPr>
                  </w:pPr>
                  <w:r>
                    <w:rPr>
                      <w:rFonts w:hint="eastAsia" w:cs="宋体"/>
                      <w:kern w:val="0"/>
                      <w:sz w:val="18"/>
                      <w:szCs w:val="18"/>
                      <w:lang w:val="en-US" w:eastAsia="zh-CN"/>
                    </w:rPr>
                    <w:t>7.6</w:t>
                  </w:r>
                </w:p>
              </w:tc>
              <w:tc>
                <w:tcPr>
                  <w:tcW w:w="532" w:type="pct"/>
                  <w:shd w:val="clear" w:color="auto" w:fill="auto"/>
                  <w:vAlign w:val="center"/>
                </w:tcPr>
                <w:p w14:paraId="0A6749CF">
                  <w:pPr>
                    <w:widowControl/>
                    <w:jc w:val="center"/>
                    <w:rPr>
                      <w:rFonts w:hint="default" w:cs="宋体"/>
                      <w:kern w:val="0"/>
                      <w:sz w:val="18"/>
                      <w:szCs w:val="18"/>
                      <w:lang w:val="en-US" w:eastAsia="zh-CN"/>
                    </w:rPr>
                  </w:pPr>
                  <w:r>
                    <w:rPr>
                      <w:rFonts w:hint="eastAsia" w:cs="宋体"/>
                      <w:kern w:val="0"/>
                      <w:sz w:val="18"/>
                      <w:szCs w:val="18"/>
                      <w:lang w:val="en-US" w:eastAsia="zh-CN"/>
                    </w:rPr>
                    <w:t>7.5</w:t>
                  </w:r>
                </w:p>
              </w:tc>
              <w:tc>
                <w:tcPr>
                  <w:tcW w:w="516" w:type="pct"/>
                  <w:shd w:val="clear" w:color="auto" w:fill="auto"/>
                  <w:vAlign w:val="center"/>
                </w:tcPr>
                <w:p w14:paraId="6E2BCB75">
                  <w:pPr>
                    <w:widowControl/>
                    <w:jc w:val="center"/>
                    <w:rPr>
                      <w:rFonts w:hint="default" w:cs="宋体"/>
                      <w:kern w:val="0"/>
                      <w:sz w:val="18"/>
                      <w:szCs w:val="18"/>
                      <w:lang w:val="en-US" w:eastAsia="zh-CN"/>
                    </w:rPr>
                  </w:pPr>
                  <w:r>
                    <w:rPr>
                      <w:rFonts w:hint="eastAsia" w:cs="宋体"/>
                      <w:kern w:val="0"/>
                      <w:sz w:val="18"/>
                      <w:szCs w:val="18"/>
                      <w:lang w:val="en-US" w:eastAsia="zh-CN"/>
                    </w:rPr>
                    <w:t>7.5</w:t>
                  </w:r>
                </w:p>
              </w:tc>
              <w:tc>
                <w:tcPr>
                  <w:tcW w:w="566" w:type="pct"/>
                  <w:gridSpan w:val="2"/>
                  <w:shd w:val="clear" w:color="auto" w:fill="auto"/>
                  <w:vAlign w:val="center"/>
                </w:tcPr>
                <w:p w14:paraId="0F6A0F47">
                  <w:pPr>
                    <w:widowControl/>
                    <w:jc w:val="center"/>
                    <w:rPr>
                      <w:rFonts w:hint="default" w:cs="宋体"/>
                      <w:kern w:val="0"/>
                      <w:sz w:val="18"/>
                      <w:szCs w:val="18"/>
                      <w:lang w:val="en-US" w:eastAsia="zh-CN"/>
                    </w:rPr>
                  </w:pPr>
                  <w:r>
                    <w:rPr>
                      <w:rFonts w:hint="eastAsia" w:cs="宋体"/>
                      <w:kern w:val="0"/>
                      <w:sz w:val="18"/>
                      <w:szCs w:val="18"/>
                      <w:lang w:val="en-US" w:eastAsia="zh-CN"/>
                    </w:rPr>
                    <w:t>7.6</w:t>
                  </w:r>
                </w:p>
              </w:tc>
              <w:tc>
                <w:tcPr>
                  <w:tcW w:w="573" w:type="pct"/>
                  <w:shd w:val="clear" w:color="auto" w:fill="auto"/>
                  <w:vAlign w:val="center"/>
                </w:tcPr>
                <w:p w14:paraId="102B704A">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val="en-US" w:eastAsia="zh-CN"/>
                    </w:rPr>
                    <w:t>6-9</w:t>
                  </w:r>
                </w:p>
              </w:tc>
              <w:tc>
                <w:tcPr>
                  <w:tcW w:w="536" w:type="pct"/>
                  <w:shd w:val="clear" w:color="auto" w:fill="auto"/>
                  <w:vAlign w:val="center"/>
                </w:tcPr>
                <w:p w14:paraId="0153A799">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rPr>
                    <w:t>达标</w:t>
                  </w:r>
                </w:p>
              </w:tc>
            </w:tr>
            <w:tr w14:paraId="5DAAB1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continue"/>
                  <w:vAlign w:val="center"/>
                </w:tcPr>
                <w:p w14:paraId="792A9DA8">
                  <w:pPr>
                    <w:widowControl/>
                    <w:jc w:val="left"/>
                    <w:rPr>
                      <w:rFonts w:cs="宋体"/>
                      <w:kern w:val="0"/>
                      <w:sz w:val="18"/>
                      <w:szCs w:val="18"/>
                    </w:rPr>
                  </w:pPr>
                </w:p>
              </w:tc>
              <w:tc>
                <w:tcPr>
                  <w:tcW w:w="545" w:type="pct"/>
                  <w:vMerge w:val="continue"/>
                  <w:shd w:val="clear" w:color="auto" w:fill="auto"/>
                  <w:vAlign w:val="center"/>
                </w:tcPr>
                <w:p w14:paraId="5490DB23">
                  <w:pPr>
                    <w:widowControl/>
                    <w:jc w:val="left"/>
                    <w:rPr>
                      <w:rFonts w:cs="宋体"/>
                      <w:kern w:val="0"/>
                      <w:sz w:val="18"/>
                      <w:szCs w:val="18"/>
                    </w:rPr>
                  </w:pPr>
                </w:p>
              </w:tc>
              <w:tc>
                <w:tcPr>
                  <w:tcW w:w="654" w:type="pct"/>
                  <w:shd w:val="clear" w:color="auto" w:fill="auto"/>
                  <w:vAlign w:val="center"/>
                </w:tcPr>
                <w:p w14:paraId="2A994647">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val="en-US" w:eastAsia="zh-CN"/>
                    </w:rPr>
                    <w:t>COD</w:t>
                  </w:r>
                </w:p>
              </w:tc>
              <w:tc>
                <w:tcPr>
                  <w:tcW w:w="538" w:type="pct"/>
                  <w:gridSpan w:val="2"/>
                  <w:shd w:val="clear" w:color="auto" w:fill="auto"/>
                  <w:vAlign w:val="center"/>
                </w:tcPr>
                <w:p w14:paraId="4EB5C12F">
                  <w:pPr>
                    <w:widowControl/>
                    <w:jc w:val="center"/>
                    <w:rPr>
                      <w:rFonts w:hint="default" w:cs="宋体"/>
                      <w:kern w:val="0"/>
                      <w:sz w:val="18"/>
                      <w:szCs w:val="18"/>
                      <w:lang w:val="en-US" w:eastAsia="zh-CN"/>
                    </w:rPr>
                  </w:pPr>
                  <w:r>
                    <w:rPr>
                      <w:rFonts w:hint="eastAsia" w:cs="宋体"/>
                      <w:kern w:val="0"/>
                      <w:sz w:val="18"/>
                      <w:szCs w:val="18"/>
                      <w:lang w:val="en-US" w:eastAsia="zh-CN"/>
                    </w:rPr>
                    <w:t>188</w:t>
                  </w:r>
                </w:p>
              </w:tc>
              <w:tc>
                <w:tcPr>
                  <w:tcW w:w="532" w:type="pct"/>
                  <w:shd w:val="clear" w:color="auto" w:fill="auto"/>
                  <w:vAlign w:val="center"/>
                </w:tcPr>
                <w:p w14:paraId="2135E04E">
                  <w:pPr>
                    <w:widowControl/>
                    <w:jc w:val="center"/>
                    <w:rPr>
                      <w:rFonts w:hint="default" w:cs="宋体"/>
                      <w:kern w:val="0"/>
                      <w:sz w:val="18"/>
                      <w:szCs w:val="18"/>
                      <w:lang w:val="en-US" w:eastAsia="zh-CN"/>
                    </w:rPr>
                  </w:pPr>
                  <w:r>
                    <w:rPr>
                      <w:rFonts w:hint="eastAsia" w:cs="宋体"/>
                      <w:kern w:val="0"/>
                      <w:sz w:val="18"/>
                      <w:szCs w:val="18"/>
                      <w:lang w:val="en-US" w:eastAsia="zh-CN"/>
                    </w:rPr>
                    <w:t>170</w:t>
                  </w:r>
                </w:p>
              </w:tc>
              <w:tc>
                <w:tcPr>
                  <w:tcW w:w="516" w:type="pct"/>
                  <w:shd w:val="clear" w:color="auto" w:fill="auto"/>
                  <w:vAlign w:val="center"/>
                </w:tcPr>
                <w:p w14:paraId="66A39278">
                  <w:pPr>
                    <w:widowControl/>
                    <w:jc w:val="center"/>
                    <w:rPr>
                      <w:rFonts w:hint="default" w:cs="宋体"/>
                      <w:kern w:val="0"/>
                      <w:sz w:val="18"/>
                      <w:szCs w:val="18"/>
                      <w:lang w:val="en-US" w:eastAsia="zh-CN"/>
                    </w:rPr>
                  </w:pPr>
                  <w:r>
                    <w:rPr>
                      <w:rFonts w:hint="eastAsia" w:cs="宋体"/>
                      <w:kern w:val="0"/>
                      <w:sz w:val="18"/>
                      <w:szCs w:val="18"/>
                      <w:lang w:val="en-US" w:eastAsia="zh-CN"/>
                    </w:rPr>
                    <w:t>204</w:t>
                  </w:r>
                </w:p>
              </w:tc>
              <w:tc>
                <w:tcPr>
                  <w:tcW w:w="566" w:type="pct"/>
                  <w:gridSpan w:val="2"/>
                  <w:shd w:val="clear" w:color="auto" w:fill="auto"/>
                  <w:vAlign w:val="center"/>
                </w:tcPr>
                <w:p w14:paraId="00A9EC8A">
                  <w:pPr>
                    <w:widowControl/>
                    <w:jc w:val="center"/>
                    <w:rPr>
                      <w:rFonts w:hint="default" w:cs="宋体"/>
                      <w:kern w:val="0"/>
                      <w:sz w:val="18"/>
                      <w:szCs w:val="18"/>
                      <w:lang w:val="en-US" w:eastAsia="zh-CN"/>
                    </w:rPr>
                  </w:pPr>
                  <w:r>
                    <w:rPr>
                      <w:rFonts w:hint="eastAsia" w:cs="宋体"/>
                      <w:kern w:val="0"/>
                      <w:sz w:val="18"/>
                      <w:szCs w:val="18"/>
                      <w:lang w:val="en-US" w:eastAsia="zh-CN"/>
                    </w:rPr>
                    <w:t>187</w:t>
                  </w:r>
                </w:p>
              </w:tc>
              <w:tc>
                <w:tcPr>
                  <w:tcW w:w="573" w:type="pct"/>
                  <w:shd w:val="clear" w:color="auto" w:fill="auto"/>
                  <w:vAlign w:val="center"/>
                </w:tcPr>
                <w:p w14:paraId="674DDF90">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val="en-US" w:eastAsia="zh-CN"/>
                    </w:rPr>
                    <w:t>500</w:t>
                  </w:r>
                </w:p>
              </w:tc>
              <w:tc>
                <w:tcPr>
                  <w:tcW w:w="536" w:type="pct"/>
                  <w:shd w:val="clear" w:color="auto" w:fill="auto"/>
                  <w:vAlign w:val="center"/>
                </w:tcPr>
                <w:p w14:paraId="5D95C31B">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rPr>
                    <w:t>达标</w:t>
                  </w:r>
                </w:p>
              </w:tc>
            </w:tr>
            <w:tr w14:paraId="1190CF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continue"/>
                  <w:vAlign w:val="center"/>
                </w:tcPr>
                <w:p w14:paraId="23F27E5A">
                  <w:pPr>
                    <w:widowControl/>
                    <w:jc w:val="left"/>
                    <w:rPr>
                      <w:rFonts w:cs="宋体"/>
                      <w:kern w:val="0"/>
                      <w:sz w:val="18"/>
                      <w:szCs w:val="18"/>
                    </w:rPr>
                  </w:pPr>
                </w:p>
              </w:tc>
              <w:tc>
                <w:tcPr>
                  <w:tcW w:w="545" w:type="pct"/>
                  <w:vMerge w:val="continue"/>
                  <w:shd w:val="clear" w:color="auto" w:fill="auto"/>
                  <w:vAlign w:val="center"/>
                </w:tcPr>
                <w:p w14:paraId="7D30BEBF">
                  <w:pPr>
                    <w:widowControl/>
                    <w:jc w:val="left"/>
                    <w:rPr>
                      <w:rFonts w:cs="宋体"/>
                      <w:kern w:val="0"/>
                      <w:sz w:val="18"/>
                      <w:szCs w:val="18"/>
                    </w:rPr>
                  </w:pPr>
                </w:p>
              </w:tc>
              <w:tc>
                <w:tcPr>
                  <w:tcW w:w="654" w:type="pct"/>
                  <w:shd w:val="clear" w:color="auto" w:fill="auto"/>
                  <w:vAlign w:val="center"/>
                </w:tcPr>
                <w:p w14:paraId="6217F82F">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val="en-US" w:eastAsia="zh-CN"/>
                    </w:rPr>
                    <w:t>BOD5</w:t>
                  </w:r>
                </w:p>
              </w:tc>
              <w:tc>
                <w:tcPr>
                  <w:tcW w:w="538" w:type="pct"/>
                  <w:gridSpan w:val="2"/>
                  <w:shd w:val="clear" w:color="auto" w:fill="auto"/>
                  <w:vAlign w:val="center"/>
                </w:tcPr>
                <w:p w14:paraId="15F65E1C">
                  <w:pPr>
                    <w:widowControl/>
                    <w:jc w:val="center"/>
                    <w:rPr>
                      <w:rFonts w:hint="default" w:cs="宋体"/>
                      <w:kern w:val="0"/>
                      <w:sz w:val="18"/>
                      <w:szCs w:val="18"/>
                      <w:lang w:val="en-US" w:eastAsia="zh-CN"/>
                    </w:rPr>
                  </w:pPr>
                  <w:r>
                    <w:rPr>
                      <w:rFonts w:hint="eastAsia" w:cs="宋体"/>
                      <w:kern w:val="0"/>
                      <w:sz w:val="18"/>
                      <w:szCs w:val="18"/>
                      <w:lang w:val="en-US" w:eastAsia="zh-CN"/>
                    </w:rPr>
                    <w:t>70.5</w:t>
                  </w:r>
                </w:p>
              </w:tc>
              <w:tc>
                <w:tcPr>
                  <w:tcW w:w="532" w:type="pct"/>
                  <w:shd w:val="clear" w:color="auto" w:fill="auto"/>
                  <w:vAlign w:val="center"/>
                </w:tcPr>
                <w:p w14:paraId="4108C741">
                  <w:pPr>
                    <w:widowControl/>
                    <w:jc w:val="center"/>
                    <w:rPr>
                      <w:rFonts w:hint="default" w:cs="宋体"/>
                      <w:kern w:val="0"/>
                      <w:sz w:val="18"/>
                      <w:szCs w:val="18"/>
                      <w:lang w:val="en-US" w:eastAsia="zh-CN"/>
                    </w:rPr>
                  </w:pPr>
                  <w:r>
                    <w:rPr>
                      <w:rFonts w:hint="eastAsia" w:cs="宋体"/>
                      <w:kern w:val="0"/>
                      <w:sz w:val="18"/>
                      <w:szCs w:val="18"/>
                      <w:lang w:val="en-US" w:eastAsia="zh-CN"/>
                    </w:rPr>
                    <w:t>69</w:t>
                  </w:r>
                </w:p>
              </w:tc>
              <w:tc>
                <w:tcPr>
                  <w:tcW w:w="516" w:type="pct"/>
                  <w:shd w:val="clear" w:color="auto" w:fill="auto"/>
                  <w:vAlign w:val="center"/>
                </w:tcPr>
                <w:p w14:paraId="055CB78B">
                  <w:pPr>
                    <w:widowControl/>
                    <w:jc w:val="center"/>
                    <w:rPr>
                      <w:rFonts w:hint="default" w:cs="宋体"/>
                      <w:kern w:val="0"/>
                      <w:sz w:val="18"/>
                      <w:szCs w:val="18"/>
                      <w:lang w:val="en-US" w:eastAsia="zh-CN"/>
                    </w:rPr>
                  </w:pPr>
                  <w:r>
                    <w:rPr>
                      <w:rFonts w:hint="eastAsia" w:cs="宋体"/>
                      <w:kern w:val="0"/>
                      <w:sz w:val="18"/>
                      <w:szCs w:val="18"/>
                      <w:lang w:val="en-US" w:eastAsia="zh-CN"/>
                    </w:rPr>
                    <w:t>59</w:t>
                  </w:r>
                </w:p>
              </w:tc>
              <w:tc>
                <w:tcPr>
                  <w:tcW w:w="566" w:type="pct"/>
                  <w:gridSpan w:val="2"/>
                  <w:shd w:val="clear" w:color="auto" w:fill="auto"/>
                  <w:vAlign w:val="center"/>
                </w:tcPr>
                <w:p w14:paraId="4859894F">
                  <w:pPr>
                    <w:widowControl/>
                    <w:jc w:val="center"/>
                    <w:rPr>
                      <w:rFonts w:hint="default" w:cs="宋体"/>
                      <w:kern w:val="0"/>
                      <w:sz w:val="18"/>
                      <w:szCs w:val="18"/>
                      <w:lang w:val="en-US" w:eastAsia="zh-CN"/>
                    </w:rPr>
                  </w:pPr>
                  <w:r>
                    <w:rPr>
                      <w:rFonts w:hint="eastAsia" w:cs="宋体"/>
                      <w:kern w:val="0"/>
                      <w:sz w:val="18"/>
                      <w:szCs w:val="18"/>
                      <w:lang w:val="en-US" w:eastAsia="zh-CN"/>
                    </w:rPr>
                    <w:t>76</w:t>
                  </w:r>
                </w:p>
              </w:tc>
              <w:tc>
                <w:tcPr>
                  <w:tcW w:w="573" w:type="pct"/>
                  <w:shd w:val="clear" w:color="auto" w:fill="auto"/>
                  <w:vAlign w:val="center"/>
                </w:tcPr>
                <w:p w14:paraId="0C8C8E5D">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val="en-US" w:eastAsia="zh-CN"/>
                    </w:rPr>
                    <w:t>300</w:t>
                  </w:r>
                </w:p>
              </w:tc>
              <w:tc>
                <w:tcPr>
                  <w:tcW w:w="536" w:type="pct"/>
                  <w:shd w:val="clear" w:color="auto" w:fill="auto"/>
                  <w:vAlign w:val="center"/>
                </w:tcPr>
                <w:p w14:paraId="1A7646A0">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rPr>
                    <w:t>达标</w:t>
                  </w:r>
                </w:p>
              </w:tc>
            </w:tr>
            <w:tr w14:paraId="26C3B9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continue"/>
                  <w:vAlign w:val="center"/>
                </w:tcPr>
                <w:p w14:paraId="4B4CA10C">
                  <w:pPr>
                    <w:widowControl/>
                    <w:jc w:val="left"/>
                    <w:rPr>
                      <w:rFonts w:cs="宋体"/>
                      <w:kern w:val="0"/>
                      <w:sz w:val="18"/>
                      <w:szCs w:val="18"/>
                    </w:rPr>
                  </w:pPr>
                </w:p>
              </w:tc>
              <w:tc>
                <w:tcPr>
                  <w:tcW w:w="545" w:type="pct"/>
                  <w:vMerge w:val="continue"/>
                  <w:shd w:val="clear" w:color="auto" w:fill="auto"/>
                  <w:vAlign w:val="center"/>
                </w:tcPr>
                <w:p w14:paraId="0A78973A">
                  <w:pPr>
                    <w:widowControl/>
                    <w:jc w:val="left"/>
                    <w:rPr>
                      <w:rFonts w:cs="宋体"/>
                      <w:kern w:val="0"/>
                      <w:sz w:val="18"/>
                      <w:szCs w:val="18"/>
                    </w:rPr>
                  </w:pPr>
                </w:p>
              </w:tc>
              <w:tc>
                <w:tcPr>
                  <w:tcW w:w="654" w:type="pct"/>
                  <w:shd w:val="clear" w:color="auto" w:fill="auto"/>
                  <w:vAlign w:val="center"/>
                </w:tcPr>
                <w:p w14:paraId="6FAA5D38">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eastAsia="zh-CN"/>
                    </w:rPr>
                    <w:t>悬浮物</w:t>
                  </w:r>
                </w:p>
              </w:tc>
              <w:tc>
                <w:tcPr>
                  <w:tcW w:w="538" w:type="pct"/>
                  <w:gridSpan w:val="2"/>
                  <w:shd w:val="clear" w:color="auto" w:fill="auto"/>
                  <w:vAlign w:val="center"/>
                </w:tcPr>
                <w:p w14:paraId="3EEB0114">
                  <w:pPr>
                    <w:widowControl/>
                    <w:jc w:val="center"/>
                    <w:rPr>
                      <w:rFonts w:hint="default" w:cs="宋体"/>
                      <w:kern w:val="0"/>
                      <w:sz w:val="18"/>
                      <w:szCs w:val="18"/>
                      <w:lang w:val="en-US" w:eastAsia="zh-CN"/>
                    </w:rPr>
                  </w:pPr>
                  <w:r>
                    <w:rPr>
                      <w:rFonts w:hint="eastAsia" w:cs="宋体"/>
                      <w:kern w:val="0"/>
                      <w:sz w:val="18"/>
                      <w:szCs w:val="18"/>
                      <w:lang w:val="en-US" w:eastAsia="zh-CN"/>
                    </w:rPr>
                    <w:t>76</w:t>
                  </w:r>
                </w:p>
              </w:tc>
              <w:tc>
                <w:tcPr>
                  <w:tcW w:w="532" w:type="pct"/>
                  <w:shd w:val="clear" w:color="auto" w:fill="auto"/>
                  <w:vAlign w:val="center"/>
                </w:tcPr>
                <w:p w14:paraId="15E7DCC2">
                  <w:pPr>
                    <w:widowControl/>
                    <w:jc w:val="center"/>
                    <w:rPr>
                      <w:rFonts w:hint="default" w:cs="宋体"/>
                      <w:kern w:val="0"/>
                      <w:sz w:val="18"/>
                      <w:szCs w:val="18"/>
                      <w:lang w:val="en-US" w:eastAsia="zh-CN"/>
                    </w:rPr>
                  </w:pPr>
                  <w:r>
                    <w:rPr>
                      <w:rFonts w:hint="eastAsia" w:cs="宋体"/>
                      <w:kern w:val="0"/>
                      <w:sz w:val="18"/>
                      <w:szCs w:val="18"/>
                      <w:lang w:val="en-US" w:eastAsia="zh-CN"/>
                    </w:rPr>
                    <w:t>79</w:t>
                  </w:r>
                </w:p>
              </w:tc>
              <w:tc>
                <w:tcPr>
                  <w:tcW w:w="516" w:type="pct"/>
                  <w:shd w:val="clear" w:color="auto" w:fill="auto"/>
                  <w:vAlign w:val="center"/>
                </w:tcPr>
                <w:p w14:paraId="41E0EC31">
                  <w:pPr>
                    <w:widowControl/>
                    <w:jc w:val="center"/>
                    <w:rPr>
                      <w:rFonts w:hint="default" w:cs="宋体"/>
                      <w:kern w:val="0"/>
                      <w:sz w:val="18"/>
                      <w:szCs w:val="18"/>
                      <w:lang w:val="en-US" w:eastAsia="zh-CN"/>
                    </w:rPr>
                  </w:pPr>
                  <w:r>
                    <w:rPr>
                      <w:rFonts w:hint="eastAsia" w:cs="宋体"/>
                      <w:kern w:val="0"/>
                      <w:sz w:val="18"/>
                      <w:szCs w:val="18"/>
                      <w:lang w:val="en-US" w:eastAsia="zh-CN"/>
                    </w:rPr>
                    <w:t>71</w:t>
                  </w:r>
                </w:p>
              </w:tc>
              <w:tc>
                <w:tcPr>
                  <w:tcW w:w="566" w:type="pct"/>
                  <w:gridSpan w:val="2"/>
                  <w:shd w:val="clear" w:color="auto" w:fill="auto"/>
                  <w:vAlign w:val="center"/>
                </w:tcPr>
                <w:p w14:paraId="589D450D">
                  <w:pPr>
                    <w:widowControl/>
                    <w:jc w:val="center"/>
                    <w:rPr>
                      <w:rFonts w:hint="default" w:cs="宋体"/>
                      <w:kern w:val="0"/>
                      <w:sz w:val="18"/>
                      <w:szCs w:val="18"/>
                      <w:lang w:val="en-US" w:eastAsia="zh-CN"/>
                    </w:rPr>
                  </w:pPr>
                  <w:r>
                    <w:rPr>
                      <w:rFonts w:hint="eastAsia" w:cs="宋体"/>
                      <w:kern w:val="0"/>
                      <w:sz w:val="18"/>
                      <w:szCs w:val="18"/>
                      <w:lang w:val="en-US" w:eastAsia="zh-CN"/>
                    </w:rPr>
                    <w:t>74</w:t>
                  </w:r>
                </w:p>
              </w:tc>
              <w:tc>
                <w:tcPr>
                  <w:tcW w:w="573" w:type="pct"/>
                  <w:shd w:val="clear" w:color="auto" w:fill="auto"/>
                  <w:vAlign w:val="center"/>
                </w:tcPr>
                <w:p w14:paraId="2680F9E3">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val="en-US" w:eastAsia="zh-CN"/>
                    </w:rPr>
                    <w:t>400</w:t>
                  </w:r>
                </w:p>
              </w:tc>
              <w:tc>
                <w:tcPr>
                  <w:tcW w:w="536" w:type="pct"/>
                  <w:shd w:val="clear" w:color="auto" w:fill="auto"/>
                  <w:vAlign w:val="center"/>
                </w:tcPr>
                <w:p w14:paraId="7E2FE852">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rPr>
                    <w:t>达标</w:t>
                  </w:r>
                </w:p>
              </w:tc>
            </w:tr>
            <w:tr w14:paraId="640900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continue"/>
                  <w:vAlign w:val="center"/>
                </w:tcPr>
                <w:p w14:paraId="47F91C46">
                  <w:pPr>
                    <w:widowControl/>
                    <w:jc w:val="left"/>
                    <w:rPr>
                      <w:rFonts w:cs="宋体"/>
                      <w:kern w:val="0"/>
                      <w:sz w:val="18"/>
                      <w:szCs w:val="18"/>
                    </w:rPr>
                  </w:pPr>
                </w:p>
              </w:tc>
              <w:tc>
                <w:tcPr>
                  <w:tcW w:w="545" w:type="pct"/>
                  <w:vMerge w:val="continue"/>
                  <w:shd w:val="clear" w:color="auto" w:fill="auto"/>
                  <w:vAlign w:val="center"/>
                </w:tcPr>
                <w:p w14:paraId="04146551">
                  <w:pPr>
                    <w:widowControl/>
                    <w:jc w:val="left"/>
                    <w:rPr>
                      <w:rFonts w:cs="宋体"/>
                      <w:kern w:val="0"/>
                      <w:sz w:val="18"/>
                      <w:szCs w:val="18"/>
                    </w:rPr>
                  </w:pPr>
                </w:p>
              </w:tc>
              <w:tc>
                <w:tcPr>
                  <w:tcW w:w="654" w:type="pct"/>
                  <w:shd w:val="clear" w:color="auto" w:fill="auto"/>
                  <w:vAlign w:val="center"/>
                </w:tcPr>
                <w:p w14:paraId="29C1C70A">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eastAsia="zh-CN"/>
                    </w:rPr>
                    <w:t>氨氮</w:t>
                  </w:r>
                </w:p>
              </w:tc>
              <w:tc>
                <w:tcPr>
                  <w:tcW w:w="538" w:type="pct"/>
                  <w:gridSpan w:val="2"/>
                  <w:shd w:val="clear" w:color="auto" w:fill="auto"/>
                  <w:vAlign w:val="center"/>
                </w:tcPr>
                <w:p w14:paraId="4EB552A1">
                  <w:pPr>
                    <w:widowControl/>
                    <w:jc w:val="center"/>
                    <w:rPr>
                      <w:rFonts w:hint="default" w:cs="宋体"/>
                      <w:kern w:val="0"/>
                      <w:sz w:val="18"/>
                      <w:szCs w:val="18"/>
                      <w:lang w:val="en-US" w:eastAsia="zh-CN"/>
                    </w:rPr>
                  </w:pPr>
                  <w:r>
                    <w:rPr>
                      <w:rFonts w:hint="eastAsia" w:cs="宋体"/>
                      <w:kern w:val="0"/>
                      <w:sz w:val="18"/>
                      <w:szCs w:val="18"/>
                      <w:lang w:val="en-US" w:eastAsia="zh-CN"/>
                    </w:rPr>
                    <w:t>2.64</w:t>
                  </w:r>
                </w:p>
              </w:tc>
              <w:tc>
                <w:tcPr>
                  <w:tcW w:w="532" w:type="pct"/>
                  <w:shd w:val="clear" w:color="auto" w:fill="auto"/>
                  <w:vAlign w:val="center"/>
                </w:tcPr>
                <w:p w14:paraId="28FA5AEA">
                  <w:pPr>
                    <w:widowControl/>
                    <w:jc w:val="center"/>
                    <w:rPr>
                      <w:rFonts w:hint="default" w:cs="宋体"/>
                      <w:kern w:val="0"/>
                      <w:sz w:val="18"/>
                      <w:szCs w:val="18"/>
                      <w:lang w:val="en-US" w:eastAsia="zh-CN"/>
                    </w:rPr>
                  </w:pPr>
                  <w:r>
                    <w:rPr>
                      <w:rFonts w:hint="eastAsia" w:cs="宋体"/>
                      <w:kern w:val="0"/>
                      <w:sz w:val="18"/>
                      <w:szCs w:val="18"/>
                      <w:lang w:val="en-US" w:eastAsia="zh-CN"/>
                    </w:rPr>
                    <w:t>2.33</w:t>
                  </w:r>
                </w:p>
              </w:tc>
              <w:tc>
                <w:tcPr>
                  <w:tcW w:w="516" w:type="pct"/>
                  <w:shd w:val="clear" w:color="auto" w:fill="auto"/>
                  <w:vAlign w:val="center"/>
                </w:tcPr>
                <w:p w14:paraId="04BE7941">
                  <w:pPr>
                    <w:widowControl/>
                    <w:jc w:val="center"/>
                    <w:rPr>
                      <w:rFonts w:hint="default" w:cs="宋体"/>
                      <w:kern w:val="0"/>
                      <w:sz w:val="18"/>
                      <w:szCs w:val="18"/>
                      <w:lang w:val="en-US" w:eastAsia="zh-CN"/>
                    </w:rPr>
                  </w:pPr>
                  <w:r>
                    <w:rPr>
                      <w:rFonts w:hint="eastAsia" w:cs="宋体"/>
                      <w:kern w:val="0"/>
                      <w:sz w:val="18"/>
                      <w:szCs w:val="18"/>
                      <w:lang w:val="en-US" w:eastAsia="zh-CN"/>
                    </w:rPr>
                    <w:t>2.49</w:t>
                  </w:r>
                </w:p>
              </w:tc>
              <w:tc>
                <w:tcPr>
                  <w:tcW w:w="566" w:type="pct"/>
                  <w:gridSpan w:val="2"/>
                  <w:shd w:val="clear" w:color="auto" w:fill="auto"/>
                  <w:vAlign w:val="center"/>
                </w:tcPr>
                <w:p w14:paraId="546F94A0">
                  <w:pPr>
                    <w:widowControl/>
                    <w:jc w:val="center"/>
                    <w:rPr>
                      <w:rFonts w:hint="default" w:cs="宋体"/>
                      <w:kern w:val="0"/>
                      <w:sz w:val="18"/>
                      <w:szCs w:val="18"/>
                      <w:lang w:val="en-US" w:eastAsia="zh-CN"/>
                    </w:rPr>
                  </w:pPr>
                  <w:r>
                    <w:rPr>
                      <w:rFonts w:hint="eastAsia" w:cs="宋体"/>
                      <w:kern w:val="0"/>
                      <w:sz w:val="18"/>
                      <w:szCs w:val="18"/>
                      <w:lang w:val="en-US" w:eastAsia="zh-CN"/>
                    </w:rPr>
                    <w:t>2.64</w:t>
                  </w:r>
                </w:p>
              </w:tc>
              <w:tc>
                <w:tcPr>
                  <w:tcW w:w="573" w:type="pct"/>
                  <w:shd w:val="clear" w:color="auto" w:fill="auto"/>
                  <w:vAlign w:val="center"/>
                </w:tcPr>
                <w:p w14:paraId="5327B74C">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val="en-US" w:eastAsia="zh-CN"/>
                    </w:rPr>
                    <w:t>45</w:t>
                  </w:r>
                </w:p>
              </w:tc>
              <w:tc>
                <w:tcPr>
                  <w:tcW w:w="536" w:type="pct"/>
                  <w:shd w:val="clear" w:color="auto" w:fill="auto"/>
                  <w:vAlign w:val="center"/>
                </w:tcPr>
                <w:p w14:paraId="49548AB1">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rPr>
                    <w:t>达标</w:t>
                  </w:r>
                </w:p>
              </w:tc>
            </w:tr>
            <w:tr w14:paraId="19B569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36" w:type="pct"/>
                  <w:vMerge w:val="continue"/>
                  <w:vAlign w:val="center"/>
                </w:tcPr>
                <w:p w14:paraId="7E17EB42">
                  <w:pPr>
                    <w:widowControl/>
                    <w:jc w:val="left"/>
                    <w:rPr>
                      <w:rFonts w:cs="宋体"/>
                      <w:kern w:val="0"/>
                      <w:sz w:val="18"/>
                      <w:szCs w:val="18"/>
                    </w:rPr>
                  </w:pPr>
                </w:p>
              </w:tc>
              <w:tc>
                <w:tcPr>
                  <w:tcW w:w="545" w:type="pct"/>
                  <w:vMerge w:val="continue"/>
                  <w:shd w:val="clear" w:color="auto" w:fill="auto"/>
                  <w:vAlign w:val="center"/>
                </w:tcPr>
                <w:p w14:paraId="70E2AD25">
                  <w:pPr>
                    <w:widowControl/>
                    <w:jc w:val="left"/>
                    <w:rPr>
                      <w:rFonts w:cs="宋体"/>
                      <w:kern w:val="0"/>
                      <w:sz w:val="18"/>
                      <w:szCs w:val="18"/>
                    </w:rPr>
                  </w:pPr>
                </w:p>
              </w:tc>
              <w:tc>
                <w:tcPr>
                  <w:tcW w:w="654" w:type="pct"/>
                  <w:shd w:val="clear" w:color="auto" w:fill="auto"/>
                  <w:vAlign w:val="center"/>
                </w:tcPr>
                <w:p w14:paraId="1B78E3BB">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eastAsia="zh-CN"/>
                    </w:rPr>
                    <w:t>动植物油类</w:t>
                  </w:r>
                </w:p>
              </w:tc>
              <w:tc>
                <w:tcPr>
                  <w:tcW w:w="538" w:type="pct"/>
                  <w:gridSpan w:val="2"/>
                  <w:shd w:val="clear" w:color="auto" w:fill="auto"/>
                  <w:vAlign w:val="center"/>
                </w:tcPr>
                <w:p w14:paraId="634A1196">
                  <w:pPr>
                    <w:widowControl/>
                    <w:jc w:val="center"/>
                    <w:rPr>
                      <w:rFonts w:hint="default" w:cs="宋体"/>
                      <w:kern w:val="0"/>
                      <w:sz w:val="18"/>
                      <w:szCs w:val="18"/>
                      <w:lang w:val="en-US" w:eastAsia="zh-CN"/>
                    </w:rPr>
                  </w:pPr>
                  <w:r>
                    <w:rPr>
                      <w:rFonts w:hint="eastAsia" w:cs="宋体"/>
                      <w:kern w:val="0"/>
                      <w:sz w:val="18"/>
                      <w:szCs w:val="18"/>
                      <w:lang w:val="en-US" w:eastAsia="zh-CN"/>
                    </w:rPr>
                    <w:t>8.76</w:t>
                  </w:r>
                </w:p>
              </w:tc>
              <w:tc>
                <w:tcPr>
                  <w:tcW w:w="532" w:type="pct"/>
                  <w:shd w:val="clear" w:color="auto" w:fill="auto"/>
                  <w:vAlign w:val="center"/>
                </w:tcPr>
                <w:p w14:paraId="367EE02B">
                  <w:pPr>
                    <w:widowControl/>
                    <w:jc w:val="center"/>
                    <w:rPr>
                      <w:rFonts w:hint="default" w:cs="宋体"/>
                      <w:kern w:val="0"/>
                      <w:sz w:val="18"/>
                      <w:szCs w:val="18"/>
                      <w:lang w:val="en-US" w:eastAsia="zh-CN"/>
                    </w:rPr>
                  </w:pPr>
                  <w:r>
                    <w:rPr>
                      <w:rFonts w:hint="eastAsia" w:cs="宋体"/>
                      <w:kern w:val="0"/>
                      <w:sz w:val="18"/>
                      <w:szCs w:val="18"/>
                      <w:lang w:val="en-US" w:eastAsia="zh-CN"/>
                    </w:rPr>
                    <w:t>8.95</w:t>
                  </w:r>
                </w:p>
              </w:tc>
              <w:tc>
                <w:tcPr>
                  <w:tcW w:w="516" w:type="pct"/>
                  <w:shd w:val="clear" w:color="auto" w:fill="auto"/>
                  <w:vAlign w:val="center"/>
                </w:tcPr>
                <w:p w14:paraId="5977CE65">
                  <w:pPr>
                    <w:widowControl/>
                    <w:jc w:val="center"/>
                    <w:rPr>
                      <w:rFonts w:hint="default" w:cs="宋体"/>
                      <w:kern w:val="0"/>
                      <w:sz w:val="18"/>
                      <w:szCs w:val="18"/>
                      <w:lang w:val="en-US" w:eastAsia="zh-CN"/>
                    </w:rPr>
                  </w:pPr>
                  <w:r>
                    <w:rPr>
                      <w:rFonts w:hint="eastAsia" w:cs="宋体"/>
                      <w:kern w:val="0"/>
                      <w:sz w:val="18"/>
                      <w:szCs w:val="18"/>
                      <w:lang w:val="en-US" w:eastAsia="zh-CN"/>
                    </w:rPr>
                    <w:t>8.75</w:t>
                  </w:r>
                </w:p>
              </w:tc>
              <w:tc>
                <w:tcPr>
                  <w:tcW w:w="566" w:type="pct"/>
                  <w:gridSpan w:val="2"/>
                  <w:shd w:val="clear" w:color="auto" w:fill="auto"/>
                  <w:vAlign w:val="center"/>
                </w:tcPr>
                <w:p w14:paraId="78D6EF12">
                  <w:pPr>
                    <w:widowControl/>
                    <w:jc w:val="center"/>
                    <w:rPr>
                      <w:rFonts w:hint="default" w:cs="宋体"/>
                      <w:kern w:val="0"/>
                      <w:sz w:val="18"/>
                      <w:szCs w:val="18"/>
                      <w:lang w:val="en-US" w:eastAsia="zh-CN"/>
                    </w:rPr>
                  </w:pPr>
                  <w:r>
                    <w:rPr>
                      <w:rFonts w:hint="eastAsia" w:cs="宋体"/>
                      <w:kern w:val="0"/>
                      <w:sz w:val="18"/>
                      <w:szCs w:val="18"/>
                      <w:lang w:val="en-US" w:eastAsia="zh-CN"/>
                    </w:rPr>
                    <w:t>8.6</w:t>
                  </w:r>
                </w:p>
              </w:tc>
              <w:tc>
                <w:tcPr>
                  <w:tcW w:w="573" w:type="pct"/>
                  <w:shd w:val="clear" w:color="auto" w:fill="auto"/>
                  <w:vAlign w:val="center"/>
                </w:tcPr>
                <w:p w14:paraId="4CE965C0">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lang w:val="en-US" w:eastAsia="zh-CN"/>
                    </w:rPr>
                    <w:t>100</w:t>
                  </w:r>
                </w:p>
              </w:tc>
              <w:tc>
                <w:tcPr>
                  <w:tcW w:w="536" w:type="pct"/>
                  <w:shd w:val="clear" w:color="auto" w:fill="auto"/>
                  <w:vAlign w:val="center"/>
                </w:tcPr>
                <w:p w14:paraId="30022A93">
                  <w:pPr>
                    <w:widowControl/>
                    <w:jc w:val="center"/>
                    <w:rPr>
                      <w:rFonts w:hint="eastAsia" w:ascii="Times New Roman" w:hAnsi="Times New Roman" w:eastAsia="宋体" w:cs="宋体"/>
                      <w:kern w:val="0"/>
                      <w:sz w:val="18"/>
                      <w:szCs w:val="18"/>
                      <w:lang w:val="en-US" w:eastAsia="zh-CN" w:bidi="ar-SA"/>
                    </w:rPr>
                  </w:pPr>
                  <w:r>
                    <w:rPr>
                      <w:rFonts w:hint="eastAsia" w:cs="宋体"/>
                      <w:kern w:val="0"/>
                      <w:sz w:val="18"/>
                      <w:szCs w:val="18"/>
                    </w:rPr>
                    <w:t>达标</w:t>
                  </w:r>
                </w:p>
              </w:tc>
            </w:tr>
          </w:tbl>
          <w:p w14:paraId="6C2897AF">
            <w:pPr>
              <w:spacing w:line="360" w:lineRule="auto"/>
              <w:rPr>
                <w:b/>
                <w:sz w:val="24"/>
              </w:rPr>
            </w:pPr>
            <w:r>
              <w:rPr>
                <w:rFonts w:hint="eastAsia"/>
                <w:b/>
                <w:sz w:val="24"/>
              </w:rPr>
              <w:t>8.2.</w:t>
            </w:r>
            <w:r>
              <w:rPr>
                <w:rFonts w:hint="eastAsia"/>
                <w:b/>
                <w:sz w:val="24"/>
                <w:lang w:val="en-US" w:eastAsia="zh-CN"/>
              </w:rPr>
              <w:t>2</w:t>
            </w:r>
            <w:r>
              <w:rPr>
                <w:rFonts w:hint="eastAsia"/>
                <w:b/>
                <w:sz w:val="24"/>
              </w:rPr>
              <w:t>运营期噪声监测</w:t>
            </w:r>
          </w:p>
          <w:p w14:paraId="22C0BBE3">
            <w:pPr>
              <w:spacing w:line="360" w:lineRule="auto"/>
              <w:ind w:firstLine="480" w:firstLineChars="200"/>
              <w:rPr>
                <w:sz w:val="24"/>
              </w:rPr>
            </w:pPr>
            <w:r>
              <w:rPr>
                <w:rFonts w:hint="eastAsia"/>
                <w:sz w:val="24"/>
              </w:rPr>
              <w:t>本项目竣工环境保护验收期间，委托湖北弗思检测技术有限公司于</w:t>
            </w:r>
            <w:bookmarkStart w:id="20" w:name="_Hlk58840022"/>
            <w:r>
              <w:rPr>
                <w:rFonts w:hint="eastAsia"/>
                <w:sz w:val="24"/>
              </w:rPr>
              <w:t>2</w:t>
            </w:r>
            <w:r>
              <w:rPr>
                <w:sz w:val="24"/>
              </w:rPr>
              <w:t>0</w:t>
            </w:r>
            <w:r>
              <w:rPr>
                <w:rFonts w:hint="eastAsia"/>
                <w:sz w:val="24"/>
              </w:rPr>
              <w:t>2</w:t>
            </w:r>
            <w:r>
              <w:rPr>
                <w:rFonts w:hint="eastAsia"/>
                <w:sz w:val="24"/>
                <w:lang w:val="en-US" w:eastAsia="zh-CN"/>
              </w:rPr>
              <w:t>4</w:t>
            </w:r>
            <w:r>
              <w:rPr>
                <w:rFonts w:hint="eastAsia"/>
                <w:sz w:val="24"/>
              </w:rPr>
              <w:t>年</w:t>
            </w:r>
            <w:r>
              <w:rPr>
                <w:rFonts w:hint="eastAsia"/>
                <w:sz w:val="24"/>
                <w:lang w:val="en-US" w:eastAsia="zh-CN"/>
              </w:rPr>
              <w:t>3</w:t>
            </w:r>
            <w:r>
              <w:rPr>
                <w:rFonts w:hint="eastAsia"/>
                <w:sz w:val="24"/>
              </w:rPr>
              <w:t>月</w:t>
            </w:r>
            <w:r>
              <w:rPr>
                <w:rFonts w:hint="eastAsia"/>
                <w:sz w:val="24"/>
                <w:lang w:val="en-US" w:eastAsia="zh-CN"/>
              </w:rPr>
              <w:t>21</w:t>
            </w:r>
            <w:r>
              <w:rPr>
                <w:rFonts w:hint="eastAsia"/>
                <w:sz w:val="24"/>
              </w:rPr>
              <w:t>日~</w:t>
            </w:r>
            <w:r>
              <w:rPr>
                <w:rFonts w:hint="eastAsia"/>
                <w:sz w:val="24"/>
                <w:lang w:val="en-US" w:eastAsia="zh-CN"/>
              </w:rPr>
              <w:t>3</w:t>
            </w:r>
            <w:r>
              <w:rPr>
                <w:rFonts w:hint="eastAsia"/>
                <w:sz w:val="24"/>
              </w:rPr>
              <w:t>月</w:t>
            </w:r>
            <w:r>
              <w:rPr>
                <w:rFonts w:hint="eastAsia"/>
                <w:sz w:val="24"/>
                <w:lang w:val="en-US" w:eastAsia="zh-CN"/>
              </w:rPr>
              <w:t>22</w:t>
            </w:r>
            <w:r>
              <w:rPr>
                <w:rFonts w:hint="eastAsia"/>
                <w:sz w:val="24"/>
              </w:rPr>
              <w:t>日</w:t>
            </w:r>
            <w:bookmarkEnd w:id="20"/>
            <w:r>
              <w:rPr>
                <w:rFonts w:hint="eastAsia"/>
                <w:sz w:val="24"/>
              </w:rPr>
              <w:t>对项目场界四周进行了噪声检测，检测报告见附件8，检测结果见表8</w:t>
            </w:r>
            <w:r>
              <w:rPr>
                <w:sz w:val="24"/>
              </w:rPr>
              <w:t>-2</w:t>
            </w:r>
            <w:r>
              <w:rPr>
                <w:rFonts w:hint="eastAsia"/>
                <w:sz w:val="24"/>
                <w:lang w:val="en-US" w:eastAsia="zh-CN"/>
              </w:rPr>
              <w:t>-2</w:t>
            </w:r>
            <w:r>
              <w:rPr>
                <w:rFonts w:hint="eastAsia"/>
                <w:sz w:val="24"/>
              </w:rPr>
              <w:t>。</w:t>
            </w:r>
          </w:p>
          <w:p w14:paraId="62C2EEBD">
            <w:pPr>
              <w:spacing w:line="360" w:lineRule="auto"/>
              <w:jc w:val="center"/>
              <w:rPr>
                <w:sz w:val="24"/>
              </w:rPr>
            </w:pPr>
            <w:r>
              <w:rPr>
                <w:rFonts w:hint="eastAsia" w:eastAsia="黑体"/>
                <w:bCs/>
              </w:rPr>
              <w:t>表8-</w:t>
            </w:r>
            <w:r>
              <w:rPr>
                <w:rFonts w:eastAsia="黑体"/>
                <w:bCs/>
              </w:rPr>
              <w:t>2</w:t>
            </w:r>
            <w:r>
              <w:rPr>
                <w:rFonts w:hint="eastAsia" w:eastAsia="黑体"/>
                <w:bCs/>
                <w:lang w:val="en-US" w:eastAsia="zh-CN"/>
              </w:rPr>
              <w:t>-2</w:t>
            </w:r>
            <w:r>
              <w:rPr>
                <w:rFonts w:hint="eastAsia" w:eastAsia="黑体"/>
                <w:bCs/>
              </w:rPr>
              <w:t xml:space="preserve">  运营期场界噪声监测结果一览表</w:t>
            </w:r>
          </w:p>
          <w:tbl>
            <w:tblPr>
              <w:tblStyle w:val="23"/>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28"/>
              <w:gridCol w:w="1128"/>
              <w:gridCol w:w="1128"/>
              <w:gridCol w:w="1128"/>
              <w:gridCol w:w="1128"/>
              <w:gridCol w:w="1128"/>
              <w:gridCol w:w="1129"/>
              <w:gridCol w:w="1129"/>
            </w:tblGrid>
            <w:tr w14:paraId="12AD49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625" w:type="pct"/>
                  <w:vMerge w:val="restart"/>
                  <w:tcBorders>
                    <w:top w:val="single" w:color="auto" w:sz="12" w:space="0"/>
                    <w:bottom w:val="single" w:color="auto" w:sz="4" w:space="0"/>
                  </w:tcBorders>
                  <w:shd w:val="clear" w:color="auto" w:fill="auto"/>
                  <w:vAlign w:val="center"/>
                </w:tcPr>
                <w:p w14:paraId="549AA4BF">
                  <w:pPr>
                    <w:widowControl/>
                    <w:jc w:val="center"/>
                    <w:rPr>
                      <w:rFonts w:cs="宋体"/>
                      <w:kern w:val="0"/>
                      <w:sz w:val="18"/>
                      <w:szCs w:val="18"/>
                    </w:rPr>
                  </w:pPr>
                  <w:r>
                    <w:rPr>
                      <w:rFonts w:hint="eastAsia" w:cs="宋体"/>
                      <w:kern w:val="0"/>
                      <w:sz w:val="18"/>
                      <w:szCs w:val="18"/>
                    </w:rPr>
                    <w:t>监测日期</w:t>
                  </w:r>
                </w:p>
              </w:tc>
              <w:tc>
                <w:tcPr>
                  <w:tcW w:w="625" w:type="pct"/>
                  <w:vMerge w:val="restart"/>
                  <w:tcBorders>
                    <w:top w:val="single" w:color="auto" w:sz="12" w:space="0"/>
                    <w:bottom w:val="single" w:color="auto" w:sz="4" w:space="0"/>
                  </w:tcBorders>
                  <w:shd w:val="clear" w:color="auto" w:fill="auto"/>
                  <w:vAlign w:val="center"/>
                </w:tcPr>
                <w:p w14:paraId="443A10E0">
                  <w:pPr>
                    <w:widowControl/>
                    <w:jc w:val="center"/>
                    <w:rPr>
                      <w:rFonts w:cs="宋体"/>
                      <w:kern w:val="0"/>
                      <w:sz w:val="18"/>
                      <w:szCs w:val="18"/>
                    </w:rPr>
                  </w:pPr>
                  <w:r>
                    <w:rPr>
                      <w:rFonts w:hint="eastAsia" w:cs="宋体"/>
                      <w:kern w:val="0"/>
                      <w:sz w:val="18"/>
                      <w:szCs w:val="18"/>
                    </w:rPr>
                    <w:t>监测点位</w:t>
                  </w:r>
                </w:p>
              </w:tc>
              <w:tc>
                <w:tcPr>
                  <w:tcW w:w="1875" w:type="pct"/>
                  <w:gridSpan w:val="3"/>
                  <w:tcBorders>
                    <w:top w:val="single" w:color="auto" w:sz="12" w:space="0"/>
                    <w:bottom w:val="single" w:color="auto" w:sz="4" w:space="0"/>
                  </w:tcBorders>
                  <w:shd w:val="clear" w:color="auto" w:fill="auto"/>
                  <w:vAlign w:val="center"/>
                </w:tcPr>
                <w:p w14:paraId="483B6D34">
                  <w:pPr>
                    <w:widowControl/>
                    <w:jc w:val="center"/>
                    <w:rPr>
                      <w:rFonts w:cs="宋体"/>
                      <w:kern w:val="0"/>
                      <w:sz w:val="18"/>
                      <w:szCs w:val="18"/>
                    </w:rPr>
                  </w:pPr>
                  <w:r>
                    <w:rPr>
                      <w:rFonts w:hint="eastAsia" w:cs="宋体"/>
                      <w:kern w:val="0"/>
                      <w:sz w:val="18"/>
                      <w:szCs w:val="18"/>
                    </w:rPr>
                    <w:t>昼间监测结果（</w:t>
                  </w:r>
                  <w:r>
                    <w:rPr>
                      <w:kern w:val="0"/>
                      <w:sz w:val="18"/>
                      <w:szCs w:val="18"/>
                    </w:rPr>
                    <w:t>dB</w:t>
                  </w:r>
                  <w:r>
                    <w:rPr>
                      <w:rFonts w:hint="eastAsia" w:cs="宋体"/>
                      <w:kern w:val="0"/>
                      <w:sz w:val="18"/>
                      <w:szCs w:val="18"/>
                    </w:rPr>
                    <w:t>（</w:t>
                  </w:r>
                  <w:r>
                    <w:rPr>
                      <w:kern w:val="0"/>
                      <w:sz w:val="18"/>
                      <w:szCs w:val="18"/>
                    </w:rPr>
                    <w:t>A</w:t>
                  </w:r>
                  <w:r>
                    <w:rPr>
                      <w:rFonts w:hint="eastAsia" w:cs="宋体"/>
                      <w:kern w:val="0"/>
                      <w:sz w:val="18"/>
                      <w:szCs w:val="18"/>
                    </w:rPr>
                    <w:t>））</w:t>
                  </w:r>
                </w:p>
              </w:tc>
              <w:tc>
                <w:tcPr>
                  <w:tcW w:w="1875" w:type="pct"/>
                  <w:gridSpan w:val="3"/>
                  <w:tcBorders>
                    <w:top w:val="single" w:color="auto" w:sz="12" w:space="0"/>
                    <w:bottom w:val="single" w:color="auto" w:sz="4" w:space="0"/>
                  </w:tcBorders>
                  <w:shd w:val="clear" w:color="auto" w:fill="auto"/>
                  <w:vAlign w:val="center"/>
                </w:tcPr>
                <w:p w14:paraId="05381339">
                  <w:pPr>
                    <w:widowControl/>
                    <w:jc w:val="center"/>
                    <w:rPr>
                      <w:rFonts w:cs="宋体"/>
                      <w:kern w:val="0"/>
                      <w:sz w:val="18"/>
                      <w:szCs w:val="18"/>
                    </w:rPr>
                  </w:pPr>
                  <w:r>
                    <w:rPr>
                      <w:rFonts w:hint="eastAsia" w:cs="宋体"/>
                      <w:kern w:val="0"/>
                      <w:sz w:val="18"/>
                      <w:szCs w:val="18"/>
                    </w:rPr>
                    <w:t>夜间监测结果（</w:t>
                  </w:r>
                  <w:r>
                    <w:rPr>
                      <w:kern w:val="0"/>
                      <w:sz w:val="18"/>
                      <w:szCs w:val="18"/>
                    </w:rPr>
                    <w:t>dB</w:t>
                  </w:r>
                  <w:r>
                    <w:rPr>
                      <w:rFonts w:hint="eastAsia" w:cs="宋体"/>
                      <w:kern w:val="0"/>
                      <w:sz w:val="18"/>
                      <w:szCs w:val="18"/>
                    </w:rPr>
                    <w:t>（</w:t>
                  </w:r>
                  <w:r>
                    <w:rPr>
                      <w:kern w:val="0"/>
                      <w:sz w:val="18"/>
                      <w:szCs w:val="18"/>
                    </w:rPr>
                    <w:t>A</w:t>
                  </w:r>
                  <w:r>
                    <w:rPr>
                      <w:rFonts w:hint="eastAsia" w:cs="宋体"/>
                      <w:kern w:val="0"/>
                      <w:sz w:val="18"/>
                      <w:szCs w:val="18"/>
                    </w:rPr>
                    <w:t>））</w:t>
                  </w:r>
                </w:p>
              </w:tc>
            </w:tr>
            <w:tr w14:paraId="6EF576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625" w:type="pct"/>
                  <w:vMerge w:val="continue"/>
                  <w:tcBorders>
                    <w:top w:val="single" w:color="auto" w:sz="4" w:space="0"/>
                    <w:bottom w:val="single" w:color="auto" w:sz="12" w:space="0"/>
                  </w:tcBorders>
                  <w:vAlign w:val="center"/>
                </w:tcPr>
                <w:p w14:paraId="426C895F">
                  <w:pPr>
                    <w:widowControl/>
                    <w:jc w:val="left"/>
                    <w:rPr>
                      <w:rFonts w:cs="宋体"/>
                      <w:kern w:val="0"/>
                      <w:sz w:val="18"/>
                      <w:szCs w:val="18"/>
                    </w:rPr>
                  </w:pPr>
                </w:p>
              </w:tc>
              <w:tc>
                <w:tcPr>
                  <w:tcW w:w="625" w:type="pct"/>
                  <w:vMerge w:val="continue"/>
                  <w:tcBorders>
                    <w:top w:val="single" w:color="auto" w:sz="4" w:space="0"/>
                    <w:bottom w:val="single" w:color="auto" w:sz="12" w:space="0"/>
                  </w:tcBorders>
                  <w:vAlign w:val="center"/>
                </w:tcPr>
                <w:p w14:paraId="027F6969">
                  <w:pPr>
                    <w:widowControl/>
                    <w:jc w:val="left"/>
                    <w:rPr>
                      <w:rFonts w:cs="宋体"/>
                      <w:kern w:val="0"/>
                      <w:sz w:val="18"/>
                      <w:szCs w:val="18"/>
                    </w:rPr>
                  </w:pPr>
                </w:p>
              </w:tc>
              <w:tc>
                <w:tcPr>
                  <w:tcW w:w="625" w:type="pct"/>
                  <w:tcBorders>
                    <w:top w:val="single" w:color="auto" w:sz="4" w:space="0"/>
                    <w:bottom w:val="single" w:color="auto" w:sz="12" w:space="0"/>
                  </w:tcBorders>
                  <w:shd w:val="clear" w:color="auto" w:fill="auto"/>
                  <w:vAlign w:val="center"/>
                </w:tcPr>
                <w:p w14:paraId="2C592E35">
                  <w:pPr>
                    <w:widowControl/>
                    <w:jc w:val="center"/>
                    <w:rPr>
                      <w:rFonts w:cs="宋体"/>
                      <w:kern w:val="0"/>
                      <w:sz w:val="18"/>
                      <w:szCs w:val="18"/>
                    </w:rPr>
                  </w:pPr>
                  <w:r>
                    <w:rPr>
                      <w:rFonts w:hint="eastAsia" w:cs="宋体"/>
                      <w:kern w:val="0"/>
                      <w:sz w:val="18"/>
                      <w:szCs w:val="18"/>
                    </w:rPr>
                    <w:t>监测结果</w:t>
                  </w:r>
                </w:p>
              </w:tc>
              <w:tc>
                <w:tcPr>
                  <w:tcW w:w="625" w:type="pct"/>
                  <w:tcBorders>
                    <w:top w:val="single" w:color="auto" w:sz="4" w:space="0"/>
                    <w:bottom w:val="single" w:color="auto" w:sz="12" w:space="0"/>
                  </w:tcBorders>
                  <w:shd w:val="clear" w:color="auto" w:fill="auto"/>
                  <w:vAlign w:val="center"/>
                </w:tcPr>
                <w:p w14:paraId="1D14AEF3">
                  <w:pPr>
                    <w:widowControl/>
                    <w:jc w:val="center"/>
                    <w:rPr>
                      <w:rFonts w:cs="宋体"/>
                      <w:kern w:val="0"/>
                      <w:sz w:val="18"/>
                      <w:szCs w:val="18"/>
                    </w:rPr>
                  </w:pPr>
                  <w:r>
                    <w:rPr>
                      <w:rFonts w:hint="eastAsia" w:cs="宋体"/>
                      <w:kern w:val="0"/>
                      <w:sz w:val="18"/>
                      <w:szCs w:val="18"/>
                    </w:rPr>
                    <w:t>标准限值</w:t>
                  </w:r>
                </w:p>
              </w:tc>
              <w:tc>
                <w:tcPr>
                  <w:tcW w:w="625" w:type="pct"/>
                  <w:tcBorders>
                    <w:top w:val="single" w:color="auto" w:sz="4" w:space="0"/>
                    <w:bottom w:val="single" w:color="auto" w:sz="12" w:space="0"/>
                  </w:tcBorders>
                  <w:shd w:val="clear" w:color="auto" w:fill="auto"/>
                  <w:vAlign w:val="center"/>
                </w:tcPr>
                <w:p w14:paraId="0198BE05">
                  <w:pPr>
                    <w:widowControl/>
                    <w:jc w:val="center"/>
                    <w:rPr>
                      <w:rFonts w:cs="宋体"/>
                      <w:kern w:val="0"/>
                      <w:sz w:val="18"/>
                      <w:szCs w:val="18"/>
                    </w:rPr>
                  </w:pPr>
                  <w:r>
                    <w:rPr>
                      <w:rFonts w:hint="eastAsia" w:cs="宋体"/>
                      <w:kern w:val="0"/>
                      <w:sz w:val="18"/>
                      <w:szCs w:val="18"/>
                    </w:rPr>
                    <w:t>达标情况</w:t>
                  </w:r>
                </w:p>
              </w:tc>
              <w:tc>
                <w:tcPr>
                  <w:tcW w:w="625" w:type="pct"/>
                  <w:tcBorders>
                    <w:top w:val="single" w:color="auto" w:sz="4" w:space="0"/>
                    <w:bottom w:val="single" w:color="auto" w:sz="12" w:space="0"/>
                  </w:tcBorders>
                  <w:shd w:val="clear" w:color="auto" w:fill="auto"/>
                  <w:vAlign w:val="center"/>
                </w:tcPr>
                <w:p w14:paraId="0AD44872">
                  <w:pPr>
                    <w:widowControl/>
                    <w:jc w:val="center"/>
                    <w:rPr>
                      <w:rFonts w:cs="宋体"/>
                      <w:kern w:val="0"/>
                      <w:sz w:val="18"/>
                      <w:szCs w:val="18"/>
                    </w:rPr>
                  </w:pPr>
                  <w:r>
                    <w:rPr>
                      <w:rFonts w:hint="eastAsia" w:cs="宋体"/>
                      <w:kern w:val="0"/>
                      <w:sz w:val="18"/>
                      <w:szCs w:val="18"/>
                    </w:rPr>
                    <w:t>监测结果</w:t>
                  </w:r>
                </w:p>
              </w:tc>
              <w:tc>
                <w:tcPr>
                  <w:tcW w:w="625" w:type="pct"/>
                  <w:tcBorders>
                    <w:top w:val="single" w:color="auto" w:sz="4" w:space="0"/>
                    <w:bottom w:val="single" w:color="auto" w:sz="12" w:space="0"/>
                  </w:tcBorders>
                  <w:shd w:val="clear" w:color="auto" w:fill="auto"/>
                  <w:vAlign w:val="center"/>
                </w:tcPr>
                <w:p w14:paraId="12EA7EA7">
                  <w:pPr>
                    <w:widowControl/>
                    <w:jc w:val="center"/>
                    <w:rPr>
                      <w:rFonts w:cs="宋体"/>
                      <w:kern w:val="0"/>
                      <w:sz w:val="18"/>
                      <w:szCs w:val="18"/>
                    </w:rPr>
                  </w:pPr>
                  <w:r>
                    <w:rPr>
                      <w:rFonts w:hint="eastAsia" w:cs="宋体"/>
                      <w:kern w:val="0"/>
                      <w:sz w:val="18"/>
                      <w:szCs w:val="18"/>
                    </w:rPr>
                    <w:t>标准限值</w:t>
                  </w:r>
                </w:p>
              </w:tc>
              <w:tc>
                <w:tcPr>
                  <w:tcW w:w="625" w:type="pct"/>
                  <w:tcBorders>
                    <w:top w:val="single" w:color="auto" w:sz="4" w:space="0"/>
                    <w:bottom w:val="single" w:color="auto" w:sz="12" w:space="0"/>
                  </w:tcBorders>
                  <w:shd w:val="clear" w:color="auto" w:fill="auto"/>
                  <w:vAlign w:val="center"/>
                </w:tcPr>
                <w:p w14:paraId="6B72CA32">
                  <w:pPr>
                    <w:widowControl/>
                    <w:jc w:val="center"/>
                    <w:rPr>
                      <w:rFonts w:cs="宋体"/>
                      <w:kern w:val="0"/>
                      <w:sz w:val="18"/>
                      <w:szCs w:val="18"/>
                    </w:rPr>
                  </w:pPr>
                  <w:r>
                    <w:rPr>
                      <w:rFonts w:hint="eastAsia" w:cs="宋体"/>
                      <w:kern w:val="0"/>
                      <w:sz w:val="18"/>
                      <w:szCs w:val="18"/>
                    </w:rPr>
                    <w:t>达标情况</w:t>
                  </w:r>
                </w:p>
              </w:tc>
            </w:tr>
            <w:tr w14:paraId="01A9AC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625" w:type="pct"/>
                  <w:vMerge w:val="restart"/>
                  <w:tcBorders>
                    <w:top w:val="single" w:color="auto" w:sz="12" w:space="0"/>
                  </w:tcBorders>
                  <w:shd w:val="clear" w:color="auto" w:fill="auto"/>
                  <w:vAlign w:val="center"/>
                </w:tcPr>
                <w:p w14:paraId="43B79379">
                  <w:pPr>
                    <w:widowControl/>
                    <w:jc w:val="center"/>
                    <w:rPr>
                      <w:rFonts w:hint="default" w:cs="宋体"/>
                      <w:kern w:val="0"/>
                      <w:sz w:val="18"/>
                      <w:szCs w:val="18"/>
                      <w:lang w:val="en-US" w:eastAsia="zh-CN"/>
                    </w:rPr>
                  </w:pPr>
                  <w:r>
                    <w:rPr>
                      <w:rFonts w:hint="eastAsia" w:cs="宋体"/>
                      <w:kern w:val="0"/>
                      <w:sz w:val="18"/>
                      <w:szCs w:val="18"/>
                      <w:lang w:val="en-US" w:eastAsia="zh-CN"/>
                    </w:rPr>
                    <w:t>2024/3/21</w:t>
                  </w:r>
                </w:p>
              </w:tc>
              <w:tc>
                <w:tcPr>
                  <w:tcW w:w="625" w:type="pct"/>
                  <w:tcBorders>
                    <w:top w:val="single" w:color="auto" w:sz="12" w:space="0"/>
                  </w:tcBorders>
                  <w:shd w:val="clear" w:color="auto" w:fill="auto"/>
                  <w:vAlign w:val="center"/>
                </w:tcPr>
                <w:p w14:paraId="2B0D5ABE">
                  <w:pPr>
                    <w:widowControl/>
                    <w:jc w:val="center"/>
                    <w:rPr>
                      <w:rFonts w:cs="宋体"/>
                      <w:kern w:val="0"/>
                      <w:sz w:val="18"/>
                      <w:szCs w:val="18"/>
                    </w:rPr>
                  </w:pPr>
                  <w:r>
                    <w:rPr>
                      <w:rFonts w:hint="eastAsia" w:cs="宋体"/>
                      <w:kern w:val="0"/>
                      <w:sz w:val="18"/>
                      <w:szCs w:val="18"/>
                    </w:rPr>
                    <w:t xml:space="preserve">N1 </w:t>
                  </w:r>
                </w:p>
              </w:tc>
              <w:tc>
                <w:tcPr>
                  <w:tcW w:w="625" w:type="pct"/>
                  <w:tcBorders>
                    <w:top w:val="single" w:color="auto" w:sz="12" w:space="0"/>
                  </w:tcBorders>
                  <w:shd w:val="clear" w:color="auto" w:fill="auto"/>
                  <w:vAlign w:val="center"/>
                </w:tcPr>
                <w:p w14:paraId="58FF7D48">
                  <w:pPr>
                    <w:widowControl/>
                    <w:jc w:val="center"/>
                    <w:rPr>
                      <w:rFonts w:hint="default" w:cs="宋体"/>
                      <w:kern w:val="0"/>
                      <w:sz w:val="18"/>
                      <w:szCs w:val="18"/>
                      <w:lang w:val="en-US" w:eastAsia="zh-CN"/>
                    </w:rPr>
                  </w:pPr>
                  <w:r>
                    <w:rPr>
                      <w:rFonts w:hint="eastAsia" w:cs="宋体"/>
                      <w:kern w:val="0"/>
                      <w:sz w:val="18"/>
                      <w:szCs w:val="18"/>
                      <w:lang w:val="en-US" w:eastAsia="zh-CN"/>
                    </w:rPr>
                    <w:t>62.4</w:t>
                  </w:r>
                </w:p>
              </w:tc>
              <w:tc>
                <w:tcPr>
                  <w:tcW w:w="625" w:type="pct"/>
                  <w:tcBorders>
                    <w:top w:val="single" w:color="auto" w:sz="12" w:space="0"/>
                  </w:tcBorders>
                  <w:shd w:val="clear" w:color="auto" w:fill="auto"/>
                  <w:vAlign w:val="center"/>
                </w:tcPr>
                <w:p w14:paraId="2721A5D4">
                  <w:pPr>
                    <w:widowControl/>
                    <w:jc w:val="center"/>
                    <w:rPr>
                      <w:rFonts w:hint="eastAsia" w:cs="宋体"/>
                      <w:kern w:val="0"/>
                      <w:sz w:val="18"/>
                      <w:szCs w:val="18"/>
                    </w:rPr>
                  </w:pPr>
                  <w:r>
                    <w:rPr>
                      <w:rFonts w:hint="eastAsia" w:cs="宋体"/>
                      <w:kern w:val="0"/>
                      <w:sz w:val="18"/>
                      <w:szCs w:val="18"/>
                    </w:rPr>
                    <w:t>70</w:t>
                  </w:r>
                </w:p>
              </w:tc>
              <w:tc>
                <w:tcPr>
                  <w:tcW w:w="625" w:type="pct"/>
                  <w:tcBorders>
                    <w:top w:val="single" w:color="auto" w:sz="12" w:space="0"/>
                  </w:tcBorders>
                  <w:shd w:val="clear" w:color="auto" w:fill="auto"/>
                  <w:vAlign w:val="center"/>
                </w:tcPr>
                <w:p w14:paraId="4649E588">
                  <w:pPr>
                    <w:widowControl/>
                    <w:jc w:val="center"/>
                    <w:rPr>
                      <w:rFonts w:cs="宋体"/>
                      <w:kern w:val="0"/>
                      <w:sz w:val="18"/>
                      <w:szCs w:val="18"/>
                    </w:rPr>
                  </w:pPr>
                  <w:r>
                    <w:rPr>
                      <w:rFonts w:hint="eastAsia" w:cs="宋体"/>
                      <w:kern w:val="0"/>
                      <w:sz w:val="18"/>
                      <w:szCs w:val="18"/>
                    </w:rPr>
                    <w:t>达标</w:t>
                  </w:r>
                </w:p>
              </w:tc>
              <w:tc>
                <w:tcPr>
                  <w:tcW w:w="625" w:type="pct"/>
                  <w:tcBorders>
                    <w:top w:val="single" w:color="auto" w:sz="12" w:space="0"/>
                  </w:tcBorders>
                  <w:shd w:val="clear" w:color="auto" w:fill="auto"/>
                  <w:vAlign w:val="center"/>
                </w:tcPr>
                <w:p w14:paraId="47B37ED7">
                  <w:pPr>
                    <w:widowControl/>
                    <w:jc w:val="center"/>
                    <w:rPr>
                      <w:rFonts w:hint="default" w:eastAsia="宋体" w:cs="宋体"/>
                      <w:kern w:val="0"/>
                      <w:sz w:val="18"/>
                      <w:szCs w:val="18"/>
                      <w:lang w:val="en-US" w:eastAsia="zh-CN"/>
                    </w:rPr>
                  </w:pPr>
                  <w:r>
                    <w:rPr>
                      <w:rFonts w:hint="eastAsia" w:cs="宋体"/>
                      <w:kern w:val="0"/>
                      <w:sz w:val="18"/>
                      <w:szCs w:val="18"/>
                      <w:lang w:val="en-US" w:eastAsia="zh-CN"/>
                    </w:rPr>
                    <w:t>43.4</w:t>
                  </w:r>
                </w:p>
              </w:tc>
              <w:tc>
                <w:tcPr>
                  <w:tcW w:w="625" w:type="pct"/>
                  <w:tcBorders>
                    <w:top w:val="single" w:color="auto" w:sz="12" w:space="0"/>
                  </w:tcBorders>
                  <w:shd w:val="clear" w:color="auto" w:fill="auto"/>
                  <w:vAlign w:val="center"/>
                </w:tcPr>
                <w:p w14:paraId="1EF9A63A">
                  <w:pPr>
                    <w:widowControl/>
                    <w:jc w:val="center"/>
                    <w:rPr>
                      <w:rFonts w:cs="宋体"/>
                      <w:kern w:val="0"/>
                      <w:sz w:val="18"/>
                      <w:szCs w:val="18"/>
                    </w:rPr>
                  </w:pPr>
                  <w:r>
                    <w:rPr>
                      <w:rFonts w:hint="eastAsia" w:cs="宋体"/>
                      <w:kern w:val="0"/>
                      <w:sz w:val="18"/>
                      <w:szCs w:val="18"/>
                    </w:rPr>
                    <w:t>55</w:t>
                  </w:r>
                </w:p>
              </w:tc>
              <w:tc>
                <w:tcPr>
                  <w:tcW w:w="625" w:type="pct"/>
                  <w:tcBorders>
                    <w:top w:val="single" w:color="auto" w:sz="12" w:space="0"/>
                  </w:tcBorders>
                  <w:shd w:val="clear" w:color="auto" w:fill="auto"/>
                  <w:vAlign w:val="center"/>
                </w:tcPr>
                <w:p w14:paraId="28D095EC">
                  <w:pPr>
                    <w:widowControl/>
                    <w:jc w:val="center"/>
                    <w:rPr>
                      <w:rFonts w:cs="宋体"/>
                      <w:kern w:val="0"/>
                      <w:sz w:val="18"/>
                      <w:szCs w:val="18"/>
                    </w:rPr>
                  </w:pPr>
                  <w:r>
                    <w:rPr>
                      <w:rFonts w:hint="eastAsia" w:cs="宋体"/>
                      <w:kern w:val="0"/>
                      <w:sz w:val="18"/>
                      <w:szCs w:val="18"/>
                    </w:rPr>
                    <w:t>达标</w:t>
                  </w:r>
                </w:p>
              </w:tc>
            </w:tr>
            <w:tr w14:paraId="1A807C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625" w:type="pct"/>
                  <w:vMerge w:val="continue"/>
                  <w:vAlign w:val="center"/>
                </w:tcPr>
                <w:p w14:paraId="12E07DE9">
                  <w:pPr>
                    <w:widowControl/>
                    <w:jc w:val="center"/>
                    <w:rPr>
                      <w:rFonts w:hint="eastAsia" w:cs="宋体"/>
                      <w:kern w:val="0"/>
                      <w:sz w:val="18"/>
                      <w:szCs w:val="18"/>
                      <w:lang w:val="en-US" w:eastAsia="zh-CN"/>
                    </w:rPr>
                  </w:pPr>
                </w:p>
              </w:tc>
              <w:tc>
                <w:tcPr>
                  <w:tcW w:w="625" w:type="pct"/>
                  <w:shd w:val="clear" w:color="auto" w:fill="auto"/>
                  <w:vAlign w:val="center"/>
                </w:tcPr>
                <w:p w14:paraId="1C4B0438">
                  <w:pPr>
                    <w:widowControl/>
                    <w:jc w:val="center"/>
                    <w:rPr>
                      <w:rFonts w:hint="eastAsia" w:eastAsia="宋体" w:cs="宋体"/>
                      <w:kern w:val="0"/>
                      <w:sz w:val="18"/>
                      <w:szCs w:val="18"/>
                      <w:lang w:eastAsia="zh-CN"/>
                    </w:rPr>
                  </w:pPr>
                  <w:r>
                    <w:rPr>
                      <w:rFonts w:hint="eastAsia" w:cs="宋体"/>
                      <w:kern w:val="0"/>
                      <w:sz w:val="18"/>
                      <w:szCs w:val="18"/>
                    </w:rPr>
                    <w:t>N</w:t>
                  </w:r>
                  <w:r>
                    <w:rPr>
                      <w:rFonts w:hint="eastAsia" w:cs="宋体"/>
                      <w:kern w:val="0"/>
                      <w:sz w:val="18"/>
                      <w:szCs w:val="18"/>
                      <w:lang w:val="en-US" w:eastAsia="zh-CN"/>
                    </w:rPr>
                    <w:t>2</w:t>
                  </w:r>
                </w:p>
              </w:tc>
              <w:tc>
                <w:tcPr>
                  <w:tcW w:w="625" w:type="pct"/>
                  <w:shd w:val="clear" w:color="auto" w:fill="auto"/>
                  <w:vAlign w:val="center"/>
                </w:tcPr>
                <w:p w14:paraId="568F002F">
                  <w:pPr>
                    <w:widowControl/>
                    <w:jc w:val="center"/>
                    <w:rPr>
                      <w:rFonts w:hint="default" w:cs="宋体"/>
                      <w:kern w:val="0"/>
                      <w:sz w:val="18"/>
                      <w:szCs w:val="18"/>
                      <w:lang w:val="en-US" w:eastAsia="zh-CN"/>
                    </w:rPr>
                  </w:pPr>
                  <w:r>
                    <w:rPr>
                      <w:rFonts w:hint="eastAsia" w:cs="宋体"/>
                      <w:kern w:val="0"/>
                      <w:sz w:val="18"/>
                      <w:szCs w:val="18"/>
                      <w:lang w:val="en-US" w:eastAsia="zh-CN"/>
                    </w:rPr>
                    <w:t>60.3</w:t>
                  </w:r>
                </w:p>
              </w:tc>
              <w:tc>
                <w:tcPr>
                  <w:tcW w:w="625" w:type="pct"/>
                  <w:shd w:val="clear" w:color="auto" w:fill="auto"/>
                  <w:vAlign w:val="center"/>
                </w:tcPr>
                <w:p w14:paraId="19ADA623">
                  <w:pPr>
                    <w:widowControl/>
                    <w:jc w:val="center"/>
                    <w:rPr>
                      <w:rFonts w:hint="eastAsia" w:cs="宋体"/>
                      <w:kern w:val="0"/>
                      <w:sz w:val="18"/>
                      <w:szCs w:val="18"/>
                    </w:rPr>
                  </w:pPr>
                  <w:r>
                    <w:rPr>
                      <w:rFonts w:hint="eastAsia" w:cs="宋体"/>
                      <w:kern w:val="0"/>
                      <w:sz w:val="18"/>
                      <w:szCs w:val="18"/>
                    </w:rPr>
                    <w:t>70</w:t>
                  </w:r>
                </w:p>
              </w:tc>
              <w:tc>
                <w:tcPr>
                  <w:tcW w:w="625" w:type="pct"/>
                  <w:shd w:val="clear" w:color="auto" w:fill="auto"/>
                  <w:vAlign w:val="center"/>
                </w:tcPr>
                <w:p w14:paraId="7CBD15DF">
                  <w:pPr>
                    <w:widowControl/>
                    <w:jc w:val="center"/>
                    <w:rPr>
                      <w:rFonts w:cs="宋体"/>
                      <w:kern w:val="0"/>
                      <w:sz w:val="18"/>
                      <w:szCs w:val="18"/>
                    </w:rPr>
                  </w:pPr>
                  <w:r>
                    <w:rPr>
                      <w:rFonts w:hint="eastAsia" w:cs="宋体"/>
                      <w:kern w:val="0"/>
                      <w:sz w:val="18"/>
                      <w:szCs w:val="18"/>
                    </w:rPr>
                    <w:t>达标</w:t>
                  </w:r>
                </w:p>
              </w:tc>
              <w:tc>
                <w:tcPr>
                  <w:tcW w:w="625" w:type="pct"/>
                  <w:shd w:val="clear" w:color="auto" w:fill="auto"/>
                  <w:vAlign w:val="center"/>
                </w:tcPr>
                <w:p w14:paraId="0D25B72A">
                  <w:pPr>
                    <w:widowControl/>
                    <w:jc w:val="center"/>
                    <w:rPr>
                      <w:rFonts w:hint="default" w:eastAsia="宋体" w:cs="宋体"/>
                      <w:kern w:val="0"/>
                      <w:sz w:val="18"/>
                      <w:szCs w:val="18"/>
                      <w:lang w:val="en-US" w:eastAsia="zh-CN"/>
                    </w:rPr>
                  </w:pPr>
                  <w:r>
                    <w:rPr>
                      <w:rFonts w:hint="eastAsia" w:cs="宋体"/>
                      <w:kern w:val="0"/>
                      <w:sz w:val="18"/>
                      <w:szCs w:val="18"/>
                      <w:lang w:val="en-US" w:eastAsia="zh-CN"/>
                    </w:rPr>
                    <w:t>42.7</w:t>
                  </w:r>
                </w:p>
              </w:tc>
              <w:tc>
                <w:tcPr>
                  <w:tcW w:w="625" w:type="pct"/>
                  <w:shd w:val="clear" w:color="auto" w:fill="auto"/>
                  <w:vAlign w:val="center"/>
                </w:tcPr>
                <w:p w14:paraId="0D3750F3">
                  <w:pPr>
                    <w:widowControl/>
                    <w:jc w:val="center"/>
                    <w:rPr>
                      <w:rFonts w:cs="宋体"/>
                      <w:kern w:val="0"/>
                      <w:sz w:val="18"/>
                      <w:szCs w:val="18"/>
                    </w:rPr>
                  </w:pPr>
                  <w:r>
                    <w:rPr>
                      <w:rFonts w:hint="eastAsia" w:cs="宋体"/>
                      <w:kern w:val="0"/>
                      <w:sz w:val="18"/>
                      <w:szCs w:val="18"/>
                    </w:rPr>
                    <w:t>55</w:t>
                  </w:r>
                </w:p>
              </w:tc>
              <w:tc>
                <w:tcPr>
                  <w:tcW w:w="625" w:type="pct"/>
                  <w:shd w:val="clear" w:color="auto" w:fill="auto"/>
                  <w:vAlign w:val="center"/>
                </w:tcPr>
                <w:p w14:paraId="427718DF">
                  <w:pPr>
                    <w:widowControl/>
                    <w:jc w:val="center"/>
                    <w:rPr>
                      <w:rFonts w:cs="宋体"/>
                      <w:kern w:val="0"/>
                      <w:sz w:val="18"/>
                      <w:szCs w:val="18"/>
                    </w:rPr>
                  </w:pPr>
                  <w:r>
                    <w:rPr>
                      <w:rFonts w:hint="eastAsia" w:cs="宋体"/>
                      <w:kern w:val="0"/>
                      <w:sz w:val="18"/>
                      <w:szCs w:val="18"/>
                    </w:rPr>
                    <w:t>达标</w:t>
                  </w:r>
                </w:p>
              </w:tc>
            </w:tr>
            <w:tr w14:paraId="6341E0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625" w:type="pct"/>
                  <w:vMerge w:val="continue"/>
                  <w:vAlign w:val="center"/>
                </w:tcPr>
                <w:p w14:paraId="649B2354">
                  <w:pPr>
                    <w:widowControl/>
                    <w:jc w:val="center"/>
                    <w:rPr>
                      <w:rFonts w:hint="eastAsia" w:cs="宋体"/>
                      <w:kern w:val="0"/>
                      <w:sz w:val="18"/>
                      <w:szCs w:val="18"/>
                      <w:lang w:val="en-US" w:eastAsia="zh-CN"/>
                    </w:rPr>
                  </w:pPr>
                </w:p>
              </w:tc>
              <w:tc>
                <w:tcPr>
                  <w:tcW w:w="625" w:type="pct"/>
                  <w:shd w:val="clear" w:color="auto" w:fill="auto"/>
                  <w:vAlign w:val="center"/>
                </w:tcPr>
                <w:p w14:paraId="5EA0DB18">
                  <w:pPr>
                    <w:widowControl/>
                    <w:jc w:val="center"/>
                    <w:rPr>
                      <w:rFonts w:hint="eastAsia" w:eastAsia="宋体" w:cs="宋体"/>
                      <w:kern w:val="0"/>
                      <w:sz w:val="18"/>
                      <w:szCs w:val="18"/>
                      <w:lang w:eastAsia="zh-CN"/>
                    </w:rPr>
                  </w:pPr>
                  <w:r>
                    <w:rPr>
                      <w:rFonts w:hint="eastAsia" w:cs="宋体"/>
                      <w:kern w:val="0"/>
                      <w:sz w:val="18"/>
                      <w:szCs w:val="18"/>
                    </w:rPr>
                    <w:t>N</w:t>
                  </w:r>
                  <w:r>
                    <w:rPr>
                      <w:rFonts w:hint="eastAsia" w:cs="宋体"/>
                      <w:kern w:val="0"/>
                      <w:sz w:val="18"/>
                      <w:szCs w:val="18"/>
                      <w:lang w:val="en-US" w:eastAsia="zh-CN"/>
                    </w:rPr>
                    <w:t>3</w:t>
                  </w:r>
                </w:p>
              </w:tc>
              <w:tc>
                <w:tcPr>
                  <w:tcW w:w="625" w:type="pct"/>
                  <w:shd w:val="clear" w:color="auto" w:fill="auto"/>
                  <w:vAlign w:val="center"/>
                </w:tcPr>
                <w:p w14:paraId="79DFE22E">
                  <w:pPr>
                    <w:widowControl/>
                    <w:jc w:val="center"/>
                    <w:rPr>
                      <w:rFonts w:hint="default" w:cs="宋体"/>
                      <w:kern w:val="0"/>
                      <w:sz w:val="18"/>
                      <w:szCs w:val="18"/>
                      <w:lang w:val="en-US" w:eastAsia="zh-CN"/>
                    </w:rPr>
                  </w:pPr>
                  <w:r>
                    <w:rPr>
                      <w:rFonts w:hint="eastAsia" w:cs="宋体"/>
                      <w:kern w:val="0"/>
                      <w:sz w:val="18"/>
                      <w:szCs w:val="18"/>
                      <w:lang w:val="en-US" w:eastAsia="zh-CN"/>
                    </w:rPr>
                    <w:t>65.1</w:t>
                  </w:r>
                </w:p>
              </w:tc>
              <w:tc>
                <w:tcPr>
                  <w:tcW w:w="625" w:type="pct"/>
                  <w:shd w:val="clear" w:color="auto" w:fill="auto"/>
                  <w:vAlign w:val="center"/>
                </w:tcPr>
                <w:p w14:paraId="0E3C00B8">
                  <w:pPr>
                    <w:widowControl/>
                    <w:jc w:val="center"/>
                    <w:rPr>
                      <w:rFonts w:hint="eastAsia" w:cs="宋体"/>
                      <w:kern w:val="0"/>
                      <w:sz w:val="18"/>
                      <w:szCs w:val="18"/>
                    </w:rPr>
                  </w:pPr>
                  <w:r>
                    <w:rPr>
                      <w:rFonts w:hint="eastAsia" w:cs="宋体"/>
                      <w:kern w:val="0"/>
                      <w:sz w:val="18"/>
                      <w:szCs w:val="18"/>
                    </w:rPr>
                    <w:t>70</w:t>
                  </w:r>
                </w:p>
              </w:tc>
              <w:tc>
                <w:tcPr>
                  <w:tcW w:w="625" w:type="pct"/>
                  <w:shd w:val="clear" w:color="auto" w:fill="auto"/>
                  <w:vAlign w:val="center"/>
                </w:tcPr>
                <w:p w14:paraId="618E28F2">
                  <w:pPr>
                    <w:widowControl/>
                    <w:jc w:val="center"/>
                    <w:rPr>
                      <w:rFonts w:cs="宋体"/>
                      <w:kern w:val="0"/>
                      <w:sz w:val="18"/>
                      <w:szCs w:val="18"/>
                    </w:rPr>
                  </w:pPr>
                  <w:r>
                    <w:rPr>
                      <w:rFonts w:hint="eastAsia" w:cs="宋体"/>
                      <w:kern w:val="0"/>
                      <w:sz w:val="18"/>
                      <w:szCs w:val="18"/>
                    </w:rPr>
                    <w:t>达标</w:t>
                  </w:r>
                </w:p>
              </w:tc>
              <w:tc>
                <w:tcPr>
                  <w:tcW w:w="625" w:type="pct"/>
                  <w:shd w:val="clear" w:color="auto" w:fill="auto"/>
                  <w:vAlign w:val="center"/>
                </w:tcPr>
                <w:p w14:paraId="564BC7C7">
                  <w:pPr>
                    <w:widowControl/>
                    <w:jc w:val="center"/>
                    <w:rPr>
                      <w:rFonts w:hint="default" w:eastAsia="宋体" w:cs="宋体"/>
                      <w:kern w:val="0"/>
                      <w:sz w:val="18"/>
                      <w:szCs w:val="18"/>
                      <w:lang w:val="en-US" w:eastAsia="zh-CN"/>
                    </w:rPr>
                  </w:pPr>
                  <w:r>
                    <w:rPr>
                      <w:rFonts w:hint="eastAsia" w:cs="宋体"/>
                      <w:kern w:val="0"/>
                      <w:sz w:val="18"/>
                      <w:szCs w:val="18"/>
                      <w:lang w:val="en-US" w:eastAsia="zh-CN"/>
                    </w:rPr>
                    <w:t>43.1</w:t>
                  </w:r>
                </w:p>
              </w:tc>
              <w:tc>
                <w:tcPr>
                  <w:tcW w:w="625" w:type="pct"/>
                  <w:shd w:val="clear" w:color="auto" w:fill="auto"/>
                  <w:vAlign w:val="center"/>
                </w:tcPr>
                <w:p w14:paraId="6A1D4B34">
                  <w:pPr>
                    <w:widowControl/>
                    <w:jc w:val="center"/>
                    <w:rPr>
                      <w:rFonts w:cs="宋体"/>
                      <w:kern w:val="0"/>
                      <w:sz w:val="18"/>
                      <w:szCs w:val="18"/>
                    </w:rPr>
                  </w:pPr>
                  <w:r>
                    <w:rPr>
                      <w:rFonts w:hint="eastAsia" w:cs="宋体"/>
                      <w:kern w:val="0"/>
                      <w:sz w:val="18"/>
                      <w:szCs w:val="18"/>
                    </w:rPr>
                    <w:t>55</w:t>
                  </w:r>
                </w:p>
              </w:tc>
              <w:tc>
                <w:tcPr>
                  <w:tcW w:w="625" w:type="pct"/>
                  <w:shd w:val="clear" w:color="auto" w:fill="auto"/>
                  <w:vAlign w:val="center"/>
                </w:tcPr>
                <w:p w14:paraId="0925E581">
                  <w:pPr>
                    <w:widowControl/>
                    <w:jc w:val="center"/>
                    <w:rPr>
                      <w:rFonts w:cs="宋体"/>
                      <w:kern w:val="0"/>
                      <w:sz w:val="18"/>
                      <w:szCs w:val="18"/>
                    </w:rPr>
                  </w:pPr>
                  <w:r>
                    <w:rPr>
                      <w:rFonts w:hint="eastAsia" w:cs="宋体"/>
                      <w:kern w:val="0"/>
                      <w:sz w:val="18"/>
                      <w:szCs w:val="18"/>
                    </w:rPr>
                    <w:t>达标</w:t>
                  </w:r>
                </w:p>
              </w:tc>
            </w:tr>
            <w:tr w14:paraId="5A11F3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625" w:type="pct"/>
                  <w:vMerge w:val="continue"/>
                  <w:vAlign w:val="center"/>
                </w:tcPr>
                <w:p w14:paraId="4D62B27A">
                  <w:pPr>
                    <w:widowControl/>
                    <w:jc w:val="center"/>
                    <w:rPr>
                      <w:rFonts w:hint="eastAsia" w:cs="宋体"/>
                      <w:kern w:val="0"/>
                      <w:sz w:val="18"/>
                      <w:szCs w:val="18"/>
                      <w:lang w:val="en-US" w:eastAsia="zh-CN"/>
                    </w:rPr>
                  </w:pPr>
                </w:p>
              </w:tc>
              <w:tc>
                <w:tcPr>
                  <w:tcW w:w="625" w:type="pct"/>
                  <w:shd w:val="clear" w:color="auto" w:fill="auto"/>
                  <w:vAlign w:val="center"/>
                </w:tcPr>
                <w:p w14:paraId="0D012006">
                  <w:pPr>
                    <w:widowControl/>
                    <w:jc w:val="center"/>
                    <w:rPr>
                      <w:rFonts w:hint="eastAsia" w:eastAsia="宋体" w:cs="宋体"/>
                      <w:kern w:val="0"/>
                      <w:sz w:val="18"/>
                      <w:szCs w:val="18"/>
                      <w:lang w:eastAsia="zh-CN"/>
                    </w:rPr>
                  </w:pPr>
                  <w:r>
                    <w:rPr>
                      <w:rFonts w:hint="eastAsia" w:cs="宋体"/>
                      <w:kern w:val="0"/>
                      <w:sz w:val="18"/>
                      <w:szCs w:val="18"/>
                    </w:rPr>
                    <w:t>N</w:t>
                  </w:r>
                  <w:r>
                    <w:rPr>
                      <w:rFonts w:hint="eastAsia" w:cs="宋体"/>
                      <w:kern w:val="0"/>
                      <w:sz w:val="18"/>
                      <w:szCs w:val="18"/>
                      <w:lang w:val="en-US" w:eastAsia="zh-CN"/>
                    </w:rPr>
                    <w:t>4</w:t>
                  </w:r>
                </w:p>
              </w:tc>
              <w:tc>
                <w:tcPr>
                  <w:tcW w:w="625" w:type="pct"/>
                  <w:shd w:val="clear" w:color="auto" w:fill="auto"/>
                  <w:vAlign w:val="center"/>
                </w:tcPr>
                <w:p w14:paraId="1840FF4F">
                  <w:pPr>
                    <w:widowControl/>
                    <w:jc w:val="center"/>
                    <w:rPr>
                      <w:rFonts w:hint="default" w:cs="宋体"/>
                      <w:kern w:val="0"/>
                      <w:sz w:val="18"/>
                      <w:szCs w:val="18"/>
                      <w:lang w:val="en-US" w:eastAsia="zh-CN"/>
                    </w:rPr>
                  </w:pPr>
                  <w:r>
                    <w:rPr>
                      <w:rFonts w:hint="eastAsia" w:cs="宋体"/>
                      <w:kern w:val="0"/>
                      <w:sz w:val="18"/>
                      <w:szCs w:val="18"/>
                      <w:lang w:val="en-US" w:eastAsia="zh-CN"/>
                    </w:rPr>
                    <w:t>61.2</w:t>
                  </w:r>
                </w:p>
              </w:tc>
              <w:tc>
                <w:tcPr>
                  <w:tcW w:w="625" w:type="pct"/>
                  <w:shd w:val="clear" w:color="auto" w:fill="auto"/>
                  <w:vAlign w:val="center"/>
                </w:tcPr>
                <w:p w14:paraId="6EF90E1D">
                  <w:pPr>
                    <w:widowControl/>
                    <w:jc w:val="center"/>
                    <w:rPr>
                      <w:rFonts w:hint="eastAsia" w:cs="宋体"/>
                      <w:kern w:val="0"/>
                      <w:sz w:val="18"/>
                      <w:szCs w:val="18"/>
                    </w:rPr>
                  </w:pPr>
                  <w:r>
                    <w:rPr>
                      <w:rFonts w:hint="eastAsia" w:cs="宋体"/>
                      <w:kern w:val="0"/>
                      <w:sz w:val="18"/>
                      <w:szCs w:val="18"/>
                    </w:rPr>
                    <w:t>70</w:t>
                  </w:r>
                </w:p>
              </w:tc>
              <w:tc>
                <w:tcPr>
                  <w:tcW w:w="625" w:type="pct"/>
                  <w:shd w:val="clear" w:color="auto" w:fill="auto"/>
                  <w:vAlign w:val="center"/>
                </w:tcPr>
                <w:p w14:paraId="7A8B19CB">
                  <w:pPr>
                    <w:widowControl/>
                    <w:jc w:val="center"/>
                    <w:rPr>
                      <w:rFonts w:cs="宋体"/>
                      <w:kern w:val="0"/>
                      <w:sz w:val="18"/>
                      <w:szCs w:val="18"/>
                    </w:rPr>
                  </w:pPr>
                  <w:r>
                    <w:rPr>
                      <w:rFonts w:hint="eastAsia" w:cs="宋体"/>
                      <w:kern w:val="0"/>
                      <w:sz w:val="18"/>
                      <w:szCs w:val="18"/>
                    </w:rPr>
                    <w:t>达标</w:t>
                  </w:r>
                </w:p>
              </w:tc>
              <w:tc>
                <w:tcPr>
                  <w:tcW w:w="625" w:type="pct"/>
                  <w:shd w:val="clear" w:color="auto" w:fill="auto"/>
                  <w:vAlign w:val="center"/>
                </w:tcPr>
                <w:p w14:paraId="1B5AD122">
                  <w:pPr>
                    <w:widowControl/>
                    <w:jc w:val="center"/>
                    <w:rPr>
                      <w:rFonts w:hint="default" w:eastAsia="宋体" w:cs="宋体"/>
                      <w:kern w:val="0"/>
                      <w:sz w:val="18"/>
                      <w:szCs w:val="18"/>
                      <w:lang w:val="en-US" w:eastAsia="zh-CN"/>
                    </w:rPr>
                  </w:pPr>
                  <w:r>
                    <w:rPr>
                      <w:rFonts w:hint="eastAsia" w:cs="宋体"/>
                      <w:kern w:val="0"/>
                      <w:sz w:val="18"/>
                      <w:szCs w:val="18"/>
                      <w:lang w:val="en-US" w:eastAsia="zh-CN"/>
                    </w:rPr>
                    <w:t>43.2</w:t>
                  </w:r>
                </w:p>
              </w:tc>
              <w:tc>
                <w:tcPr>
                  <w:tcW w:w="625" w:type="pct"/>
                  <w:shd w:val="clear" w:color="auto" w:fill="auto"/>
                  <w:vAlign w:val="center"/>
                </w:tcPr>
                <w:p w14:paraId="68F13256">
                  <w:pPr>
                    <w:widowControl/>
                    <w:jc w:val="center"/>
                    <w:rPr>
                      <w:rFonts w:cs="宋体"/>
                      <w:kern w:val="0"/>
                      <w:sz w:val="18"/>
                      <w:szCs w:val="18"/>
                    </w:rPr>
                  </w:pPr>
                  <w:r>
                    <w:rPr>
                      <w:rFonts w:hint="eastAsia" w:cs="宋体"/>
                      <w:kern w:val="0"/>
                      <w:sz w:val="18"/>
                      <w:szCs w:val="18"/>
                    </w:rPr>
                    <w:t>55</w:t>
                  </w:r>
                </w:p>
              </w:tc>
              <w:tc>
                <w:tcPr>
                  <w:tcW w:w="625" w:type="pct"/>
                  <w:shd w:val="clear" w:color="auto" w:fill="auto"/>
                  <w:vAlign w:val="center"/>
                </w:tcPr>
                <w:p w14:paraId="5A4CBA91">
                  <w:pPr>
                    <w:widowControl/>
                    <w:jc w:val="center"/>
                    <w:rPr>
                      <w:rFonts w:cs="宋体"/>
                      <w:kern w:val="0"/>
                      <w:sz w:val="18"/>
                      <w:szCs w:val="18"/>
                    </w:rPr>
                  </w:pPr>
                  <w:r>
                    <w:rPr>
                      <w:rFonts w:hint="eastAsia" w:cs="宋体"/>
                      <w:kern w:val="0"/>
                      <w:sz w:val="18"/>
                      <w:szCs w:val="18"/>
                    </w:rPr>
                    <w:t>达标</w:t>
                  </w:r>
                </w:p>
              </w:tc>
            </w:tr>
            <w:tr w14:paraId="1F4189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625" w:type="pct"/>
                  <w:vMerge w:val="restart"/>
                  <w:shd w:val="clear" w:color="auto" w:fill="auto"/>
                  <w:vAlign w:val="center"/>
                </w:tcPr>
                <w:p w14:paraId="0FBF1D7B">
                  <w:pPr>
                    <w:widowControl/>
                    <w:jc w:val="center"/>
                    <w:rPr>
                      <w:rFonts w:hint="default" w:cs="宋体"/>
                      <w:kern w:val="0"/>
                      <w:sz w:val="18"/>
                      <w:szCs w:val="18"/>
                      <w:lang w:val="en-US" w:eastAsia="zh-CN"/>
                    </w:rPr>
                  </w:pPr>
                  <w:r>
                    <w:rPr>
                      <w:rFonts w:hint="eastAsia" w:cs="宋体"/>
                      <w:kern w:val="0"/>
                      <w:sz w:val="18"/>
                      <w:szCs w:val="18"/>
                      <w:lang w:val="en-US" w:eastAsia="zh-CN"/>
                    </w:rPr>
                    <w:t>2024/3/22</w:t>
                  </w:r>
                </w:p>
              </w:tc>
              <w:tc>
                <w:tcPr>
                  <w:tcW w:w="1128" w:type="dxa"/>
                  <w:shd w:val="clear" w:color="auto" w:fill="auto"/>
                  <w:vAlign w:val="center"/>
                </w:tcPr>
                <w:p w14:paraId="42D8E0B9">
                  <w:pPr>
                    <w:widowControl/>
                    <w:jc w:val="center"/>
                    <w:rPr>
                      <w:rFonts w:cs="宋体"/>
                      <w:kern w:val="0"/>
                      <w:sz w:val="18"/>
                      <w:szCs w:val="18"/>
                    </w:rPr>
                  </w:pPr>
                  <w:r>
                    <w:rPr>
                      <w:rFonts w:hint="eastAsia" w:cs="宋体"/>
                      <w:kern w:val="0"/>
                      <w:sz w:val="18"/>
                      <w:szCs w:val="18"/>
                    </w:rPr>
                    <w:t xml:space="preserve">N1 </w:t>
                  </w:r>
                </w:p>
              </w:tc>
              <w:tc>
                <w:tcPr>
                  <w:tcW w:w="625" w:type="pct"/>
                  <w:shd w:val="clear" w:color="auto" w:fill="auto"/>
                  <w:vAlign w:val="center"/>
                </w:tcPr>
                <w:p w14:paraId="5B8C24F6">
                  <w:pPr>
                    <w:widowControl/>
                    <w:jc w:val="center"/>
                    <w:rPr>
                      <w:rFonts w:hint="default" w:cs="宋体"/>
                      <w:kern w:val="0"/>
                      <w:sz w:val="18"/>
                      <w:szCs w:val="18"/>
                      <w:lang w:val="en-US" w:eastAsia="zh-CN"/>
                    </w:rPr>
                  </w:pPr>
                  <w:r>
                    <w:rPr>
                      <w:rFonts w:hint="eastAsia" w:cs="宋体"/>
                      <w:kern w:val="0"/>
                      <w:sz w:val="18"/>
                      <w:szCs w:val="18"/>
                      <w:lang w:val="en-US" w:eastAsia="zh-CN"/>
                    </w:rPr>
                    <w:t>61.4</w:t>
                  </w:r>
                </w:p>
              </w:tc>
              <w:tc>
                <w:tcPr>
                  <w:tcW w:w="625" w:type="pct"/>
                  <w:shd w:val="clear" w:color="auto" w:fill="auto"/>
                  <w:vAlign w:val="center"/>
                </w:tcPr>
                <w:p w14:paraId="538F4C76">
                  <w:pPr>
                    <w:widowControl/>
                    <w:jc w:val="center"/>
                    <w:rPr>
                      <w:rFonts w:hint="eastAsia" w:cs="宋体"/>
                      <w:kern w:val="0"/>
                      <w:sz w:val="18"/>
                      <w:szCs w:val="18"/>
                    </w:rPr>
                  </w:pPr>
                  <w:r>
                    <w:rPr>
                      <w:rFonts w:hint="eastAsia" w:cs="宋体"/>
                      <w:kern w:val="0"/>
                      <w:sz w:val="18"/>
                      <w:szCs w:val="18"/>
                    </w:rPr>
                    <w:t>70</w:t>
                  </w:r>
                </w:p>
              </w:tc>
              <w:tc>
                <w:tcPr>
                  <w:tcW w:w="625" w:type="pct"/>
                  <w:shd w:val="clear" w:color="auto" w:fill="auto"/>
                  <w:vAlign w:val="center"/>
                </w:tcPr>
                <w:p w14:paraId="505A3BFF">
                  <w:pPr>
                    <w:widowControl/>
                    <w:jc w:val="center"/>
                    <w:rPr>
                      <w:rFonts w:cs="宋体"/>
                      <w:kern w:val="0"/>
                      <w:sz w:val="18"/>
                      <w:szCs w:val="18"/>
                    </w:rPr>
                  </w:pPr>
                  <w:r>
                    <w:rPr>
                      <w:rFonts w:hint="eastAsia" w:cs="宋体"/>
                      <w:kern w:val="0"/>
                      <w:sz w:val="18"/>
                      <w:szCs w:val="18"/>
                    </w:rPr>
                    <w:t>达标</w:t>
                  </w:r>
                </w:p>
              </w:tc>
              <w:tc>
                <w:tcPr>
                  <w:tcW w:w="625" w:type="pct"/>
                  <w:shd w:val="clear" w:color="auto" w:fill="auto"/>
                  <w:vAlign w:val="center"/>
                </w:tcPr>
                <w:p w14:paraId="3A1CC7B3">
                  <w:pPr>
                    <w:widowControl/>
                    <w:jc w:val="center"/>
                    <w:rPr>
                      <w:rFonts w:hint="default" w:eastAsia="宋体" w:cs="宋体"/>
                      <w:kern w:val="0"/>
                      <w:sz w:val="18"/>
                      <w:szCs w:val="18"/>
                      <w:lang w:val="en-US" w:eastAsia="zh-CN"/>
                    </w:rPr>
                  </w:pPr>
                  <w:r>
                    <w:rPr>
                      <w:rFonts w:hint="eastAsia" w:cs="宋体"/>
                      <w:kern w:val="0"/>
                      <w:sz w:val="18"/>
                      <w:szCs w:val="18"/>
                      <w:lang w:val="en-US" w:eastAsia="zh-CN"/>
                    </w:rPr>
                    <w:t>42.8</w:t>
                  </w:r>
                </w:p>
              </w:tc>
              <w:tc>
                <w:tcPr>
                  <w:tcW w:w="625" w:type="pct"/>
                  <w:shd w:val="clear" w:color="auto" w:fill="auto"/>
                  <w:vAlign w:val="center"/>
                </w:tcPr>
                <w:p w14:paraId="5C9A9891">
                  <w:pPr>
                    <w:widowControl/>
                    <w:jc w:val="center"/>
                    <w:rPr>
                      <w:rFonts w:cs="宋体"/>
                      <w:kern w:val="0"/>
                      <w:sz w:val="18"/>
                      <w:szCs w:val="18"/>
                    </w:rPr>
                  </w:pPr>
                  <w:r>
                    <w:rPr>
                      <w:rFonts w:hint="eastAsia" w:cs="宋体"/>
                      <w:kern w:val="0"/>
                      <w:sz w:val="18"/>
                      <w:szCs w:val="18"/>
                    </w:rPr>
                    <w:t>55</w:t>
                  </w:r>
                </w:p>
              </w:tc>
              <w:tc>
                <w:tcPr>
                  <w:tcW w:w="625" w:type="pct"/>
                  <w:shd w:val="clear" w:color="auto" w:fill="auto"/>
                  <w:vAlign w:val="center"/>
                </w:tcPr>
                <w:p w14:paraId="6BB87E72">
                  <w:pPr>
                    <w:widowControl/>
                    <w:jc w:val="center"/>
                    <w:rPr>
                      <w:rFonts w:cs="宋体"/>
                      <w:kern w:val="0"/>
                      <w:sz w:val="18"/>
                      <w:szCs w:val="18"/>
                    </w:rPr>
                  </w:pPr>
                  <w:r>
                    <w:rPr>
                      <w:rFonts w:hint="eastAsia" w:cs="宋体"/>
                      <w:kern w:val="0"/>
                      <w:sz w:val="18"/>
                      <w:szCs w:val="18"/>
                    </w:rPr>
                    <w:t>达标</w:t>
                  </w:r>
                </w:p>
              </w:tc>
            </w:tr>
            <w:tr w14:paraId="5D07F9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625" w:type="pct"/>
                  <w:vMerge w:val="continue"/>
                  <w:vAlign w:val="center"/>
                </w:tcPr>
                <w:p w14:paraId="37953A5F">
                  <w:pPr>
                    <w:widowControl/>
                    <w:jc w:val="left"/>
                    <w:rPr>
                      <w:rFonts w:cs="宋体"/>
                      <w:kern w:val="0"/>
                      <w:sz w:val="18"/>
                      <w:szCs w:val="18"/>
                    </w:rPr>
                  </w:pPr>
                </w:p>
              </w:tc>
              <w:tc>
                <w:tcPr>
                  <w:tcW w:w="1128" w:type="dxa"/>
                  <w:shd w:val="clear" w:color="auto" w:fill="auto"/>
                  <w:vAlign w:val="center"/>
                </w:tcPr>
                <w:p w14:paraId="3D4CBD93">
                  <w:pPr>
                    <w:widowControl/>
                    <w:jc w:val="center"/>
                    <w:rPr>
                      <w:rFonts w:cs="宋体"/>
                      <w:kern w:val="0"/>
                      <w:sz w:val="18"/>
                      <w:szCs w:val="18"/>
                    </w:rPr>
                  </w:pPr>
                  <w:r>
                    <w:rPr>
                      <w:rFonts w:hint="eastAsia" w:cs="宋体"/>
                      <w:kern w:val="0"/>
                      <w:sz w:val="18"/>
                      <w:szCs w:val="18"/>
                    </w:rPr>
                    <w:t>N</w:t>
                  </w:r>
                  <w:r>
                    <w:rPr>
                      <w:rFonts w:hint="eastAsia" w:cs="宋体"/>
                      <w:kern w:val="0"/>
                      <w:sz w:val="18"/>
                      <w:szCs w:val="18"/>
                      <w:lang w:val="en-US" w:eastAsia="zh-CN"/>
                    </w:rPr>
                    <w:t>2</w:t>
                  </w:r>
                </w:p>
              </w:tc>
              <w:tc>
                <w:tcPr>
                  <w:tcW w:w="625" w:type="pct"/>
                  <w:shd w:val="clear" w:color="auto" w:fill="auto"/>
                  <w:vAlign w:val="center"/>
                </w:tcPr>
                <w:p w14:paraId="63CF7EB5">
                  <w:pPr>
                    <w:widowControl/>
                    <w:jc w:val="center"/>
                    <w:rPr>
                      <w:rFonts w:hint="default" w:cs="宋体"/>
                      <w:kern w:val="0"/>
                      <w:sz w:val="18"/>
                      <w:szCs w:val="18"/>
                      <w:lang w:val="en-US" w:eastAsia="zh-CN"/>
                    </w:rPr>
                  </w:pPr>
                  <w:r>
                    <w:rPr>
                      <w:rFonts w:hint="eastAsia" w:cs="宋体"/>
                      <w:kern w:val="0"/>
                      <w:sz w:val="18"/>
                      <w:szCs w:val="18"/>
                      <w:lang w:val="en-US" w:eastAsia="zh-CN"/>
                    </w:rPr>
                    <w:t>60.5</w:t>
                  </w:r>
                </w:p>
              </w:tc>
              <w:tc>
                <w:tcPr>
                  <w:tcW w:w="625" w:type="pct"/>
                  <w:shd w:val="clear" w:color="auto" w:fill="auto"/>
                  <w:vAlign w:val="center"/>
                </w:tcPr>
                <w:p w14:paraId="2DAEE8C0">
                  <w:pPr>
                    <w:widowControl/>
                    <w:jc w:val="center"/>
                    <w:rPr>
                      <w:rFonts w:hint="eastAsia" w:cs="宋体"/>
                      <w:kern w:val="0"/>
                      <w:sz w:val="18"/>
                      <w:szCs w:val="18"/>
                    </w:rPr>
                  </w:pPr>
                  <w:r>
                    <w:rPr>
                      <w:rFonts w:hint="eastAsia" w:cs="宋体"/>
                      <w:kern w:val="0"/>
                      <w:sz w:val="18"/>
                      <w:szCs w:val="18"/>
                    </w:rPr>
                    <w:t>70</w:t>
                  </w:r>
                </w:p>
              </w:tc>
              <w:tc>
                <w:tcPr>
                  <w:tcW w:w="625" w:type="pct"/>
                  <w:shd w:val="clear" w:color="auto" w:fill="auto"/>
                  <w:vAlign w:val="center"/>
                </w:tcPr>
                <w:p w14:paraId="7130DC44">
                  <w:pPr>
                    <w:widowControl/>
                    <w:jc w:val="center"/>
                    <w:rPr>
                      <w:rFonts w:cs="宋体"/>
                      <w:kern w:val="0"/>
                      <w:sz w:val="18"/>
                      <w:szCs w:val="18"/>
                    </w:rPr>
                  </w:pPr>
                  <w:r>
                    <w:rPr>
                      <w:rFonts w:hint="eastAsia" w:cs="宋体"/>
                      <w:kern w:val="0"/>
                      <w:sz w:val="18"/>
                      <w:szCs w:val="18"/>
                    </w:rPr>
                    <w:t>达标</w:t>
                  </w:r>
                </w:p>
              </w:tc>
              <w:tc>
                <w:tcPr>
                  <w:tcW w:w="625" w:type="pct"/>
                  <w:shd w:val="clear" w:color="auto" w:fill="auto"/>
                  <w:vAlign w:val="center"/>
                </w:tcPr>
                <w:p w14:paraId="0CEC97D2">
                  <w:pPr>
                    <w:widowControl/>
                    <w:jc w:val="center"/>
                    <w:rPr>
                      <w:rFonts w:hint="default" w:eastAsia="宋体" w:cs="宋体"/>
                      <w:kern w:val="0"/>
                      <w:sz w:val="18"/>
                      <w:szCs w:val="18"/>
                      <w:lang w:val="en-US" w:eastAsia="zh-CN"/>
                    </w:rPr>
                  </w:pPr>
                  <w:r>
                    <w:rPr>
                      <w:rFonts w:hint="eastAsia" w:cs="宋体"/>
                      <w:kern w:val="0"/>
                      <w:sz w:val="18"/>
                      <w:szCs w:val="18"/>
                      <w:lang w:val="en-US" w:eastAsia="zh-CN"/>
                    </w:rPr>
                    <w:t>43.9</w:t>
                  </w:r>
                </w:p>
              </w:tc>
              <w:tc>
                <w:tcPr>
                  <w:tcW w:w="625" w:type="pct"/>
                  <w:shd w:val="clear" w:color="auto" w:fill="auto"/>
                  <w:vAlign w:val="center"/>
                </w:tcPr>
                <w:p w14:paraId="27B8E5AC">
                  <w:pPr>
                    <w:widowControl/>
                    <w:jc w:val="center"/>
                    <w:rPr>
                      <w:rFonts w:cs="宋体"/>
                      <w:kern w:val="0"/>
                      <w:sz w:val="18"/>
                      <w:szCs w:val="18"/>
                    </w:rPr>
                  </w:pPr>
                  <w:r>
                    <w:rPr>
                      <w:rFonts w:hint="eastAsia" w:cs="宋体"/>
                      <w:kern w:val="0"/>
                      <w:sz w:val="18"/>
                      <w:szCs w:val="18"/>
                    </w:rPr>
                    <w:t>55</w:t>
                  </w:r>
                </w:p>
              </w:tc>
              <w:tc>
                <w:tcPr>
                  <w:tcW w:w="625" w:type="pct"/>
                  <w:shd w:val="clear" w:color="auto" w:fill="auto"/>
                  <w:vAlign w:val="center"/>
                </w:tcPr>
                <w:p w14:paraId="4EE045C0">
                  <w:pPr>
                    <w:widowControl/>
                    <w:jc w:val="center"/>
                    <w:rPr>
                      <w:rFonts w:cs="宋体"/>
                      <w:kern w:val="0"/>
                      <w:sz w:val="18"/>
                      <w:szCs w:val="18"/>
                    </w:rPr>
                  </w:pPr>
                  <w:r>
                    <w:rPr>
                      <w:rFonts w:hint="eastAsia" w:cs="宋体"/>
                      <w:kern w:val="0"/>
                      <w:sz w:val="18"/>
                      <w:szCs w:val="18"/>
                    </w:rPr>
                    <w:t>达标</w:t>
                  </w:r>
                </w:p>
              </w:tc>
            </w:tr>
            <w:tr w14:paraId="472350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625" w:type="pct"/>
                  <w:vMerge w:val="continue"/>
                  <w:vAlign w:val="center"/>
                </w:tcPr>
                <w:p w14:paraId="5D80C4D3">
                  <w:pPr>
                    <w:widowControl/>
                    <w:jc w:val="left"/>
                    <w:rPr>
                      <w:rFonts w:cs="宋体"/>
                      <w:kern w:val="0"/>
                      <w:sz w:val="18"/>
                      <w:szCs w:val="18"/>
                    </w:rPr>
                  </w:pPr>
                </w:p>
              </w:tc>
              <w:tc>
                <w:tcPr>
                  <w:tcW w:w="1128" w:type="dxa"/>
                  <w:shd w:val="clear" w:color="auto" w:fill="auto"/>
                  <w:vAlign w:val="center"/>
                </w:tcPr>
                <w:p w14:paraId="46AB4E16">
                  <w:pPr>
                    <w:widowControl/>
                    <w:jc w:val="center"/>
                    <w:rPr>
                      <w:rFonts w:cs="宋体"/>
                      <w:kern w:val="0"/>
                      <w:sz w:val="18"/>
                      <w:szCs w:val="18"/>
                    </w:rPr>
                  </w:pPr>
                  <w:r>
                    <w:rPr>
                      <w:rFonts w:hint="eastAsia" w:cs="宋体"/>
                      <w:kern w:val="0"/>
                      <w:sz w:val="18"/>
                      <w:szCs w:val="18"/>
                    </w:rPr>
                    <w:t>N</w:t>
                  </w:r>
                  <w:r>
                    <w:rPr>
                      <w:rFonts w:hint="eastAsia" w:cs="宋体"/>
                      <w:kern w:val="0"/>
                      <w:sz w:val="18"/>
                      <w:szCs w:val="18"/>
                      <w:lang w:val="en-US" w:eastAsia="zh-CN"/>
                    </w:rPr>
                    <w:t>3</w:t>
                  </w:r>
                </w:p>
              </w:tc>
              <w:tc>
                <w:tcPr>
                  <w:tcW w:w="625" w:type="pct"/>
                  <w:shd w:val="clear" w:color="auto" w:fill="auto"/>
                  <w:vAlign w:val="center"/>
                </w:tcPr>
                <w:p w14:paraId="6D0C6B32">
                  <w:pPr>
                    <w:widowControl/>
                    <w:jc w:val="center"/>
                    <w:rPr>
                      <w:rFonts w:hint="default" w:cs="宋体"/>
                      <w:kern w:val="0"/>
                      <w:sz w:val="18"/>
                      <w:szCs w:val="18"/>
                      <w:lang w:val="en-US" w:eastAsia="zh-CN"/>
                    </w:rPr>
                  </w:pPr>
                  <w:r>
                    <w:rPr>
                      <w:rFonts w:hint="eastAsia" w:cs="宋体"/>
                      <w:kern w:val="0"/>
                      <w:sz w:val="18"/>
                      <w:szCs w:val="18"/>
                      <w:lang w:val="en-US" w:eastAsia="zh-CN"/>
                    </w:rPr>
                    <w:t>63.6</w:t>
                  </w:r>
                </w:p>
              </w:tc>
              <w:tc>
                <w:tcPr>
                  <w:tcW w:w="625" w:type="pct"/>
                  <w:shd w:val="clear" w:color="auto" w:fill="auto"/>
                  <w:vAlign w:val="center"/>
                </w:tcPr>
                <w:p w14:paraId="39EE0BFB">
                  <w:pPr>
                    <w:widowControl/>
                    <w:jc w:val="center"/>
                    <w:rPr>
                      <w:rFonts w:hint="eastAsia" w:cs="宋体"/>
                      <w:kern w:val="0"/>
                      <w:sz w:val="18"/>
                      <w:szCs w:val="18"/>
                    </w:rPr>
                  </w:pPr>
                  <w:r>
                    <w:rPr>
                      <w:rFonts w:hint="eastAsia" w:cs="宋体"/>
                      <w:kern w:val="0"/>
                      <w:sz w:val="18"/>
                      <w:szCs w:val="18"/>
                    </w:rPr>
                    <w:t>70</w:t>
                  </w:r>
                </w:p>
              </w:tc>
              <w:tc>
                <w:tcPr>
                  <w:tcW w:w="625" w:type="pct"/>
                  <w:shd w:val="clear" w:color="auto" w:fill="auto"/>
                  <w:vAlign w:val="center"/>
                </w:tcPr>
                <w:p w14:paraId="31684A68">
                  <w:pPr>
                    <w:widowControl/>
                    <w:jc w:val="center"/>
                    <w:rPr>
                      <w:rFonts w:cs="宋体"/>
                      <w:kern w:val="0"/>
                      <w:sz w:val="18"/>
                      <w:szCs w:val="18"/>
                    </w:rPr>
                  </w:pPr>
                  <w:r>
                    <w:rPr>
                      <w:rFonts w:hint="eastAsia" w:cs="宋体"/>
                      <w:kern w:val="0"/>
                      <w:sz w:val="18"/>
                      <w:szCs w:val="18"/>
                    </w:rPr>
                    <w:t>达标</w:t>
                  </w:r>
                </w:p>
              </w:tc>
              <w:tc>
                <w:tcPr>
                  <w:tcW w:w="625" w:type="pct"/>
                  <w:shd w:val="clear" w:color="auto" w:fill="auto"/>
                  <w:vAlign w:val="center"/>
                </w:tcPr>
                <w:p w14:paraId="3C5B6BAB">
                  <w:pPr>
                    <w:widowControl/>
                    <w:jc w:val="center"/>
                    <w:rPr>
                      <w:rFonts w:hint="default" w:eastAsia="宋体" w:cs="宋体"/>
                      <w:kern w:val="0"/>
                      <w:sz w:val="18"/>
                      <w:szCs w:val="18"/>
                      <w:lang w:val="en-US" w:eastAsia="zh-CN"/>
                    </w:rPr>
                  </w:pPr>
                  <w:r>
                    <w:rPr>
                      <w:rFonts w:hint="eastAsia" w:cs="宋体"/>
                      <w:kern w:val="0"/>
                      <w:sz w:val="18"/>
                      <w:szCs w:val="18"/>
                      <w:lang w:val="en-US" w:eastAsia="zh-CN"/>
                    </w:rPr>
                    <w:t>41.3</w:t>
                  </w:r>
                </w:p>
              </w:tc>
              <w:tc>
                <w:tcPr>
                  <w:tcW w:w="625" w:type="pct"/>
                  <w:shd w:val="clear" w:color="auto" w:fill="auto"/>
                  <w:vAlign w:val="center"/>
                </w:tcPr>
                <w:p w14:paraId="15C14E64">
                  <w:pPr>
                    <w:widowControl/>
                    <w:jc w:val="center"/>
                    <w:rPr>
                      <w:rFonts w:cs="宋体"/>
                      <w:kern w:val="0"/>
                      <w:sz w:val="18"/>
                      <w:szCs w:val="18"/>
                    </w:rPr>
                  </w:pPr>
                  <w:r>
                    <w:rPr>
                      <w:rFonts w:hint="eastAsia" w:cs="宋体"/>
                      <w:kern w:val="0"/>
                      <w:sz w:val="18"/>
                      <w:szCs w:val="18"/>
                    </w:rPr>
                    <w:t>55</w:t>
                  </w:r>
                </w:p>
              </w:tc>
              <w:tc>
                <w:tcPr>
                  <w:tcW w:w="625" w:type="pct"/>
                  <w:shd w:val="clear" w:color="auto" w:fill="auto"/>
                  <w:vAlign w:val="center"/>
                </w:tcPr>
                <w:p w14:paraId="43888AAD">
                  <w:pPr>
                    <w:widowControl/>
                    <w:jc w:val="center"/>
                    <w:rPr>
                      <w:rFonts w:cs="宋体"/>
                      <w:kern w:val="0"/>
                      <w:sz w:val="18"/>
                      <w:szCs w:val="18"/>
                    </w:rPr>
                  </w:pPr>
                  <w:r>
                    <w:rPr>
                      <w:rFonts w:hint="eastAsia" w:cs="宋体"/>
                      <w:kern w:val="0"/>
                      <w:sz w:val="18"/>
                      <w:szCs w:val="18"/>
                    </w:rPr>
                    <w:t>达标</w:t>
                  </w:r>
                </w:p>
              </w:tc>
            </w:tr>
            <w:tr w14:paraId="32DA6D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625" w:type="pct"/>
                  <w:vMerge w:val="continue"/>
                  <w:vAlign w:val="center"/>
                </w:tcPr>
                <w:p w14:paraId="1442FBFC">
                  <w:pPr>
                    <w:widowControl/>
                    <w:jc w:val="left"/>
                    <w:rPr>
                      <w:rFonts w:cs="宋体"/>
                      <w:kern w:val="0"/>
                      <w:sz w:val="18"/>
                      <w:szCs w:val="18"/>
                    </w:rPr>
                  </w:pPr>
                </w:p>
              </w:tc>
              <w:tc>
                <w:tcPr>
                  <w:tcW w:w="1128" w:type="dxa"/>
                  <w:shd w:val="clear" w:color="auto" w:fill="auto"/>
                  <w:vAlign w:val="center"/>
                </w:tcPr>
                <w:p w14:paraId="0A1E01A3">
                  <w:pPr>
                    <w:widowControl/>
                    <w:jc w:val="center"/>
                    <w:rPr>
                      <w:rFonts w:cs="宋体"/>
                      <w:kern w:val="0"/>
                      <w:sz w:val="18"/>
                      <w:szCs w:val="18"/>
                    </w:rPr>
                  </w:pPr>
                  <w:r>
                    <w:rPr>
                      <w:rFonts w:hint="eastAsia" w:cs="宋体"/>
                      <w:kern w:val="0"/>
                      <w:sz w:val="18"/>
                      <w:szCs w:val="18"/>
                    </w:rPr>
                    <w:t>N</w:t>
                  </w:r>
                  <w:r>
                    <w:rPr>
                      <w:rFonts w:hint="eastAsia" w:cs="宋体"/>
                      <w:kern w:val="0"/>
                      <w:sz w:val="18"/>
                      <w:szCs w:val="18"/>
                      <w:lang w:val="en-US" w:eastAsia="zh-CN"/>
                    </w:rPr>
                    <w:t>4</w:t>
                  </w:r>
                </w:p>
              </w:tc>
              <w:tc>
                <w:tcPr>
                  <w:tcW w:w="625" w:type="pct"/>
                  <w:shd w:val="clear" w:color="auto" w:fill="auto"/>
                  <w:vAlign w:val="center"/>
                </w:tcPr>
                <w:p w14:paraId="25F802AB">
                  <w:pPr>
                    <w:widowControl/>
                    <w:jc w:val="center"/>
                    <w:rPr>
                      <w:rFonts w:hint="default" w:cs="宋体"/>
                      <w:kern w:val="0"/>
                      <w:sz w:val="18"/>
                      <w:szCs w:val="18"/>
                      <w:lang w:val="en-US" w:eastAsia="zh-CN"/>
                    </w:rPr>
                  </w:pPr>
                  <w:r>
                    <w:rPr>
                      <w:rFonts w:hint="eastAsia" w:cs="宋体"/>
                      <w:kern w:val="0"/>
                      <w:sz w:val="18"/>
                      <w:szCs w:val="18"/>
                      <w:lang w:val="en-US" w:eastAsia="zh-CN"/>
                    </w:rPr>
                    <w:t>63.5</w:t>
                  </w:r>
                </w:p>
              </w:tc>
              <w:tc>
                <w:tcPr>
                  <w:tcW w:w="625" w:type="pct"/>
                  <w:shd w:val="clear" w:color="auto" w:fill="auto"/>
                  <w:vAlign w:val="center"/>
                </w:tcPr>
                <w:p w14:paraId="2DD0E2BF">
                  <w:pPr>
                    <w:widowControl/>
                    <w:jc w:val="center"/>
                    <w:rPr>
                      <w:rFonts w:hint="eastAsia" w:cs="宋体"/>
                      <w:kern w:val="0"/>
                      <w:sz w:val="18"/>
                      <w:szCs w:val="18"/>
                    </w:rPr>
                  </w:pPr>
                  <w:r>
                    <w:rPr>
                      <w:rFonts w:hint="eastAsia" w:cs="宋体"/>
                      <w:kern w:val="0"/>
                      <w:sz w:val="18"/>
                      <w:szCs w:val="18"/>
                    </w:rPr>
                    <w:t>70</w:t>
                  </w:r>
                </w:p>
              </w:tc>
              <w:tc>
                <w:tcPr>
                  <w:tcW w:w="625" w:type="pct"/>
                  <w:shd w:val="clear" w:color="auto" w:fill="auto"/>
                  <w:vAlign w:val="center"/>
                </w:tcPr>
                <w:p w14:paraId="6A2EACC7">
                  <w:pPr>
                    <w:widowControl/>
                    <w:jc w:val="center"/>
                    <w:rPr>
                      <w:rFonts w:cs="宋体"/>
                      <w:kern w:val="0"/>
                      <w:sz w:val="18"/>
                      <w:szCs w:val="18"/>
                    </w:rPr>
                  </w:pPr>
                  <w:r>
                    <w:rPr>
                      <w:rFonts w:hint="eastAsia" w:cs="宋体"/>
                      <w:kern w:val="0"/>
                      <w:sz w:val="18"/>
                      <w:szCs w:val="18"/>
                    </w:rPr>
                    <w:t>达标</w:t>
                  </w:r>
                </w:p>
              </w:tc>
              <w:tc>
                <w:tcPr>
                  <w:tcW w:w="625" w:type="pct"/>
                  <w:shd w:val="clear" w:color="auto" w:fill="auto"/>
                  <w:vAlign w:val="center"/>
                </w:tcPr>
                <w:p w14:paraId="487C6874">
                  <w:pPr>
                    <w:widowControl/>
                    <w:jc w:val="center"/>
                    <w:rPr>
                      <w:rFonts w:hint="default" w:eastAsia="宋体" w:cs="宋体"/>
                      <w:kern w:val="0"/>
                      <w:sz w:val="18"/>
                      <w:szCs w:val="18"/>
                      <w:lang w:val="en-US" w:eastAsia="zh-CN"/>
                    </w:rPr>
                  </w:pPr>
                  <w:r>
                    <w:rPr>
                      <w:rFonts w:hint="eastAsia" w:cs="宋体"/>
                      <w:kern w:val="0"/>
                      <w:sz w:val="18"/>
                      <w:szCs w:val="18"/>
                      <w:lang w:val="en-US" w:eastAsia="zh-CN"/>
                    </w:rPr>
                    <w:t>43.6</w:t>
                  </w:r>
                </w:p>
              </w:tc>
              <w:tc>
                <w:tcPr>
                  <w:tcW w:w="625" w:type="pct"/>
                  <w:shd w:val="clear" w:color="auto" w:fill="auto"/>
                  <w:vAlign w:val="center"/>
                </w:tcPr>
                <w:p w14:paraId="764980A8">
                  <w:pPr>
                    <w:widowControl/>
                    <w:jc w:val="center"/>
                    <w:rPr>
                      <w:rFonts w:cs="宋体"/>
                      <w:kern w:val="0"/>
                      <w:sz w:val="18"/>
                      <w:szCs w:val="18"/>
                    </w:rPr>
                  </w:pPr>
                  <w:r>
                    <w:rPr>
                      <w:rFonts w:hint="eastAsia" w:cs="宋体"/>
                      <w:kern w:val="0"/>
                      <w:sz w:val="18"/>
                      <w:szCs w:val="18"/>
                    </w:rPr>
                    <w:t>55</w:t>
                  </w:r>
                </w:p>
              </w:tc>
              <w:tc>
                <w:tcPr>
                  <w:tcW w:w="625" w:type="pct"/>
                  <w:shd w:val="clear" w:color="auto" w:fill="auto"/>
                  <w:vAlign w:val="center"/>
                </w:tcPr>
                <w:p w14:paraId="3055EB91">
                  <w:pPr>
                    <w:widowControl/>
                    <w:jc w:val="center"/>
                    <w:rPr>
                      <w:rFonts w:cs="宋体"/>
                      <w:kern w:val="0"/>
                      <w:sz w:val="18"/>
                      <w:szCs w:val="18"/>
                    </w:rPr>
                  </w:pPr>
                  <w:r>
                    <w:rPr>
                      <w:rFonts w:hint="eastAsia" w:cs="宋体"/>
                      <w:kern w:val="0"/>
                      <w:sz w:val="18"/>
                      <w:szCs w:val="18"/>
                    </w:rPr>
                    <w:t>达标</w:t>
                  </w:r>
                </w:p>
              </w:tc>
            </w:tr>
          </w:tbl>
          <w:p w14:paraId="677B8BD2">
            <w:pPr>
              <w:pStyle w:val="85"/>
              <w:widowControl w:val="0"/>
              <w:jc w:val="center"/>
            </w:pPr>
            <w:r>
              <w:rPr>
                <w:rFonts w:ascii="宋体" w:hAnsi="宋体" w:eastAsia="宋体" w:cs="宋体"/>
                <w:sz w:val="24"/>
                <w:szCs w:val="24"/>
              </w:rPr>
              <w:drawing>
                <wp:inline distT="0" distB="0" distL="114300" distR="114300">
                  <wp:extent cx="4305300" cy="2828925"/>
                  <wp:effectExtent l="0" t="0" r="0" b="952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8"/>
                          <a:stretch>
                            <a:fillRect/>
                          </a:stretch>
                        </pic:blipFill>
                        <pic:spPr>
                          <a:xfrm>
                            <a:off x="0" y="0"/>
                            <a:ext cx="4305300" cy="2828925"/>
                          </a:xfrm>
                          <a:prstGeom prst="rect">
                            <a:avLst/>
                          </a:prstGeom>
                          <a:noFill/>
                          <a:ln w="9525">
                            <a:noFill/>
                          </a:ln>
                        </pic:spPr>
                      </pic:pic>
                    </a:graphicData>
                  </a:graphic>
                </wp:inline>
              </w:drawing>
            </w:r>
          </w:p>
          <w:p w14:paraId="2EB83E45">
            <w:pPr>
              <w:spacing w:line="360" w:lineRule="auto"/>
              <w:jc w:val="center"/>
              <w:rPr>
                <w:rFonts w:eastAsia="黑体"/>
                <w:bCs/>
              </w:rPr>
            </w:pPr>
            <w:r>
              <w:rPr>
                <w:rFonts w:hint="eastAsia" w:eastAsia="黑体"/>
                <w:bCs/>
              </w:rPr>
              <w:t>图8</w:t>
            </w:r>
            <w:r>
              <w:rPr>
                <w:rFonts w:eastAsia="黑体"/>
                <w:bCs/>
              </w:rPr>
              <w:t xml:space="preserve">-1  </w:t>
            </w:r>
            <w:r>
              <w:rPr>
                <w:rFonts w:hint="eastAsia" w:eastAsia="黑体"/>
                <w:bCs/>
                <w:lang w:eastAsia="zh-CN"/>
              </w:rPr>
              <w:t>验收期间</w:t>
            </w:r>
            <w:r>
              <w:rPr>
                <w:rFonts w:hint="eastAsia" w:eastAsia="黑体"/>
                <w:bCs/>
              </w:rPr>
              <w:t>监测点位图</w:t>
            </w:r>
          </w:p>
          <w:p w14:paraId="6EFF3344">
            <w:pPr>
              <w:spacing w:line="360" w:lineRule="auto"/>
              <w:ind w:firstLine="480" w:firstLineChars="200"/>
              <w:rPr>
                <w:sz w:val="24"/>
              </w:rPr>
            </w:pPr>
            <w:r>
              <w:rPr>
                <w:rFonts w:hint="eastAsia"/>
                <w:sz w:val="24"/>
              </w:rPr>
              <w:t>由</w:t>
            </w:r>
            <w:r>
              <w:rPr>
                <w:rFonts w:hint="eastAsia"/>
                <w:sz w:val="24"/>
                <w:lang w:eastAsia="zh-CN"/>
              </w:rPr>
              <w:t>上</w:t>
            </w:r>
            <w:r>
              <w:rPr>
                <w:rFonts w:hint="eastAsia"/>
                <w:sz w:val="24"/>
              </w:rPr>
              <w:t>表表明：运行期场界四周昼间及夜间噪声值均满足《工业企业厂界环境噪声排放标准》（GB12348-2008）4类标准限值要求</w:t>
            </w:r>
            <w:r>
              <w:rPr>
                <w:rFonts w:hint="eastAsia"/>
                <w:sz w:val="24"/>
                <w:lang w:eastAsia="zh-CN"/>
              </w:rPr>
              <w:t>，废水满足《污水综合排放标准》（GB 8978-1996）表 4 中三级标准及《污水排入城镇下水道水质标准》（GB/T 31962-2015）表 1 中 B 级标准</w:t>
            </w:r>
            <w:r>
              <w:rPr>
                <w:rFonts w:hint="eastAsia"/>
                <w:sz w:val="24"/>
              </w:rPr>
              <w:t>。</w:t>
            </w:r>
          </w:p>
          <w:p w14:paraId="1A1B6218">
            <w:pPr>
              <w:spacing w:line="360" w:lineRule="auto"/>
              <w:ind w:firstLine="480" w:firstLineChars="200"/>
              <w:rPr>
                <w:sz w:val="24"/>
              </w:rPr>
            </w:pPr>
          </w:p>
          <w:p w14:paraId="75668726"/>
          <w:p w14:paraId="2DDE5CD2"/>
          <w:p w14:paraId="12744089"/>
        </w:tc>
      </w:tr>
    </w:tbl>
    <w:p w14:paraId="31326322">
      <w:r>
        <w:br w:type="page"/>
      </w:r>
    </w:p>
    <w:p w14:paraId="2E55574E">
      <w:pPr>
        <w:pStyle w:val="4"/>
        <w:rPr>
          <w:rFonts w:ascii="Times New Roman" w:hAnsi="Times New Roman"/>
          <w:color w:val="auto"/>
        </w:rPr>
      </w:pPr>
      <w:bookmarkStart w:id="21" w:name="_Toc520382825"/>
      <w:r>
        <w:rPr>
          <w:rFonts w:ascii="Times New Roman" w:hAnsi="Times New Roman"/>
          <w:color w:val="auto"/>
        </w:rPr>
        <w:t>表</w:t>
      </w:r>
      <w:r>
        <w:rPr>
          <w:rFonts w:hint="eastAsia" w:ascii="Times New Roman" w:hAnsi="Times New Roman"/>
          <w:color w:val="auto"/>
        </w:rPr>
        <w:t>九</w:t>
      </w:r>
      <w:r>
        <w:rPr>
          <w:rFonts w:ascii="Times New Roman" w:hAnsi="Times New Roman"/>
          <w:color w:val="auto"/>
        </w:rPr>
        <w:t xml:space="preserve">  </w:t>
      </w:r>
      <w:r>
        <w:rPr>
          <w:rFonts w:hint="eastAsia" w:ascii="Times New Roman" w:hAnsi="Times New Roman"/>
          <w:color w:val="auto"/>
        </w:rPr>
        <w:t>环境管理状况及监测计划</w:t>
      </w:r>
      <w:bookmarkEnd w:id="21"/>
    </w:p>
    <w:tbl>
      <w:tblPr>
        <w:tblStyle w:val="24"/>
        <w:tblW w:w="924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42"/>
      </w:tblGrid>
      <w:tr w14:paraId="3C434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9" w:hRule="atLeast"/>
        </w:trPr>
        <w:tc>
          <w:tcPr>
            <w:tcW w:w="9242" w:type="dxa"/>
          </w:tcPr>
          <w:p w14:paraId="1BACDF27">
            <w:pPr>
              <w:spacing w:line="360" w:lineRule="auto"/>
              <w:rPr>
                <w:b/>
                <w:sz w:val="24"/>
              </w:rPr>
            </w:pPr>
            <w:r>
              <w:rPr>
                <w:rFonts w:hint="eastAsia"/>
                <w:b/>
                <w:sz w:val="24"/>
              </w:rPr>
              <w:t>9.1环境管理机构设置</w:t>
            </w:r>
          </w:p>
          <w:p w14:paraId="6DEFD6D3">
            <w:pPr>
              <w:spacing w:line="360" w:lineRule="auto"/>
              <w:ind w:firstLine="480" w:firstLineChars="200"/>
              <w:rPr>
                <w:sz w:val="24"/>
              </w:rPr>
            </w:pPr>
            <w:r>
              <w:rPr>
                <w:rFonts w:hint="eastAsia"/>
                <w:sz w:val="24"/>
              </w:rPr>
              <w:t>施工期环境管理机构为建设单位</w:t>
            </w:r>
            <w:r>
              <w:rPr>
                <w:rFonts w:hint="eastAsia"/>
                <w:sz w:val="24"/>
                <w:lang w:eastAsia="zh-CN"/>
              </w:rPr>
              <w:t>武汉两江轮渡有限责任公司</w:t>
            </w:r>
            <w:r>
              <w:rPr>
                <w:rFonts w:hint="eastAsia"/>
                <w:sz w:val="24"/>
              </w:rPr>
              <w:t>。</w:t>
            </w:r>
          </w:p>
          <w:p w14:paraId="7E5C1C69">
            <w:pPr>
              <w:spacing w:line="360" w:lineRule="auto"/>
              <w:ind w:firstLine="480" w:firstLineChars="200"/>
              <w:rPr>
                <w:sz w:val="24"/>
              </w:rPr>
            </w:pPr>
            <w:r>
              <w:rPr>
                <w:rFonts w:hint="eastAsia"/>
                <w:sz w:val="24"/>
              </w:rPr>
              <w:t>工程建设期间，建设单位加强对施工人员生态环境和水土保持意识的宣传教育，施工单位切实做到注重环保、文明施工；施工现场保持良好的施工环境和施工秩序。</w:t>
            </w:r>
          </w:p>
          <w:p w14:paraId="24AE84BC">
            <w:pPr>
              <w:spacing w:line="360" w:lineRule="auto"/>
              <w:ind w:firstLine="480" w:firstLineChars="200"/>
            </w:pPr>
            <w:r>
              <w:rPr>
                <w:rFonts w:hint="eastAsia"/>
                <w:sz w:val="24"/>
              </w:rPr>
              <w:t>项目运营由</w:t>
            </w:r>
            <w:r>
              <w:rPr>
                <w:rFonts w:hint="eastAsia"/>
                <w:sz w:val="24"/>
                <w:lang w:eastAsia="zh-CN"/>
              </w:rPr>
              <w:t>武汉两江轮渡有限责任公司</w:t>
            </w:r>
            <w:r>
              <w:rPr>
                <w:rFonts w:hint="eastAsia"/>
                <w:sz w:val="24"/>
              </w:rPr>
              <w:t>进行管理。目前，项目已设置了环境管理机构，从管理制度和程序上保证了运行期环境保护相关工作的开展。</w:t>
            </w:r>
          </w:p>
        </w:tc>
      </w:tr>
      <w:tr w14:paraId="09F3D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1" w:hRule="atLeast"/>
        </w:trPr>
        <w:tc>
          <w:tcPr>
            <w:tcW w:w="9242" w:type="dxa"/>
          </w:tcPr>
          <w:p w14:paraId="7F3DE0AA">
            <w:pPr>
              <w:spacing w:line="360" w:lineRule="auto"/>
              <w:rPr>
                <w:b/>
                <w:sz w:val="24"/>
              </w:rPr>
            </w:pPr>
            <w:r>
              <w:rPr>
                <w:rFonts w:hint="eastAsia"/>
                <w:b/>
                <w:sz w:val="24"/>
              </w:rPr>
              <w:t>9.2环境监测能力建设情况</w:t>
            </w:r>
          </w:p>
          <w:p w14:paraId="6120CDFD">
            <w:pPr>
              <w:spacing w:line="360" w:lineRule="auto"/>
              <w:ind w:firstLine="480" w:firstLineChars="200"/>
            </w:pPr>
            <w:r>
              <w:rPr>
                <w:rFonts w:hint="eastAsia"/>
                <w:sz w:val="24"/>
              </w:rPr>
              <w:t>运行期的环境监测可委托具有监测资质的单位承担。</w:t>
            </w:r>
          </w:p>
        </w:tc>
      </w:tr>
      <w:tr w14:paraId="485AB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1" w:hRule="atLeast"/>
        </w:trPr>
        <w:tc>
          <w:tcPr>
            <w:tcW w:w="9242" w:type="dxa"/>
          </w:tcPr>
          <w:p w14:paraId="6E90655C">
            <w:pPr>
              <w:spacing w:line="360" w:lineRule="auto"/>
              <w:rPr>
                <w:b/>
                <w:sz w:val="24"/>
              </w:rPr>
            </w:pPr>
            <w:r>
              <w:rPr>
                <w:rFonts w:hint="eastAsia"/>
                <w:b/>
                <w:sz w:val="24"/>
              </w:rPr>
              <w:t>9.3环境影响报告表中提出的监测计划及其落实情况</w:t>
            </w:r>
          </w:p>
          <w:p w14:paraId="7F67A156">
            <w:pPr>
              <w:spacing w:line="360" w:lineRule="auto"/>
              <w:ind w:firstLine="480" w:firstLineChars="200"/>
            </w:pPr>
            <w:bookmarkStart w:id="22" w:name="_Hlk58840134"/>
            <w:r>
              <w:rPr>
                <w:rFonts w:hint="eastAsia"/>
                <w:sz w:val="24"/>
              </w:rPr>
              <w:t>项目后续运行过程中将严格落实环评报告提出的监测计划，每季度对厂界噪声进行监测。</w:t>
            </w:r>
            <w:bookmarkEnd w:id="22"/>
          </w:p>
        </w:tc>
      </w:tr>
      <w:tr w14:paraId="6E21D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42" w:type="dxa"/>
          </w:tcPr>
          <w:p w14:paraId="51638DCD">
            <w:pPr>
              <w:spacing w:line="360" w:lineRule="auto"/>
              <w:rPr>
                <w:b/>
                <w:sz w:val="24"/>
              </w:rPr>
            </w:pPr>
            <w:r>
              <w:rPr>
                <w:rFonts w:hint="eastAsia"/>
                <w:b/>
                <w:sz w:val="24"/>
              </w:rPr>
              <w:t>9.4环境管理状况分析与建议</w:t>
            </w:r>
          </w:p>
          <w:p w14:paraId="08DD412E">
            <w:pPr>
              <w:spacing w:line="360" w:lineRule="auto"/>
              <w:ind w:firstLine="480" w:firstLineChars="200"/>
              <w:rPr>
                <w:sz w:val="24"/>
              </w:rPr>
            </w:pPr>
            <w:r>
              <w:rPr>
                <w:rFonts w:hint="eastAsia"/>
                <w:sz w:val="24"/>
              </w:rPr>
              <w:t>经调查，施工期及运行期环境管理状况较好，认真落实、实施了环境影响报告表及其批复提出的环保措施，未引起环境问题及纠纷。</w:t>
            </w:r>
          </w:p>
          <w:p w14:paraId="4604E243">
            <w:pPr>
              <w:spacing w:line="360" w:lineRule="auto"/>
              <w:ind w:firstLine="480" w:firstLineChars="200"/>
              <w:rPr>
                <w:sz w:val="24"/>
              </w:rPr>
            </w:pPr>
            <w:r>
              <w:rPr>
                <w:rFonts w:hint="eastAsia"/>
                <w:sz w:val="24"/>
              </w:rPr>
              <w:t>建议：</w:t>
            </w:r>
          </w:p>
          <w:p w14:paraId="0AF8BC60">
            <w:pPr>
              <w:spacing w:line="360" w:lineRule="auto"/>
              <w:ind w:firstLine="480" w:firstLineChars="200"/>
              <w:rPr>
                <w:sz w:val="24"/>
              </w:rPr>
            </w:pPr>
            <w:r>
              <w:rPr>
                <w:rFonts w:hint="eastAsia"/>
                <w:sz w:val="24"/>
              </w:rPr>
              <w:t>1、运行期加强环境管理，确保生活垃垃圾不入江，码头区域</w:t>
            </w:r>
            <w:r>
              <w:rPr>
                <w:rFonts w:hint="eastAsia"/>
                <w:sz w:val="24"/>
                <w:lang w:eastAsia="zh-CN"/>
              </w:rPr>
              <w:t>污水达标排放</w:t>
            </w:r>
            <w:r>
              <w:rPr>
                <w:rFonts w:hint="eastAsia"/>
                <w:sz w:val="24"/>
              </w:rPr>
              <w:t>；</w:t>
            </w:r>
          </w:p>
          <w:p w14:paraId="52F92874">
            <w:pPr>
              <w:spacing w:line="360" w:lineRule="auto"/>
              <w:ind w:firstLine="480" w:firstLineChars="200"/>
              <w:rPr>
                <w:rFonts w:hint="eastAsia"/>
                <w:sz w:val="24"/>
              </w:rPr>
            </w:pPr>
            <w:r>
              <w:rPr>
                <w:rFonts w:hint="eastAsia"/>
                <w:sz w:val="24"/>
              </w:rPr>
              <w:t>2、</w:t>
            </w:r>
            <w:r>
              <w:rPr>
                <w:rFonts w:hint="eastAsia"/>
                <w:sz w:val="24"/>
                <w:lang w:eastAsia="zh-CN"/>
              </w:rPr>
              <w:t>确保产生的舱底油污水</w:t>
            </w:r>
            <w:r>
              <w:rPr>
                <w:rFonts w:hint="eastAsia"/>
                <w:sz w:val="24"/>
              </w:rPr>
              <w:t>由危废处置单位进行转运及处置</w:t>
            </w:r>
          </w:p>
          <w:p w14:paraId="79E0F8BD">
            <w:pPr>
              <w:spacing w:line="360" w:lineRule="auto"/>
              <w:ind w:firstLine="480" w:firstLineChars="200"/>
              <w:rPr>
                <w:rFonts w:hint="eastAsia"/>
                <w:sz w:val="24"/>
                <w:lang w:val="en-US" w:eastAsia="zh-CN"/>
              </w:rPr>
            </w:pPr>
            <w:r>
              <w:rPr>
                <w:rFonts w:hint="eastAsia"/>
                <w:sz w:val="24"/>
                <w:lang w:val="en-US" w:eastAsia="zh-CN"/>
              </w:rPr>
              <w:t>3、加强设备日常维护管理，确保处理效率</w:t>
            </w:r>
          </w:p>
          <w:p w14:paraId="406C00C8">
            <w:pPr>
              <w:spacing w:line="360" w:lineRule="auto"/>
              <w:ind w:firstLine="480" w:firstLineChars="200"/>
              <w:rPr>
                <w:sz w:val="24"/>
              </w:rPr>
            </w:pPr>
            <w:r>
              <w:rPr>
                <w:rFonts w:hint="eastAsia"/>
                <w:sz w:val="24"/>
                <w:lang w:val="en-US" w:eastAsia="zh-CN"/>
              </w:rPr>
              <w:t>4、完成突发环境事件应急预案备案工作</w:t>
            </w:r>
            <w:r>
              <w:rPr>
                <w:rFonts w:hint="eastAsia"/>
                <w:sz w:val="24"/>
              </w:rPr>
              <w:t>。</w:t>
            </w:r>
            <w:r>
              <w:rPr>
                <w:sz w:val="24"/>
              </w:rPr>
              <w:cr/>
            </w:r>
          </w:p>
          <w:p w14:paraId="19C52DBD">
            <w:pPr>
              <w:spacing w:line="360" w:lineRule="auto"/>
              <w:ind w:firstLine="420" w:firstLineChars="200"/>
            </w:pPr>
          </w:p>
          <w:p w14:paraId="01BB73B0">
            <w:pPr>
              <w:spacing w:line="360" w:lineRule="auto"/>
              <w:ind w:firstLine="420" w:firstLineChars="200"/>
            </w:pPr>
          </w:p>
        </w:tc>
      </w:tr>
    </w:tbl>
    <w:p w14:paraId="25A1C09A">
      <w:r>
        <w:br w:type="page"/>
      </w:r>
    </w:p>
    <w:p w14:paraId="28F00844">
      <w:pPr>
        <w:pStyle w:val="4"/>
        <w:rPr>
          <w:rFonts w:ascii="Times New Roman" w:hAnsi="Times New Roman"/>
          <w:color w:val="auto"/>
        </w:rPr>
      </w:pPr>
      <w:bookmarkStart w:id="23" w:name="_Toc520382826"/>
      <w:r>
        <w:rPr>
          <w:rFonts w:ascii="Times New Roman" w:hAnsi="Times New Roman"/>
          <w:color w:val="auto"/>
        </w:rPr>
        <w:t>表</w:t>
      </w:r>
      <w:r>
        <w:rPr>
          <w:rFonts w:hint="eastAsia" w:ascii="Times New Roman" w:hAnsi="Times New Roman"/>
          <w:color w:val="auto"/>
        </w:rPr>
        <w:t>十</w:t>
      </w:r>
      <w:r>
        <w:rPr>
          <w:rFonts w:ascii="Times New Roman" w:hAnsi="Times New Roman"/>
          <w:color w:val="auto"/>
        </w:rPr>
        <w:t xml:space="preserve">  </w:t>
      </w:r>
      <w:r>
        <w:rPr>
          <w:rFonts w:hint="eastAsia" w:ascii="Times New Roman" w:hAnsi="Times New Roman"/>
          <w:color w:val="auto"/>
        </w:rPr>
        <w:t>调查结论与建议</w:t>
      </w:r>
      <w:bookmarkEnd w:id="23"/>
    </w:p>
    <w:tbl>
      <w:tblPr>
        <w:tblStyle w:val="24"/>
        <w:tblW w:w="924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42"/>
      </w:tblGrid>
      <w:tr w14:paraId="6720F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42" w:type="dxa"/>
          </w:tcPr>
          <w:p w14:paraId="308FD354">
            <w:pPr>
              <w:spacing w:line="360" w:lineRule="auto"/>
              <w:rPr>
                <w:b/>
                <w:sz w:val="24"/>
              </w:rPr>
            </w:pPr>
            <w:r>
              <w:rPr>
                <w:rFonts w:hint="eastAsia"/>
                <w:b/>
                <w:sz w:val="24"/>
              </w:rPr>
              <w:t>10.1工程概况</w:t>
            </w:r>
          </w:p>
          <w:p w14:paraId="32EC4232">
            <w:pPr>
              <w:pStyle w:val="21"/>
              <w:snapToGrid w:val="0"/>
              <w:spacing w:before="0" w:beforeAutospacing="0" w:after="0" w:afterAutospacing="0" w:line="360" w:lineRule="auto"/>
              <w:ind w:firstLine="480" w:firstLineChars="200"/>
              <w:jc w:val="both"/>
              <w:rPr>
                <w:rFonts w:ascii="Times New Roman" w:hAnsi="Times New Roman" w:cs="Times New Roman"/>
              </w:rPr>
            </w:pPr>
            <w:bookmarkStart w:id="24" w:name="_Hlk58839783"/>
            <w:r>
              <w:rPr>
                <w:rFonts w:hint="eastAsia" w:ascii="Times New Roman" w:hAnsi="Times New Roman" w:cs="Times New Roman"/>
                <w:lang w:eastAsia="zh-CN"/>
              </w:rPr>
              <w:t>现有中华路码头趸船，原红巷码头趸船、引桥等构筑物全部拆除更新改造，仅保留原中华路码头闸口处的售票房、办公室、变电所和引桥。由于保障筷子口泵站运行，共设置3艘104×28m（总长×型宽）趸船，配套建设钢引桥、提升楼、固定墩台、固定钢引桥、踏步及撑杆（钢管定位桩）消能系统、给排水管网等，共设置泊位6个</w:t>
            </w:r>
            <w:r>
              <w:rPr>
                <w:rFonts w:ascii="Times New Roman" w:hAnsi="Times New Roman" w:cs="Times New Roman"/>
              </w:rPr>
              <w:t>。</w:t>
            </w:r>
          </w:p>
          <w:bookmarkEnd w:id="24"/>
          <w:p w14:paraId="28967D58">
            <w:pPr>
              <w:spacing w:line="440" w:lineRule="exact"/>
              <w:rPr>
                <w:b/>
                <w:sz w:val="24"/>
              </w:rPr>
            </w:pPr>
            <w:r>
              <w:rPr>
                <w:b/>
                <w:sz w:val="24"/>
              </w:rPr>
              <w:t>10.2</w:t>
            </w:r>
            <w:r>
              <w:rPr>
                <w:b/>
                <w:color w:val="000000"/>
                <w:sz w:val="24"/>
              </w:rPr>
              <w:t>环保措施落实情况</w:t>
            </w:r>
          </w:p>
          <w:p w14:paraId="5234CF86">
            <w:pPr>
              <w:spacing w:line="360" w:lineRule="auto"/>
              <w:ind w:firstLine="480" w:firstLineChars="200"/>
              <w:rPr>
                <w:color w:val="000000"/>
                <w:sz w:val="24"/>
              </w:rPr>
            </w:pPr>
            <w:r>
              <w:rPr>
                <w:color w:val="000000"/>
                <w:sz w:val="24"/>
              </w:rPr>
              <w:t>本工程执行了环境影响评价和环境保护“三同时”管理制度，基本落实了本工程环评报告及批复提出的各项环保措施，制定了相应的环境管理制度，通过加强施工期和</w:t>
            </w:r>
            <w:r>
              <w:rPr>
                <w:rFonts w:hint="eastAsia"/>
                <w:sz w:val="24"/>
              </w:rPr>
              <w:t>运行期</w:t>
            </w:r>
            <w:r>
              <w:rPr>
                <w:color w:val="000000"/>
                <w:sz w:val="24"/>
              </w:rPr>
              <w:t>的环境管理工作，采取了有效措施降低施工期和</w:t>
            </w:r>
            <w:r>
              <w:rPr>
                <w:rFonts w:hint="eastAsia"/>
                <w:sz w:val="24"/>
              </w:rPr>
              <w:t>运行期</w:t>
            </w:r>
            <w:r>
              <w:rPr>
                <w:color w:val="000000"/>
                <w:sz w:val="24"/>
              </w:rPr>
              <w:t>对环境产生的影响，项目施工至验收阶段，未发生环境污染事故。</w:t>
            </w:r>
          </w:p>
          <w:p w14:paraId="2A0063E4">
            <w:pPr>
              <w:spacing w:line="440" w:lineRule="exact"/>
              <w:rPr>
                <w:b/>
                <w:sz w:val="24"/>
              </w:rPr>
            </w:pPr>
            <w:r>
              <w:rPr>
                <w:rFonts w:hint="eastAsia"/>
                <w:b/>
                <w:sz w:val="24"/>
              </w:rPr>
              <w:t>10.3施工期环境影响</w:t>
            </w:r>
            <w:r>
              <w:rPr>
                <w:b/>
                <w:sz w:val="24"/>
              </w:rPr>
              <w:t>调查结论</w:t>
            </w:r>
          </w:p>
          <w:p w14:paraId="18D1C167">
            <w:pPr>
              <w:spacing w:line="360" w:lineRule="auto"/>
              <w:ind w:firstLine="480" w:firstLineChars="200"/>
              <w:rPr>
                <w:sz w:val="24"/>
              </w:rPr>
            </w:pPr>
            <w:r>
              <w:rPr>
                <w:rFonts w:hint="eastAsia"/>
                <w:sz w:val="24"/>
              </w:rPr>
              <w:t>（1）水环境影响调查</w:t>
            </w:r>
          </w:p>
          <w:p w14:paraId="3F7A9502">
            <w:pPr>
              <w:spacing w:line="360" w:lineRule="auto"/>
              <w:ind w:right="101" w:rightChars="48" w:firstLine="436" w:firstLineChars="182"/>
              <w:contextualSpacing/>
              <w:rPr>
                <w:sz w:val="24"/>
              </w:rPr>
            </w:pPr>
            <w:r>
              <w:rPr>
                <w:rFonts w:hint="eastAsia"/>
                <w:sz w:val="24"/>
              </w:rPr>
              <w:t>施工期废水主要为沙浆及施工人员所产生的生活污水。沙浆</w:t>
            </w:r>
            <w:r>
              <w:rPr>
                <w:rFonts w:hint="eastAsia"/>
                <w:color w:val="000000"/>
                <w:sz w:val="24"/>
                <w:szCs w:val="20"/>
              </w:rPr>
              <w:t>经设置的临时沉淀池先进行沉淀处理后，上清液回用于场区洒水降尘。生活用水依托周边居民区进行解决。</w:t>
            </w:r>
          </w:p>
          <w:p w14:paraId="4F69B1DB">
            <w:pPr>
              <w:spacing w:line="360" w:lineRule="auto"/>
              <w:ind w:firstLine="480" w:firstLineChars="200"/>
              <w:rPr>
                <w:sz w:val="24"/>
              </w:rPr>
            </w:pPr>
            <w:r>
              <w:rPr>
                <w:rFonts w:hint="eastAsia"/>
                <w:sz w:val="24"/>
              </w:rPr>
              <w:t>（2）大气环境影响调查</w:t>
            </w:r>
          </w:p>
          <w:p w14:paraId="1EDD99F3">
            <w:pPr>
              <w:spacing w:line="360" w:lineRule="auto"/>
              <w:ind w:firstLine="480" w:firstLineChars="200"/>
              <w:rPr>
                <w:sz w:val="24"/>
              </w:rPr>
            </w:pPr>
            <w:r>
              <w:rPr>
                <w:kern w:val="0"/>
                <w:sz w:val="24"/>
              </w:rPr>
              <w:t>施工期主要大气污染物为扬尘，</w:t>
            </w:r>
            <w:r>
              <w:rPr>
                <w:rFonts w:hint="eastAsia"/>
                <w:sz w:val="24"/>
              </w:rPr>
              <w:t>建筑材料和运输车辆通过加盖篷布，设置施工围挡，增加洒水等方式减少施工扬尘。加强施工机械维护保养。</w:t>
            </w:r>
          </w:p>
          <w:p w14:paraId="7171EDEF">
            <w:pPr>
              <w:spacing w:line="360" w:lineRule="auto"/>
              <w:ind w:firstLine="480" w:firstLineChars="200"/>
              <w:rPr>
                <w:sz w:val="24"/>
              </w:rPr>
            </w:pPr>
            <w:r>
              <w:rPr>
                <w:rFonts w:hint="eastAsia"/>
                <w:sz w:val="24"/>
              </w:rPr>
              <w:t>（3）声环境影响调查</w:t>
            </w:r>
          </w:p>
          <w:p w14:paraId="7F58BE62">
            <w:pPr>
              <w:spacing w:line="360" w:lineRule="auto"/>
              <w:ind w:firstLine="480" w:firstLineChars="200"/>
              <w:rPr>
                <w:sz w:val="24"/>
              </w:rPr>
            </w:pPr>
            <w:r>
              <w:rPr>
                <w:rFonts w:hint="eastAsia"/>
                <w:bCs/>
                <w:sz w:val="24"/>
              </w:rPr>
              <w:t>通过采取合理安排施工时间，禁止夜间施工等措施，对周围声环境未产生不良影响，</w:t>
            </w:r>
            <w:r>
              <w:rPr>
                <w:rFonts w:hint="eastAsia"/>
                <w:sz w:val="24"/>
              </w:rPr>
              <w:t>无环境影响投诉。</w:t>
            </w:r>
          </w:p>
          <w:p w14:paraId="3BF5412C">
            <w:pPr>
              <w:spacing w:line="360" w:lineRule="auto"/>
              <w:ind w:firstLine="480" w:firstLineChars="200"/>
              <w:rPr>
                <w:sz w:val="24"/>
              </w:rPr>
            </w:pPr>
            <w:r>
              <w:rPr>
                <w:rFonts w:hint="eastAsia"/>
                <w:sz w:val="24"/>
              </w:rPr>
              <w:t>（4）固体废弃物影响调查</w:t>
            </w:r>
          </w:p>
          <w:p w14:paraId="336A606F">
            <w:pPr>
              <w:spacing w:line="360" w:lineRule="auto"/>
              <w:ind w:firstLine="480" w:firstLineChars="200"/>
              <w:rPr>
                <w:sz w:val="24"/>
              </w:rPr>
            </w:pPr>
            <w:r>
              <w:rPr>
                <w:rFonts w:hint="eastAsia"/>
                <w:sz w:val="24"/>
              </w:rPr>
              <w:t>本项目固体废弃物主要来源于施工人员的生活垃圾、</w:t>
            </w:r>
            <w:r>
              <w:rPr>
                <w:rFonts w:hint="eastAsia"/>
                <w:sz w:val="24"/>
                <w:lang w:eastAsia="zh-CN"/>
              </w:rPr>
              <w:t>砂浆</w:t>
            </w:r>
            <w:r>
              <w:rPr>
                <w:rFonts w:hint="eastAsia"/>
                <w:sz w:val="24"/>
              </w:rPr>
              <w:t>和</w:t>
            </w:r>
            <w:r>
              <w:rPr>
                <w:rFonts w:hint="eastAsia"/>
                <w:sz w:val="24"/>
                <w:lang w:eastAsia="zh-CN"/>
              </w:rPr>
              <w:t>建筑垃圾</w:t>
            </w:r>
            <w:r>
              <w:rPr>
                <w:rFonts w:hint="eastAsia"/>
                <w:sz w:val="24"/>
              </w:rPr>
              <w:t>。生活垃圾交由环卫部门清运。</w:t>
            </w:r>
            <w:r>
              <w:rPr>
                <w:rFonts w:hint="eastAsia"/>
                <w:sz w:val="24"/>
                <w:lang w:eastAsia="zh-CN"/>
              </w:rPr>
              <w:t>砂浆</w:t>
            </w:r>
            <w:r>
              <w:rPr>
                <w:rFonts w:hint="eastAsia"/>
                <w:sz w:val="24"/>
              </w:rPr>
              <w:t>经“沉淀+晾晒”处理</w:t>
            </w:r>
            <w:r>
              <w:rPr>
                <w:rFonts w:hint="eastAsia"/>
                <w:sz w:val="24"/>
                <w:lang w:eastAsia="zh-CN"/>
              </w:rPr>
              <w:t>和建筑垃圾</w:t>
            </w:r>
            <w:r>
              <w:rPr>
                <w:rFonts w:hint="eastAsia"/>
                <w:sz w:val="24"/>
              </w:rPr>
              <w:t>运至指定的填埋场妥善处置，生活垃圾交由环卫部门清理。采取上述措施后，固体废物均得到妥善处置，未对周围环境产生不利影响。</w:t>
            </w:r>
          </w:p>
          <w:p w14:paraId="17933128">
            <w:pPr>
              <w:spacing w:line="360" w:lineRule="auto"/>
              <w:ind w:firstLine="480" w:firstLineChars="200"/>
              <w:rPr>
                <w:sz w:val="24"/>
              </w:rPr>
            </w:pPr>
            <w:r>
              <w:rPr>
                <w:rFonts w:hint="eastAsia"/>
                <w:sz w:val="24"/>
              </w:rPr>
              <w:t>（5）生态环境影响调查</w:t>
            </w:r>
          </w:p>
          <w:p w14:paraId="5D59B529">
            <w:pPr>
              <w:spacing w:line="360" w:lineRule="auto"/>
              <w:ind w:firstLine="480" w:firstLineChars="200"/>
              <w:rPr>
                <w:sz w:val="24"/>
              </w:rPr>
            </w:pPr>
            <w:r>
              <w:rPr>
                <w:rFonts w:hint="eastAsia"/>
                <w:sz w:val="24"/>
              </w:rPr>
              <w:t>施工期加强环境管理，合理安排施工工期，水下施工选择在枯水季节进行，施工完成后进行植被恢复。根据调查，工程采取的生态防护措施基本按照环评报告和环评批复进行，符合环保要求。</w:t>
            </w:r>
          </w:p>
          <w:p w14:paraId="740D368A">
            <w:pPr>
              <w:spacing w:after="156" w:afterLines="50" w:line="440" w:lineRule="exact"/>
              <w:rPr>
                <w:b/>
                <w:sz w:val="24"/>
              </w:rPr>
            </w:pPr>
            <w:r>
              <w:rPr>
                <w:rFonts w:hint="eastAsia"/>
                <w:b/>
                <w:sz w:val="24"/>
              </w:rPr>
              <w:t>10.3运行期环境影响</w:t>
            </w:r>
            <w:r>
              <w:rPr>
                <w:b/>
                <w:sz w:val="24"/>
              </w:rPr>
              <w:t>调查结论</w:t>
            </w:r>
          </w:p>
          <w:p w14:paraId="55CA65D4">
            <w:pPr>
              <w:spacing w:line="360" w:lineRule="auto"/>
              <w:ind w:firstLine="480" w:firstLineChars="200"/>
              <w:rPr>
                <w:sz w:val="24"/>
              </w:rPr>
            </w:pPr>
            <w:r>
              <w:rPr>
                <w:rFonts w:hint="eastAsia"/>
                <w:sz w:val="24"/>
              </w:rPr>
              <w:t>（1）水环境影响调查</w:t>
            </w:r>
          </w:p>
          <w:p w14:paraId="1B172917">
            <w:pPr>
              <w:spacing w:line="360" w:lineRule="auto"/>
              <w:ind w:right="101" w:rightChars="48" w:firstLine="436" w:firstLineChars="182"/>
              <w:contextualSpacing/>
              <w:rPr>
                <w:sz w:val="24"/>
              </w:rPr>
            </w:pPr>
            <w:r>
              <w:rPr>
                <w:rFonts w:hint="eastAsia"/>
                <w:bCs/>
                <w:color w:val="000000"/>
                <w:sz w:val="24"/>
              </w:rPr>
              <w:t>项目生活污水经</w:t>
            </w:r>
            <w:r>
              <w:rPr>
                <w:rFonts w:hint="eastAsia"/>
                <w:bCs/>
                <w:color w:val="000000"/>
                <w:sz w:val="24"/>
                <w:lang w:eastAsia="zh-CN"/>
              </w:rPr>
              <w:t>生活污水处理装置处理后通过</w:t>
            </w:r>
            <w:r>
              <w:rPr>
                <w:rFonts w:hint="eastAsia"/>
                <w:bCs/>
                <w:color w:val="000000"/>
                <w:sz w:val="24"/>
              </w:rPr>
              <w:t>市政管网排入</w:t>
            </w:r>
            <w:r>
              <w:rPr>
                <w:rFonts w:hint="eastAsia"/>
                <w:bCs/>
                <w:color w:val="000000"/>
                <w:sz w:val="24"/>
                <w:lang w:eastAsia="zh-CN"/>
              </w:rPr>
              <w:t>二郎庙</w:t>
            </w:r>
            <w:r>
              <w:rPr>
                <w:rFonts w:hint="eastAsia"/>
                <w:bCs/>
                <w:color w:val="000000"/>
                <w:sz w:val="24"/>
              </w:rPr>
              <w:t>污水处理厂进一步处理。项目废水</w:t>
            </w:r>
            <w:r>
              <w:rPr>
                <w:rFonts w:hint="eastAsia"/>
                <w:sz w:val="24"/>
              </w:rPr>
              <w:t>未直接排放至地表水体，未对地表水环境产生不利影响。</w:t>
            </w:r>
          </w:p>
          <w:p w14:paraId="183D6C9A">
            <w:pPr>
              <w:spacing w:line="360" w:lineRule="auto"/>
              <w:ind w:firstLine="480" w:firstLineChars="200"/>
              <w:rPr>
                <w:sz w:val="24"/>
              </w:rPr>
            </w:pPr>
            <w:r>
              <w:rPr>
                <w:rFonts w:hint="eastAsia"/>
                <w:sz w:val="24"/>
              </w:rPr>
              <w:t>（2）大气环境影响调查</w:t>
            </w:r>
          </w:p>
          <w:p w14:paraId="50174337">
            <w:pPr>
              <w:spacing w:line="360" w:lineRule="auto"/>
              <w:ind w:firstLine="480" w:firstLineChars="200"/>
              <w:rPr>
                <w:kern w:val="0"/>
                <w:sz w:val="24"/>
              </w:rPr>
            </w:pPr>
            <w:r>
              <w:rPr>
                <w:rFonts w:hint="eastAsia"/>
                <w:sz w:val="24"/>
              </w:rPr>
              <w:t>本项目运行期的主要废气来自于进出码头所产生的船舶废气，主要污染物为CO、NO</w:t>
            </w:r>
            <w:r>
              <w:rPr>
                <w:rFonts w:hint="eastAsia"/>
                <w:sz w:val="24"/>
                <w:vertAlign w:val="subscript"/>
              </w:rPr>
              <w:t>X</w:t>
            </w:r>
            <w:r>
              <w:rPr>
                <w:rFonts w:hint="eastAsia"/>
                <w:sz w:val="24"/>
              </w:rPr>
              <w:t>、CH等。项目位于</w:t>
            </w:r>
            <w:r>
              <w:rPr>
                <w:rFonts w:hint="eastAsia"/>
                <w:color w:val="000000"/>
                <w:sz w:val="24"/>
                <w:lang w:eastAsia="zh-CN"/>
              </w:rPr>
              <w:t>长</w:t>
            </w:r>
            <w:r>
              <w:rPr>
                <w:rFonts w:hint="eastAsia"/>
                <w:color w:val="000000"/>
                <w:sz w:val="24"/>
              </w:rPr>
              <w:t>江边，环境空旷有利于废气的扩散，因而对周围大气环境影响较小</w:t>
            </w:r>
            <w:r>
              <w:rPr>
                <w:rFonts w:hint="eastAsia"/>
                <w:sz w:val="24"/>
              </w:rPr>
              <w:t>。</w:t>
            </w:r>
          </w:p>
          <w:p w14:paraId="0C29094F">
            <w:pPr>
              <w:spacing w:line="360" w:lineRule="auto"/>
              <w:ind w:firstLine="480" w:firstLineChars="200"/>
              <w:rPr>
                <w:sz w:val="24"/>
              </w:rPr>
            </w:pPr>
            <w:r>
              <w:rPr>
                <w:rFonts w:hint="eastAsia"/>
                <w:sz w:val="24"/>
              </w:rPr>
              <w:t>（3）声环境影响调查</w:t>
            </w:r>
          </w:p>
          <w:p w14:paraId="36425FD9">
            <w:pPr>
              <w:spacing w:line="360" w:lineRule="auto"/>
              <w:ind w:firstLine="480" w:firstLineChars="200"/>
              <w:rPr>
                <w:sz w:val="24"/>
              </w:rPr>
            </w:pPr>
            <w:r>
              <w:rPr>
                <w:rFonts w:hint="eastAsia"/>
                <w:bCs/>
                <w:sz w:val="24"/>
              </w:rPr>
              <w:t>在满足通航规范和安全的前提下，减少鸣笛次数，场界四周噪声值满足</w:t>
            </w:r>
            <w:r>
              <w:rPr>
                <w:rFonts w:hint="eastAsia"/>
                <w:sz w:val="24"/>
              </w:rPr>
              <w:t>《工业企业厂界环境噪声排放标准》（GB12348-2008）4类标准限值要求，未对周围声环境产生不利影响</w:t>
            </w:r>
            <w:r>
              <w:rPr>
                <w:rFonts w:hint="eastAsia"/>
                <w:bCs/>
                <w:sz w:val="24"/>
              </w:rPr>
              <w:t>。</w:t>
            </w:r>
          </w:p>
          <w:p w14:paraId="15F8B7AB">
            <w:pPr>
              <w:spacing w:line="360" w:lineRule="auto"/>
              <w:ind w:firstLine="480" w:firstLineChars="200"/>
              <w:rPr>
                <w:sz w:val="24"/>
              </w:rPr>
            </w:pPr>
            <w:r>
              <w:rPr>
                <w:rFonts w:hint="eastAsia"/>
                <w:sz w:val="24"/>
              </w:rPr>
              <w:t>（4）固体废弃物影响调查</w:t>
            </w:r>
          </w:p>
          <w:p w14:paraId="3FD838BA">
            <w:pPr>
              <w:spacing w:line="360" w:lineRule="auto"/>
              <w:ind w:firstLine="480" w:firstLineChars="200"/>
              <w:rPr>
                <w:sz w:val="24"/>
              </w:rPr>
            </w:pPr>
            <w:r>
              <w:rPr>
                <w:rFonts w:hint="eastAsia"/>
                <w:bCs/>
                <w:sz w:val="24"/>
              </w:rPr>
              <w:t>生活垃圾经趸船上垃圾桶集中收集后，由项目所属辖区的环卫部门定期清运。</w:t>
            </w:r>
            <w:r>
              <w:rPr>
                <w:rFonts w:hint="eastAsia"/>
                <w:bCs/>
                <w:sz w:val="24"/>
                <w:lang w:eastAsia="zh-CN"/>
              </w:rPr>
              <w:t>舱底油污水</w:t>
            </w:r>
            <w:r>
              <w:rPr>
                <w:rFonts w:hint="eastAsia"/>
                <w:bCs/>
                <w:sz w:val="24"/>
              </w:rPr>
              <w:t>（</w:t>
            </w:r>
            <w:r>
              <w:rPr>
                <w:color w:val="000000"/>
                <w:sz w:val="24"/>
              </w:rPr>
              <w:t>HW09</w:t>
            </w:r>
            <w:r>
              <w:rPr>
                <w:rFonts w:hint="eastAsia"/>
                <w:color w:val="000000"/>
                <w:sz w:val="24"/>
              </w:rPr>
              <w:t>，废物代码为</w:t>
            </w:r>
            <w:r>
              <w:rPr>
                <w:color w:val="000000"/>
                <w:sz w:val="24"/>
              </w:rPr>
              <w:t>900-007-09</w:t>
            </w:r>
            <w:r>
              <w:rPr>
                <w:rFonts w:hint="eastAsia"/>
                <w:bCs/>
                <w:sz w:val="24"/>
              </w:rPr>
              <w:t>）为危险废物，因此收集后交由具有危废处置的单位进行处置</w:t>
            </w:r>
            <w:r>
              <w:rPr>
                <w:rFonts w:hint="eastAsia"/>
                <w:bCs/>
                <w:sz w:val="24"/>
                <w:lang w:eastAsia="zh-CN"/>
              </w:rPr>
              <w:t>，目前合作单位为武汉发顺船舶保洁服务有限公司</w:t>
            </w:r>
            <w:r>
              <w:rPr>
                <w:rFonts w:hint="eastAsia"/>
                <w:bCs/>
                <w:sz w:val="24"/>
              </w:rPr>
              <w:t>。项目固体废物妥善处置，不会对周围环境造成不利影响。</w:t>
            </w:r>
          </w:p>
          <w:p w14:paraId="514BDFA2">
            <w:pPr>
              <w:spacing w:line="360" w:lineRule="auto"/>
              <w:ind w:firstLine="480" w:firstLineChars="200"/>
              <w:rPr>
                <w:sz w:val="24"/>
              </w:rPr>
            </w:pPr>
            <w:r>
              <w:rPr>
                <w:rFonts w:hint="eastAsia"/>
                <w:sz w:val="24"/>
              </w:rPr>
              <w:t>（5）生态环境影响调查</w:t>
            </w:r>
          </w:p>
          <w:p w14:paraId="2E79B5B4">
            <w:pPr>
              <w:spacing w:line="360" w:lineRule="auto"/>
              <w:ind w:firstLine="480" w:firstLineChars="200"/>
              <w:rPr>
                <w:sz w:val="24"/>
              </w:rPr>
            </w:pPr>
            <w:r>
              <w:rPr>
                <w:rFonts w:hint="eastAsia"/>
                <w:sz w:val="24"/>
              </w:rPr>
              <w:t>工程建成后，码头为浮码头结构，平台和引桥部分采用透空式高桩结构，鱼类仍可在码头及引桥下面游动，因此尽管项目建设导致过水断面有所减小但是这种减小相对整个航道而言几乎是可以忽略的，其对鱼类的影响十分微小。</w:t>
            </w:r>
          </w:p>
          <w:p w14:paraId="4B9C4EFC">
            <w:pPr>
              <w:spacing w:line="360" w:lineRule="auto"/>
              <w:ind w:firstLine="480" w:firstLineChars="200"/>
              <w:rPr>
                <w:sz w:val="24"/>
              </w:rPr>
            </w:pPr>
            <w:r>
              <w:rPr>
                <w:rFonts w:hint="eastAsia"/>
                <w:sz w:val="24"/>
              </w:rPr>
              <w:t>项目运行期废水、废气、噪声、固废均能得到妥善处理，未对当环境造成影响。</w:t>
            </w:r>
          </w:p>
          <w:p w14:paraId="213AE8A4">
            <w:pPr>
              <w:spacing w:line="440" w:lineRule="exact"/>
              <w:rPr>
                <w:b/>
                <w:sz w:val="24"/>
              </w:rPr>
            </w:pPr>
            <w:r>
              <w:rPr>
                <w:rFonts w:hint="eastAsia"/>
                <w:b/>
                <w:sz w:val="24"/>
              </w:rPr>
              <w:t>10.2 建议</w:t>
            </w:r>
          </w:p>
          <w:p w14:paraId="39C859BA">
            <w:pPr>
              <w:spacing w:line="360" w:lineRule="auto"/>
              <w:ind w:firstLine="480" w:firstLineChars="200"/>
              <w:rPr>
                <w:sz w:val="24"/>
              </w:rPr>
            </w:pPr>
            <w:r>
              <w:rPr>
                <w:rFonts w:hint="eastAsia"/>
                <w:sz w:val="24"/>
              </w:rPr>
              <w:t>1、运行期加强环境管理，确保生活垃垃圾不入江，码头区域</w:t>
            </w:r>
            <w:r>
              <w:rPr>
                <w:rFonts w:hint="eastAsia"/>
                <w:sz w:val="24"/>
                <w:lang w:eastAsia="zh-CN"/>
              </w:rPr>
              <w:t>污水达标排放</w:t>
            </w:r>
            <w:r>
              <w:rPr>
                <w:rFonts w:hint="eastAsia"/>
                <w:sz w:val="24"/>
              </w:rPr>
              <w:t>；</w:t>
            </w:r>
          </w:p>
          <w:p w14:paraId="6B12FFF4">
            <w:pPr>
              <w:spacing w:line="360" w:lineRule="auto"/>
              <w:ind w:firstLine="480" w:firstLineChars="200"/>
              <w:rPr>
                <w:rFonts w:hint="eastAsia"/>
                <w:sz w:val="24"/>
              </w:rPr>
            </w:pPr>
            <w:r>
              <w:rPr>
                <w:rFonts w:hint="eastAsia"/>
                <w:sz w:val="24"/>
              </w:rPr>
              <w:t>2、</w:t>
            </w:r>
            <w:r>
              <w:rPr>
                <w:rFonts w:hint="eastAsia"/>
                <w:sz w:val="24"/>
                <w:lang w:eastAsia="zh-CN"/>
              </w:rPr>
              <w:t>确保产生的舱底油污水</w:t>
            </w:r>
            <w:r>
              <w:rPr>
                <w:rFonts w:hint="eastAsia"/>
                <w:sz w:val="24"/>
              </w:rPr>
              <w:t>由危废处置单位进行转运及处置</w:t>
            </w:r>
          </w:p>
          <w:p w14:paraId="54E8D3D4">
            <w:pPr>
              <w:spacing w:line="360" w:lineRule="auto"/>
              <w:ind w:firstLine="480" w:firstLineChars="200"/>
              <w:rPr>
                <w:rFonts w:hint="eastAsia"/>
                <w:sz w:val="24"/>
                <w:lang w:val="en-US" w:eastAsia="zh-CN"/>
              </w:rPr>
            </w:pPr>
            <w:r>
              <w:rPr>
                <w:rFonts w:hint="eastAsia"/>
                <w:sz w:val="24"/>
                <w:lang w:val="en-US" w:eastAsia="zh-CN"/>
              </w:rPr>
              <w:t>3、加强设备日常维护管理，确保处理效率</w:t>
            </w:r>
          </w:p>
          <w:p w14:paraId="6248C511">
            <w:pPr>
              <w:spacing w:line="360" w:lineRule="auto"/>
              <w:ind w:firstLine="480" w:firstLineChars="200"/>
              <w:rPr>
                <w:sz w:val="24"/>
              </w:rPr>
            </w:pPr>
            <w:r>
              <w:rPr>
                <w:rFonts w:hint="eastAsia"/>
                <w:sz w:val="24"/>
                <w:lang w:val="en-US" w:eastAsia="zh-CN"/>
              </w:rPr>
              <w:t>4、完成突发环境事件应急预案备案工作</w:t>
            </w:r>
            <w:r>
              <w:rPr>
                <w:rFonts w:hint="eastAsia"/>
                <w:sz w:val="24"/>
              </w:rPr>
              <w:t>。。</w:t>
            </w:r>
          </w:p>
          <w:p w14:paraId="3C668763"/>
        </w:tc>
      </w:tr>
    </w:tbl>
    <w:p w14:paraId="09DE0A1F">
      <w:r>
        <w:br w:type="page"/>
      </w:r>
    </w:p>
    <w:tbl>
      <w:tblPr>
        <w:tblStyle w:val="24"/>
        <w:tblW w:w="924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42"/>
      </w:tblGrid>
      <w:tr w14:paraId="0906E0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15" w:hRule="atLeast"/>
        </w:trPr>
        <w:tc>
          <w:tcPr>
            <w:tcW w:w="9242" w:type="dxa"/>
          </w:tcPr>
          <w:p w14:paraId="71B79532">
            <w:pPr>
              <w:jc w:val="center"/>
              <w:rPr>
                <w:rFonts w:hint="default" w:ascii="Times New Roman" w:hAnsi="Times New Roman" w:cs="Times New Roman"/>
                <w:b/>
                <w:sz w:val="28"/>
              </w:rPr>
            </w:pPr>
            <w:r>
              <w:rPr>
                <w:rFonts w:hint="default" w:ascii="Times New Roman" w:hAnsi="Times New Roman" w:cs="Times New Roman"/>
                <w:b/>
                <w:sz w:val="28"/>
              </w:rPr>
              <w:t>注   释</w:t>
            </w:r>
          </w:p>
          <w:p w14:paraId="3598A185">
            <w:pPr>
              <w:spacing w:line="360" w:lineRule="auto"/>
              <w:jc w:val="left"/>
              <w:rPr>
                <w:rStyle w:val="74"/>
                <w:rFonts w:hint="default" w:ascii="Times New Roman" w:hAnsi="Times New Roman" w:cs="Times New Roman"/>
                <w:color w:val="auto"/>
                <w:sz w:val="24"/>
              </w:rPr>
            </w:pPr>
            <w:r>
              <w:rPr>
                <w:rStyle w:val="74"/>
                <w:rFonts w:hint="default" w:ascii="Times New Roman" w:hAnsi="Times New Roman" w:cs="Times New Roman"/>
                <w:color w:val="auto"/>
                <w:sz w:val="24"/>
              </w:rPr>
              <w:t>一、 调查表附以下附件、附图：</w:t>
            </w:r>
          </w:p>
          <w:p w14:paraId="54F8CD5C">
            <w:pPr>
              <w:spacing w:line="360" w:lineRule="auto"/>
              <w:ind w:firstLine="480" w:firstLineChars="200"/>
              <w:rPr>
                <w:rFonts w:hint="default" w:ascii="Times New Roman" w:hAnsi="Times New Roman" w:cs="Times New Roman" w:eastAsiaTheme="minorEastAsia"/>
                <w:color w:val="000000"/>
                <w:sz w:val="24"/>
              </w:rPr>
            </w:pPr>
            <w:r>
              <w:rPr>
                <w:rFonts w:hint="default" w:ascii="Times New Roman" w:hAnsi="Times New Roman" w:cs="Times New Roman" w:eastAsiaTheme="minorEastAsia"/>
                <w:color w:val="000000"/>
                <w:sz w:val="24"/>
              </w:rPr>
              <w:t>附件1  委托单</w:t>
            </w:r>
          </w:p>
          <w:p w14:paraId="7F565396">
            <w:pPr>
              <w:spacing w:line="360" w:lineRule="auto"/>
              <w:ind w:firstLine="480" w:firstLineChars="200"/>
              <w:rPr>
                <w:rFonts w:hint="default" w:ascii="Times New Roman" w:hAnsi="Times New Roman" w:cs="Times New Roman" w:eastAsiaTheme="minorEastAsia"/>
                <w:color w:val="000000"/>
                <w:sz w:val="24"/>
              </w:rPr>
            </w:pPr>
            <w:r>
              <w:rPr>
                <w:rFonts w:hint="default" w:ascii="Times New Roman" w:hAnsi="Times New Roman" w:cs="Times New Roman" w:eastAsiaTheme="minorEastAsia"/>
                <w:color w:val="000000"/>
                <w:sz w:val="24"/>
              </w:rPr>
              <w:t>附件2  环评批复</w:t>
            </w:r>
          </w:p>
          <w:p w14:paraId="546C73F1">
            <w:pPr>
              <w:spacing w:line="360" w:lineRule="auto"/>
              <w:ind w:firstLine="480" w:firstLineChars="200"/>
              <w:rPr>
                <w:rFonts w:hint="default" w:ascii="Times New Roman" w:hAnsi="Times New Roman" w:cs="Times New Roman" w:eastAsiaTheme="minorEastAsia"/>
                <w:color w:val="000000"/>
                <w:sz w:val="24"/>
              </w:rPr>
            </w:pPr>
            <w:r>
              <w:rPr>
                <w:rFonts w:hint="default" w:ascii="Times New Roman" w:hAnsi="Times New Roman" w:cs="Times New Roman" w:eastAsiaTheme="minorEastAsia"/>
                <w:color w:val="000000"/>
                <w:sz w:val="24"/>
              </w:rPr>
              <w:t>附件3  初步设计的批复</w:t>
            </w:r>
          </w:p>
          <w:p w14:paraId="39AB9287">
            <w:pPr>
              <w:spacing w:line="360" w:lineRule="auto"/>
              <w:ind w:firstLine="480" w:firstLineChars="200"/>
              <w:rPr>
                <w:rFonts w:hint="default" w:ascii="Times New Roman" w:hAnsi="Times New Roman" w:cs="Times New Roman" w:eastAsiaTheme="minorEastAsia"/>
                <w:kern w:val="0"/>
                <w:sz w:val="24"/>
                <w:szCs w:val="20"/>
                <w:lang w:eastAsia="zh-CN"/>
              </w:rPr>
            </w:pPr>
            <w:r>
              <w:rPr>
                <w:rFonts w:hint="default" w:ascii="Times New Roman" w:hAnsi="Times New Roman" w:cs="Times New Roman" w:eastAsiaTheme="minorEastAsia"/>
                <w:color w:val="000000"/>
                <w:sz w:val="24"/>
              </w:rPr>
              <w:t xml:space="preserve">附件4  </w:t>
            </w:r>
            <w:r>
              <w:rPr>
                <w:rFonts w:hint="default" w:ascii="Times New Roman" w:hAnsi="Times New Roman" w:cs="Times New Roman" w:eastAsiaTheme="minorEastAsia"/>
                <w:color w:val="000000"/>
                <w:sz w:val="24"/>
                <w:lang w:eastAsia="zh-CN"/>
              </w:rPr>
              <w:t>项目岸线批复</w:t>
            </w:r>
          </w:p>
          <w:p w14:paraId="591D9727">
            <w:pPr>
              <w:spacing w:line="360" w:lineRule="auto"/>
              <w:ind w:firstLine="480" w:firstLineChars="200"/>
              <w:rPr>
                <w:rFonts w:hint="default" w:ascii="Times New Roman" w:hAnsi="Times New Roman" w:cs="Times New Roman" w:eastAsiaTheme="minorEastAsia"/>
                <w:color w:val="000000"/>
                <w:sz w:val="24"/>
                <w:lang w:eastAsia="zh-CN"/>
              </w:rPr>
            </w:pPr>
            <w:r>
              <w:rPr>
                <w:rFonts w:hint="default" w:ascii="Times New Roman" w:hAnsi="Times New Roman" w:cs="Times New Roman" w:eastAsiaTheme="minorEastAsia"/>
                <w:color w:val="000000"/>
                <w:sz w:val="24"/>
              </w:rPr>
              <w:t xml:space="preserve">附件5  </w:t>
            </w:r>
            <w:r>
              <w:rPr>
                <w:rFonts w:hint="default" w:ascii="Times New Roman" w:hAnsi="Times New Roman" w:cs="Times New Roman" w:eastAsiaTheme="minorEastAsia"/>
                <w:color w:val="000000"/>
                <w:sz w:val="24"/>
                <w:lang w:eastAsia="zh-CN"/>
              </w:rPr>
              <w:t>生活垃圾回收协议</w:t>
            </w:r>
          </w:p>
          <w:p w14:paraId="79C23421">
            <w:pPr>
              <w:spacing w:line="360" w:lineRule="auto"/>
              <w:ind w:firstLine="480" w:firstLineChars="200"/>
              <w:rPr>
                <w:rFonts w:hint="default" w:ascii="Times New Roman" w:hAnsi="Times New Roman" w:cs="Times New Roman" w:eastAsiaTheme="minorEastAsia"/>
                <w:color w:val="000000"/>
                <w:sz w:val="24"/>
              </w:rPr>
            </w:pPr>
            <w:r>
              <w:rPr>
                <w:rFonts w:hint="default" w:ascii="Times New Roman" w:hAnsi="Times New Roman" w:cs="Times New Roman" w:eastAsiaTheme="minorEastAsia"/>
                <w:color w:val="000000"/>
                <w:sz w:val="24"/>
              </w:rPr>
              <w:t>附件6  油污水回收协议2024</w:t>
            </w:r>
          </w:p>
          <w:p w14:paraId="0E7F2797">
            <w:pPr>
              <w:spacing w:line="360" w:lineRule="auto"/>
              <w:ind w:firstLine="480" w:firstLineChars="200"/>
              <w:rPr>
                <w:rFonts w:hint="default" w:ascii="Times New Roman" w:hAnsi="Times New Roman" w:cs="Times New Roman" w:eastAsiaTheme="minorEastAsia"/>
                <w:color w:val="000000"/>
                <w:sz w:val="24"/>
              </w:rPr>
            </w:pPr>
            <w:r>
              <w:rPr>
                <w:rFonts w:hint="default" w:ascii="Times New Roman" w:hAnsi="Times New Roman" w:cs="Times New Roman" w:eastAsiaTheme="minorEastAsia"/>
                <w:color w:val="000000"/>
                <w:sz w:val="24"/>
              </w:rPr>
              <w:t>附件7  防洪专项设计的审查意见</w:t>
            </w:r>
          </w:p>
          <w:p w14:paraId="483E6598">
            <w:pPr>
              <w:spacing w:line="360" w:lineRule="auto"/>
              <w:ind w:firstLine="480" w:firstLineChars="200"/>
              <w:rPr>
                <w:rFonts w:hint="default" w:ascii="Times New Roman" w:hAnsi="Times New Roman" w:cs="Times New Roman" w:eastAsiaTheme="minorEastAsia"/>
                <w:color w:val="000000"/>
                <w:sz w:val="24"/>
                <w:lang w:val="en-US" w:eastAsia="zh-CN"/>
              </w:rPr>
            </w:pPr>
            <w:r>
              <w:rPr>
                <w:rFonts w:hint="default" w:ascii="Times New Roman" w:hAnsi="Times New Roman" w:cs="Times New Roman" w:eastAsiaTheme="minorEastAsia"/>
                <w:color w:val="000000"/>
                <w:sz w:val="24"/>
                <w:lang w:eastAsia="zh-CN"/>
              </w:rPr>
              <w:t>附件</w:t>
            </w:r>
            <w:r>
              <w:rPr>
                <w:rFonts w:hint="default" w:ascii="Times New Roman" w:hAnsi="Times New Roman" w:cs="Times New Roman" w:eastAsiaTheme="minorEastAsia"/>
                <w:color w:val="000000"/>
                <w:sz w:val="24"/>
                <w:lang w:val="en-US" w:eastAsia="zh-CN"/>
              </w:rPr>
              <w:t>8  项目监测报告</w:t>
            </w:r>
          </w:p>
          <w:p w14:paraId="41900CBF">
            <w:pPr>
              <w:spacing w:line="360" w:lineRule="auto"/>
              <w:ind w:firstLine="480" w:firstLineChars="200"/>
              <w:jc w:val="left"/>
              <w:rPr>
                <w:rStyle w:val="74"/>
                <w:rFonts w:hint="default" w:ascii="Times New Roman" w:hAnsi="Times New Roman" w:eastAsia="宋体" w:cs="Times New Roman"/>
                <w:color w:val="auto"/>
                <w:sz w:val="24"/>
                <w:lang w:val="en-US" w:eastAsia="zh-CN"/>
              </w:rPr>
            </w:pPr>
            <w:bookmarkStart w:id="25" w:name="_GoBack"/>
            <w:r>
              <w:rPr>
                <w:rFonts w:hint="eastAsia" w:ascii="Times New Roman" w:hAnsi="Times New Roman" w:cs="Times New Roman" w:eastAsiaTheme="minorEastAsia"/>
                <w:color w:val="000000"/>
                <w:sz w:val="24"/>
                <w:lang w:eastAsia="zh-CN"/>
              </w:rPr>
              <w:t>附件</w:t>
            </w:r>
            <w:r>
              <w:rPr>
                <w:rFonts w:hint="eastAsia" w:ascii="Times New Roman" w:hAnsi="Times New Roman" w:cs="Times New Roman" w:eastAsiaTheme="minorEastAsia"/>
                <w:color w:val="000000"/>
                <w:sz w:val="24"/>
                <w:lang w:val="en-US" w:eastAsia="zh-CN"/>
              </w:rPr>
              <w:t>9</w:t>
            </w:r>
            <w:bookmarkEnd w:id="25"/>
            <w:r>
              <w:rPr>
                <w:rStyle w:val="74"/>
                <w:rFonts w:hint="eastAsia" w:cs="Times New Roman"/>
                <w:color w:val="auto"/>
                <w:sz w:val="24"/>
                <w:lang w:val="en-US" w:eastAsia="zh-CN"/>
              </w:rPr>
              <w:t xml:space="preserve">  其他需要说明的情况</w:t>
            </w:r>
          </w:p>
          <w:p w14:paraId="0C830722">
            <w:pPr>
              <w:spacing w:line="360" w:lineRule="auto"/>
              <w:ind w:firstLine="480" w:firstLineChars="200"/>
              <w:rPr>
                <w:rFonts w:hint="default" w:ascii="Times New Roman" w:hAnsi="Times New Roman" w:cs="Times New Roman" w:eastAsiaTheme="minorEastAsia"/>
                <w:color w:val="000000"/>
                <w:sz w:val="24"/>
              </w:rPr>
            </w:pPr>
            <w:r>
              <w:rPr>
                <w:rFonts w:hint="default" w:ascii="Times New Roman" w:hAnsi="Times New Roman" w:cs="Times New Roman" w:eastAsiaTheme="minorEastAsia"/>
                <w:color w:val="000000"/>
                <w:sz w:val="24"/>
              </w:rPr>
              <w:t>附图1  项目地理位置示意图</w:t>
            </w:r>
          </w:p>
          <w:p w14:paraId="7283C730">
            <w:pPr>
              <w:spacing w:line="360" w:lineRule="auto"/>
              <w:ind w:firstLine="480" w:firstLineChars="200"/>
              <w:rPr>
                <w:rFonts w:hint="default" w:ascii="Times New Roman" w:hAnsi="Times New Roman" w:cs="Times New Roman" w:eastAsiaTheme="minorEastAsia"/>
                <w:color w:val="000000"/>
                <w:sz w:val="24"/>
              </w:rPr>
            </w:pPr>
            <w:r>
              <w:rPr>
                <w:rFonts w:hint="default" w:ascii="Times New Roman" w:hAnsi="Times New Roman" w:cs="Times New Roman" w:eastAsiaTheme="minorEastAsia"/>
                <w:color w:val="000000"/>
                <w:sz w:val="24"/>
              </w:rPr>
              <w:t>附图2</w:t>
            </w:r>
            <w:r>
              <w:rPr>
                <w:rFonts w:hint="default" w:ascii="Times New Roman" w:hAnsi="Times New Roman" w:cs="Times New Roman" w:eastAsiaTheme="minorEastAsia"/>
                <w:color w:val="000000"/>
                <w:sz w:val="24"/>
                <w:lang w:val="en-US" w:eastAsia="zh-CN"/>
              </w:rPr>
              <w:t xml:space="preserve"> </w:t>
            </w:r>
            <w:r>
              <w:rPr>
                <w:rFonts w:hint="default" w:ascii="Times New Roman" w:hAnsi="Times New Roman" w:cs="Times New Roman" w:eastAsiaTheme="minorEastAsia"/>
                <w:color w:val="000000"/>
                <w:sz w:val="24"/>
              </w:rPr>
              <w:t xml:space="preserve"> 项目周边环境示意图</w:t>
            </w:r>
          </w:p>
          <w:p w14:paraId="2BA528EA">
            <w:pPr>
              <w:spacing w:line="360" w:lineRule="auto"/>
              <w:ind w:firstLine="480" w:firstLineChars="200"/>
              <w:rPr>
                <w:rFonts w:hint="default" w:ascii="Times New Roman" w:hAnsi="Times New Roman" w:cs="Times New Roman" w:eastAsiaTheme="minorEastAsia"/>
                <w:color w:val="000000"/>
                <w:sz w:val="24"/>
              </w:rPr>
            </w:pPr>
            <w:r>
              <w:rPr>
                <w:rFonts w:hint="default" w:ascii="Times New Roman" w:hAnsi="Times New Roman" w:cs="Times New Roman" w:eastAsiaTheme="minorEastAsia"/>
                <w:color w:val="000000"/>
                <w:sz w:val="24"/>
              </w:rPr>
              <w:t>附图</w:t>
            </w:r>
            <w:r>
              <w:rPr>
                <w:rFonts w:hint="default" w:ascii="Times New Roman" w:hAnsi="Times New Roman" w:cs="Times New Roman" w:eastAsiaTheme="minorEastAsia"/>
                <w:color w:val="000000"/>
                <w:sz w:val="24"/>
                <w:lang w:val="en-US" w:eastAsia="zh-CN"/>
              </w:rPr>
              <w:t>3</w:t>
            </w:r>
            <w:r>
              <w:rPr>
                <w:rFonts w:hint="default" w:ascii="Times New Roman" w:hAnsi="Times New Roman" w:cs="Times New Roman" w:eastAsiaTheme="minorEastAsia"/>
                <w:color w:val="000000"/>
                <w:sz w:val="24"/>
              </w:rPr>
              <w:t xml:space="preserve"> </w:t>
            </w:r>
            <w:r>
              <w:rPr>
                <w:rFonts w:hint="default" w:ascii="Times New Roman" w:hAnsi="Times New Roman" w:cs="Times New Roman" w:eastAsiaTheme="minorEastAsia"/>
                <w:color w:val="000000"/>
                <w:sz w:val="24"/>
                <w:lang w:val="en-US" w:eastAsia="zh-CN"/>
              </w:rPr>
              <w:t xml:space="preserve"> </w:t>
            </w:r>
            <w:r>
              <w:rPr>
                <w:rFonts w:hint="default" w:ascii="Times New Roman" w:hAnsi="Times New Roman" w:cs="Times New Roman" w:eastAsiaTheme="minorEastAsia"/>
                <w:color w:val="000000"/>
                <w:sz w:val="24"/>
              </w:rPr>
              <w:t>项目</w:t>
            </w:r>
            <w:r>
              <w:rPr>
                <w:rFonts w:hint="default" w:ascii="Times New Roman" w:hAnsi="Times New Roman" w:cs="Times New Roman" w:eastAsiaTheme="minorEastAsia"/>
                <w:color w:val="000000"/>
                <w:sz w:val="24"/>
                <w:lang w:eastAsia="zh-CN"/>
              </w:rPr>
              <w:t>趸船平面布置</w:t>
            </w:r>
            <w:r>
              <w:rPr>
                <w:rFonts w:hint="default" w:ascii="Times New Roman" w:hAnsi="Times New Roman" w:cs="Times New Roman" w:eastAsiaTheme="minorEastAsia"/>
                <w:color w:val="000000"/>
                <w:sz w:val="24"/>
              </w:rPr>
              <w:t>图</w:t>
            </w:r>
          </w:p>
          <w:p w14:paraId="597DABE7">
            <w:pPr>
              <w:spacing w:line="360" w:lineRule="auto"/>
              <w:ind w:firstLine="480" w:firstLineChars="200"/>
              <w:rPr>
                <w:rFonts w:hint="default" w:ascii="Times New Roman" w:hAnsi="Times New Roman" w:cs="Times New Roman" w:eastAsiaTheme="minorEastAsia"/>
                <w:color w:val="000000"/>
                <w:sz w:val="24"/>
              </w:rPr>
            </w:pPr>
            <w:r>
              <w:rPr>
                <w:rFonts w:hint="default" w:ascii="Times New Roman" w:hAnsi="Times New Roman" w:cs="Times New Roman" w:eastAsiaTheme="minorEastAsia"/>
                <w:color w:val="000000"/>
                <w:sz w:val="24"/>
              </w:rPr>
              <w:t>附图</w:t>
            </w:r>
            <w:r>
              <w:rPr>
                <w:rFonts w:hint="default" w:ascii="Times New Roman" w:hAnsi="Times New Roman" w:cs="Times New Roman" w:eastAsiaTheme="minorEastAsia"/>
                <w:color w:val="000000"/>
                <w:sz w:val="24"/>
                <w:lang w:val="en-US" w:eastAsia="zh-CN"/>
              </w:rPr>
              <w:t>4</w:t>
            </w:r>
            <w:r>
              <w:rPr>
                <w:rFonts w:hint="default" w:ascii="Times New Roman" w:hAnsi="Times New Roman" w:cs="Times New Roman" w:eastAsiaTheme="minorEastAsia"/>
                <w:color w:val="000000"/>
                <w:sz w:val="24"/>
              </w:rPr>
              <w:t xml:space="preserve">  项目</w:t>
            </w:r>
            <w:r>
              <w:rPr>
                <w:rFonts w:hint="default" w:ascii="Times New Roman" w:hAnsi="Times New Roman" w:cs="Times New Roman" w:eastAsiaTheme="minorEastAsia"/>
                <w:color w:val="000000"/>
                <w:sz w:val="24"/>
                <w:lang w:eastAsia="zh-CN"/>
              </w:rPr>
              <w:t>总</w:t>
            </w:r>
            <w:r>
              <w:rPr>
                <w:rFonts w:hint="default" w:ascii="Times New Roman" w:hAnsi="Times New Roman" w:cs="Times New Roman" w:eastAsiaTheme="minorEastAsia"/>
                <w:color w:val="000000"/>
                <w:sz w:val="24"/>
              </w:rPr>
              <w:t>平面布置图</w:t>
            </w:r>
          </w:p>
          <w:p w14:paraId="675B638A">
            <w:pPr>
              <w:spacing w:line="360" w:lineRule="auto"/>
              <w:ind w:firstLine="480" w:firstLineChars="200"/>
              <w:rPr>
                <w:rFonts w:hint="default" w:ascii="Times New Roman" w:hAnsi="Times New Roman" w:cs="Times New Roman" w:eastAsiaTheme="minorEastAsia"/>
                <w:color w:val="000000"/>
                <w:sz w:val="24"/>
              </w:rPr>
            </w:pPr>
            <w:r>
              <w:rPr>
                <w:rFonts w:hint="default" w:ascii="Times New Roman" w:hAnsi="Times New Roman" w:cs="Times New Roman" w:eastAsiaTheme="minorEastAsia"/>
                <w:color w:val="000000"/>
                <w:sz w:val="24"/>
              </w:rPr>
              <w:t>附图</w:t>
            </w:r>
            <w:r>
              <w:rPr>
                <w:rFonts w:hint="default" w:ascii="Times New Roman" w:hAnsi="Times New Roman" w:cs="Times New Roman" w:eastAsiaTheme="minorEastAsia"/>
                <w:color w:val="000000"/>
                <w:sz w:val="24"/>
                <w:lang w:val="en-US" w:eastAsia="zh-CN"/>
              </w:rPr>
              <w:t>5</w:t>
            </w:r>
            <w:r>
              <w:rPr>
                <w:rFonts w:hint="default" w:ascii="Times New Roman" w:hAnsi="Times New Roman" w:cs="Times New Roman" w:eastAsiaTheme="minorEastAsia"/>
                <w:color w:val="000000"/>
                <w:sz w:val="24"/>
              </w:rPr>
              <w:t xml:space="preserve">  项目所在地与饮用水源保护区相对位置图 </w:t>
            </w:r>
          </w:p>
          <w:p w14:paraId="2A7598F1">
            <w:pPr>
              <w:spacing w:line="360" w:lineRule="auto"/>
              <w:ind w:firstLine="480" w:firstLineChars="200"/>
              <w:rPr>
                <w:rFonts w:hint="default" w:ascii="Times New Roman" w:hAnsi="Times New Roman" w:cs="Times New Roman" w:eastAsiaTheme="minorEastAsia"/>
                <w:color w:val="000000"/>
                <w:sz w:val="24"/>
              </w:rPr>
            </w:pPr>
            <w:r>
              <w:rPr>
                <w:rFonts w:hint="default" w:ascii="Times New Roman" w:hAnsi="Times New Roman" w:cs="Times New Roman" w:eastAsiaTheme="minorEastAsia"/>
                <w:color w:val="000000"/>
                <w:sz w:val="24"/>
              </w:rPr>
              <w:t>附图</w:t>
            </w:r>
            <w:r>
              <w:rPr>
                <w:rFonts w:hint="default" w:ascii="Times New Roman" w:hAnsi="Times New Roman" w:cs="Times New Roman" w:eastAsiaTheme="minorEastAsia"/>
                <w:color w:val="000000"/>
                <w:sz w:val="24"/>
                <w:lang w:val="en-US" w:eastAsia="zh-CN"/>
              </w:rPr>
              <w:t>6</w:t>
            </w:r>
            <w:r>
              <w:rPr>
                <w:rFonts w:hint="default" w:ascii="Times New Roman" w:hAnsi="Times New Roman" w:cs="Times New Roman" w:eastAsiaTheme="minorEastAsia"/>
                <w:color w:val="000000"/>
                <w:sz w:val="24"/>
              </w:rPr>
              <w:t xml:space="preserve">  项目验收期间监测点位图</w:t>
            </w:r>
          </w:p>
          <w:p w14:paraId="71915863">
            <w:pPr>
              <w:spacing w:line="360" w:lineRule="auto"/>
              <w:ind w:firstLine="480" w:firstLineChars="200"/>
              <w:rPr>
                <w:rFonts w:hint="default" w:ascii="Times New Roman" w:hAnsi="Times New Roman" w:cs="Times New Roman" w:eastAsiaTheme="minorEastAsia"/>
                <w:color w:val="000000"/>
                <w:sz w:val="24"/>
                <w:lang w:val="en-US" w:eastAsia="zh-CN"/>
              </w:rPr>
            </w:pPr>
            <w:r>
              <w:rPr>
                <w:rFonts w:hint="default" w:ascii="Times New Roman" w:hAnsi="Times New Roman" w:cs="Times New Roman" w:eastAsiaTheme="minorEastAsia"/>
                <w:color w:val="000000"/>
                <w:sz w:val="24"/>
                <w:lang w:eastAsia="zh-CN"/>
              </w:rPr>
              <w:t>附图</w:t>
            </w:r>
            <w:r>
              <w:rPr>
                <w:rFonts w:hint="default" w:ascii="Times New Roman" w:hAnsi="Times New Roman" w:cs="Times New Roman" w:eastAsiaTheme="minorEastAsia"/>
                <w:color w:val="000000"/>
                <w:sz w:val="24"/>
                <w:lang w:val="en-US" w:eastAsia="zh-CN"/>
              </w:rPr>
              <w:t>7  项目污水排放路线图</w:t>
            </w:r>
          </w:p>
          <w:p w14:paraId="1D5201AD">
            <w:pPr>
              <w:spacing w:line="360" w:lineRule="auto"/>
              <w:ind w:firstLine="480" w:firstLineChars="200"/>
              <w:rPr>
                <w:rFonts w:hint="default" w:ascii="Times New Roman" w:hAnsi="Times New Roman" w:cs="Times New Roman" w:eastAsiaTheme="minorEastAsia"/>
                <w:color w:val="000000"/>
                <w:sz w:val="24"/>
                <w:lang w:val="en-US" w:eastAsia="zh-CN"/>
              </w:rPr>
            </w:pPr>
            <w:r>
              <w:rPr>
                <w:rFonts w:hint="default" w:ascii="Times New Roman" w:hAnsi="Times New Roman" w:cs="Times New Roman" w:eastAsiaTheme="minorEastAsia"/>
                <w:color w:val="000000"/>
                <w:sz w:val="24"/>
                <w:lang w:val="en-US" w:eastAsia="zh-CN"/>
              </w:rPr>
              <w:t>附图8  项目所在地与武汉市基本生态控制线位置图</w:t>
            </w:r>
          </w:p>
          <w:p w14:paraId="5D56FF22">
            <w:pPr>
              <w:spacing w:line="360" w:lineRule="auto"/>
              <w:ind w:firstLine="480" w:firstLineChars="200"/>
              <w:jc w:val="left"/>
              <w:rPr>
                <w:rStyle w:val="74"/>
                <w:rFonts w:hint="default" w:ascii="Times New Roman" w:hAnsi="Times New Roman" w:cs="Times New Roman"/>
                <w:color w:val="auto"/>
                <w:sz w:val="24"/>
                <w:lang w:val="en-US" w:eastAsia="zh-CN"/>
              </w:rPr>
            </w:pPr>
            <w:r>
              <w:rPr>
                <w:rStyle w:val="74"/>
                <w:rFonts w:hint="default" w:ascii="Times New Roman" w:hAnsi="Times New Roman" w:cs="Times New Roman"/>
                <w:color w:val="auto"/>
                <w:sz w:val="24"/>
                <w:lang w:eastAsia="zh-CN"/>
              </w:rPr>
              <w:t>附图</w:t>
            </w:r>
            <w:r>
              <w:rPr>
                <w:rStyle w:val="74"/>
                <w:rFonts w:hint="default" w:ascii="Times New Roman" w:hAnsi="Times New Roman" w:cs="Times New Roman"/>
                <w:color w:val="auto"/>
                <w:sz w:val="24"/>
                <w:lang w:val="en-US" w:eastAsia="zh-CN"/>
              </w:rPr>
              <w:t>9  项目给排水路线图</w:t>
            </w:r>
          </w:p>
          <w:p w14:paraId="211E0360">
            <w:pPr>
              <w:spacing w:line="360" w:lineRule="auto"/>
              <w:ind w:firstLine="480" w:firstLineChars="200"/>
              <w:jc w:val="left"/>
              <w:rPr>
                <w:rStyle w:val="74"/>
                <w:rFonts w:hint="default" w:ascii="Times New Roman" w:hAnsi="Times New Roman" w:cs="Times New Roman"/>
                <w:color w:val="auto"/>
                <w:sz w:val="24"/>
                <w:lang w:val="en-US" w:eastAsia="zh-CN"/>
              </w:rPr>
            </w:pPr>
            <w:r>
              <w:rPr>
                <w:rStyle w:val="74"/>
                <w:rFonts w:hint="default" w:ascii="Times New Roman" w:hAnsi="Times New Roman" w:cs="Times New Roman"/>
                <w:color w:val="auto"/>
                <w:sz w:val="24"/>
                <w:lang w:val="en-US" w:eastAsia="zh-CN"/>
              </w:rPr>
              <w:t>附图10 项目与长江中游武汉河段岸线功能分区规划示意图</w:t>
            </w:r>
          </w:p>
          <w:p w14:paraId="421FCBFB">
            <w:pPr>
              <w:spacing w:line="360" w:lineRule="auto"/>
              <w:ind w:firstLine="480" w:firstLineChars="200"/>
              <w:jc w:val="left"/>
              <w:rPr>
                <w:rStyle w:val="74"/>
                <w:rFonts w:hint="default" w:ascii="Times New Roman" w:hAnsi="Times New Roman" w:cs="Times New Roman"/>
                <w:color w:val="auto"/>
                <w:sz w:val="24"/>
                <w:lang w:val="en-US" w:eastAsia="zh-CN"/>
              </w:rPr>
            </w:pPr>
            <w:r>
              <w:rPr>
                <w:rStyle w:val="74"/>
                <w:rFonts w:hint="default" w:ascii="Times New Roman" w:hAnsi="Times New Roman" w:cs="Times New Roman"/>
                <w:color w:val="auto"/>
                <w:sz w:val="24"/>
                <w:lang w:val="en-US" w:eastAsia="zh-CN"/>
              </w:rPr>
              <w:t>附图11 项目所在地与生态保护红线相对位置图</w:t>
            </w:r>
          </w:p>
          <w:p w14:paraId="73DF38E8">
            <w:pPr>
              <w:spacing w:line="360" w:lineRule="auto"/>
              <w:jc w:val="left"/>
              <w:rPr>
                <w:rFonts w:hint="default" w:ascii="Times New Roman" w:hAnsi="Times New Roman" w:cs="Times New Roman"/>
              </w:rPr>
            </w:pPr>
            <w:r>
              <w:rPr>
                <w:rStyle w:val="74"/>
                <w:rFonts w:hint="default" w:ascii="Times New Roman" w:hAnsi="Times New Roman" w:cs="Times New Roman"/>
                <w:color w:val="auto"/>
                <w:sz w:val="24"/>
              </w:rPr>
              <w:t>二、 如果本调查表不能说明建设项目对环境造成的影响及措施实施情况，应根据建设项目的特点和当地环境特征，结合环境影响评价阶段情况进行专项评价，专项评价可按照本规范中的相应影响因素调查的要求进行。</w:t>
            </w:r>
          </w:p>
        </w:tc>
      </w:tr>
    </w:tbl>
    <w:p w14:paraId="68CDE8A8"/>
    <w:sectPr>
      <w:pgSz w:w="11906" w:h="16838"/>
      <w:pgMar w:top="1418" w:right="1418" w:bottom="1418" w:left="1418" w:header="851" w:footer="992" w:gutter="0"/>
      <w:pgBorders>
        <w:top w:val="none" w:sz="0" w:space="0"/>
        <w:left w:val="none" w:sz="0" w:space="0"/>
        <w:bottom w:val="none" w:sz="0" w:space="0"/>
        <w:right w:val="none" w:sz="0" w:space="0"/>
      </w:pgBorders>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libri Light">
    <w:panose1 w:val="020F0302020204030204"/>
    <w:charset w:val="00"/>
    <w:family w:val="swiss"/>
    <w:pitch w:val="default"/>
    <w:sig w:usb0="A00002EF" w:usb1="4000207B" w:usb2="00000000" w:usb3="00000000" w:csb0="2000019F" w:csb1="00000000"/>
  </w:font>
  <w:font w:name="Cambria">
    <w:panose1 w:val="020405030504060A0204"/>
    <w:charset w:val="00"/>
    <w:family w:val="roman"/>
    <w:pitch w:val="default"/>
    <w:sig w:usb0="E00002FF" w:usb1="4000045F" w:usb2="00000000" w:usb3="00000000" w:csb0="2000019F" w:csb1="00000000"/>
  </w:font>
  <w:font w:name="仿宋_GB2312">
    <w:panose1 w:val="02010609030101010101"/>
    <w:charset w:val="86"/>
    <w:family w:val="modern"/>
    <w:pitch w:val="default"/>
    <w:sig w:usb0="00000001" w:usb1="080E0000" w:usb2="00000000" w:usb3="00000000" w:csb0="00040000" w:csb1="00000000"/>
  </w:font>
  <w:font w:name="华文仿宋">
    <w:panose1 w:val="02010600040101010101"/>
    <w:charset w:val="86"/>
    <w:family w:val="auto"/>
    <w:pitch w:val="default"/>
    <w:sig w:usb0="00000287" w:usb1="080F0000" w:usb2="00000000" w:usb3="00000000" w:csb0="0004009F" w:csb1="DFD7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80F3C52" w:usb2="00000016" w:usb3="00000000" w:csb0="0004001F" w:csb1="00000000"/>
  </w:font>
  <w:font w:name="楷体_GB2312">
    <w:panose1 w:val="02010609030101010101"/>
    <w:charset w:val="86"/>
    <w:family w:val="modern"/>
    <w:pitch w:val="default"/>
    <w:sig w:usb0="00000001" w:usb1="080E0000" w:usb2="00000000" w:usb3="00000000" w:csb0="00040000" w:csb1="00000000"/>
  </w:font>
  <w:font w:name="华文新魏">
    <w:panose1 w:val="02010800040101010101"/>
    <w:charset w:val="86"/>
    <w:family w:val="auto"/>
    <w:pitch w:val="default"/>
    <w:sig w:usb0="00000001" w:usb1="080F0000" w:usb2="00000000" w:usb3="00000000" w:csb0="00040000" w:csb1="00000000"/>
  </w:font>
  <w:font w:name="华文中宋">
    <w:panose1 w:val="02010600040101010101"/>
    <w:charset w:val="86"/>
    <w:family w:val="auto"/>
    <w:pitch w:val="default"/>
    <w:sig w:usb0="00000287" w:usb1="080F0000" w:usb2="00000000" w:usb3="00000000" w:csb0="0004009F" w:csb1="DFD7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E6FF18">
    <w:pPr>
      <w:pStyle w:val="15"/>
      <w:framePr w:wrap="around" w:vAnchor="text" w:hAnchor="margin" w:xAlign="center" w:y="1"/>
      <w:rPr>
        <w:rStyle w:val="27"/>
      </w:rPr>
    </w:pPr>
    <w:r>
      <w:fldChar w:fldCharType="begin"/>
    </w:r>
    <w:r>
      <w:rPr>
        <w:rStyle w:val="27"/>
      </w:rPr>
      <w:instrText xml:space="preserve">PAGE  </w:instrText>
    </w:r>
    <w:r>
      <w:fldChar w:fldCharType="end"/>
    </w:r>
  </w:p>
  <w:p w14:paraId="4DF5A892">
    <w:pPr>
      <w:pStyle w:val="1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F5CFDA">
    <w:pPr>
      <w:pBdr>
        <w:top w:val="thinThickSmallGap" w:color="auto" w:sz="24" w:space="1"/>
      </w:pBdr>
    </w:pPr>
    <w:r>
      <w:rPr>
        <w:rFonts w:hint="eastAsia" w:ascii="宋体" w:hAnsi="宋体"/>
        <w:sz w:val="18"/>
        <w:szCs w:val="18"/>
        <w:lang w:eastAsia="zh-CN"/>
      </w:rPr>
      <w:t>武汉智汇元环保科技有限公司</w:t>
    </w:r>
    <w:r>
      <w:rPr>
        <w:rFonts w:hint="eastAsia" w:ascii="宋体" w:hAnsi="宋体"/>
        <w:sz w:val="18"/>
        <w:szCs w:val="18"/>
      </w:rPr>
      <w:t xml:space="preserve">                                                         </w:t>
    </w:r>
    <w:r>
      <w:rPr>
        <w:sz w:val="18"/>
        <w:szCs w:val="18"/>
      </w:rPr>
      <w:t xml:space="preserve"> 第</w:t>
    </w:r>
    <w:r>
      <w:rPr>
        <w:sz w:val="18"/>
        <w:szCs w:val="18"/>
      </w:rPr>
      <w:fldChar w:fldCharType="begin"/>
    </w:r>
    <w:r>
      <w:rPr>
        <w:sz w:val="18"/>
        <w:szCs w:val="18"/>
      </w:rPr>
      <w:instrText xml:space="preserve"> PAGE </w:instrText>
    </w:r>
    <w:r>
      <w:rPr>
        <w:sz w:val="18"/>
        <w:szCs w:val="18"/>
      </w:rPr>
      <w:fldChar w:fldCharType="separate"/>
    </w:r>
    <w:r>
      <w:rPr>
        <w:sz w:val="18"/>
        <w:szCs w:val="18"/>
      </w:rPr>
      <w:t>1</w:t>
    </w:r>
    <w:r>
      <w:rPr>
        <w:sz w:val="18"/>
        <w:szCs w:val="18"/>
      </w:rPr>
      <w:fldChar w:fldCharType="end"/>
    </w:r>
    <w:r>
      <w:rPr>
        <w:sz w:val="18"/>
        <w:szCs w:val="18"/>
      </w:rPr>
      <w:t xml:space="preserve">页 </w:t>
    </w:r>
    <w:r>
      <w:rPr>
        <w:sz w:val="18"/>
        <w:szCs w:val="18"/>
        <w:lang w:val="zh-CN"/>
      </w:rPr>
      <w:t>共</w:t>
    </w:r>
    <w:r>
      <w:rPr>
        <w:rFonts w:hint="eastAsia"/>
        <w:sz w:val="18"/>
        <w:szCs w:val="18"/>
      </w:rPr>
      <w:t>41</w:t>
    </w:r>
    <w:r>
      <w:rPr>
        <w:sz w:val="18"/>
        <w:szCs w:val="18"/>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1B065E">
    <w:pPr>
      <w:pStyle w:val="1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25D388">
    <w:pPr>
      <w:pStyle w:val="16"/>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75FB3C">
    <w:pPr>
      <w:pStyle w:val="16"/>
      <w:pBdr>
        <w:bottom w:val="thickThinSmallGap" w:color="auto" w:sz="24" w:space="1"/>
      </w:pBdr>
    </w:pPr>
    <w:r>
      <w:rPr>
        <w:rFonts w:hint="eastAsia"/>
        <w:color w:val="000000"/>
        <w:lang w:eastAsia="zh-CN"/>
      </w:rPr>
      <w:t>武汉港核心区趸船码头改造提升项目（中华路客运码头）</w:t>
    </w:r>
    <w:r>
      <w:rPr>
        <w:rFonts w:hint="eastAsia"/>
        <w:color w:val="000000"/>
      </w:rPr>
      <w:t>竣工环境保护验收调查报告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3F55CC2"/>
    <w:multiLevelType w:val="multilevel"/>
    <w:tmpl w:val="13F55CC2"/>
    <w:lvl w:ilvl="0" w:tentative="0">
      <w:start w:val="1"/>
      <w:numFmt w:val="decimalEnclosedCircle"/>
      <w:lvlText w:val="%1"/>
      <w:lvlJc w:val="left"/>
      <w:pPr>
        <w:ind w:left="360" w:hanging="360"/>
      </w:pPr>
      <w:rPr>
        <w:rFonts w:hint="default" w:cs="Times New Roman" w:asciiTheme="minorEastAsia" w:hAnsiTheme="minorEastAsia" w:eastAsiaTheme="minor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26857F85"/>
    <w:multiLevelType w:val="multilevel"/>
    <w:tmpl w:val="26857F85"/>
    <w:lvl w:ilvl="0" w:tentative="0">
      <w:start w:val="1"/>
      <w:numFmt w:val="decimal"/>
      <w:lvlText w:val="（%1）"/>
      <w:lvlJc w:val="left"/>
      <w:pPr>
        <w:ind w:left="1124" w:hanging="420"/>
      </w:pPr>
      <w:rPr>
        <w:rFonts w:hint="eastAsia"/>
      </w:rPr>
    </w:lvl>
    <w:lvl w:ilvl="1" w:tentative="0">
      <w:start w:val="1"/>
      <w:numFmt w:val="lowerLetter"/>
      <w:lvlText w:val="%2)"/>
      <w:lvlJc w:val="left"/>
      <w:pPr>
        <w:ind w:left="1544" w:hanging="420"/>
      </w:pPr>
    </w:lvl>
    <w:lvl w:ilvl="2" w:tentative="0">
      <w:start w:val="1"/>
      <w:numFmt w:val="lowerRoman"/>
      <w:lvlText w:val="%3."/>
      <w:lvlJc w:val="right"/>
      <w:pPr>
        <w:ind w:left="1964" w:hanging="420"/>
      </w:pPr>
    </w:lvl>
    <w:lvl w:ilvl="3" w:tentative="0">
      <w:start w:val="1"/>
      <w:numFmt w:val="decimal"/>
      <w:lvlText w:val="%4."/>
      <w:lvlJc w:val="left"/>
      <w:pPr>
        <w:ind w:left="2384" w:hanging="420"/>
      </w:pPr>
    </w:lvl>
    <w:lvl w:ilvl="4" w:tentative="0">
      <w:start w:val="1"/>
      <w:numFmt w:val="lowerLetter"/>
      <w:lvlText w:val="%5)"/>
      <w:lvlJc w:val="left"/>
      <w:pPr>
        <w:ind w:left="2804" w:hanging="420"/>
      </w:pPr>
    </w:lvl>
    <w:lvl w:ilvl="5" w:tentative="0">
      <w:start w:val="1"/>
      <w:numFmt w:val="lowerRoman"/>
      <w:lvlText w:val="%6."/>
      <w:lvlJc w:val="right"/>
      <w:pPr>
        <w:ind w:left="3224" w:hanging="420"/>
      </w:pPr>
    </w:lvl>
    <w:lvl w:ilvl="6" w:tentative="0">
      <w:start w:val="1"/>
      <w:numFmt w:val="decimal"/>
      <w:lvlText w:val="%7."/>
      <w:lvlJc w:val="left"/>
      <w:pPr>
        <w:ind w:left="3644" w:hanging="420"/>
      </w:pPr>
    </w:lvl>
    <w:lvl w:ilvl="7" w:tentative="0">
      <w:start w:val="1"/>
      <w:numFmt w:val="lowerLetter"/>
      <w:lvlText w:val="%8)"/>
      <w:lvlJc w:val="left"/>
      <w:pPr>
        <w:ind w:left="4064" w:hanging="420"/>
      </w:pPr>
    </w:lvl>
    <w:lvl w:ilvl="8" w:tentative="0">
      <w:start w:val="1"/>
      <w:numFmt w:val="lowerRoman"/>
      <w:lvlText w:val="%9."/>
      <w:lvlJc w:val="right"/>
      <w:pPr>
        <w:ind w:left="4484" w:hanging="420"/>
      </w:pPr>
    </w:lvl>
  </w:abstractNum>
  <w:abstractNum w:abstractNumId="2">
    <w:nsid w:val="490A5685"/>
    <w:multiLevelType w:val="multilevel"/>
    <w:tmpl w:val="490A5685"/>
    <w:lvl w:ilvl="0" w:tentative="0">
      <w:start w:val="1"/>
      <w:numFmt w:val="decimalEnclosedCircle"/>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Y5YTRhZmI5YjI5YzkwMDA3MzQwMGUxNTc0YjcxNDUifQ=="/>
  </w:docVars>
  <w:rsids>
    <w:rsidRoot w:val="00743801"/>
    <w:rsid w:val="00001FD0"/>
    <w:rsid w:val="000032A2"/>
    <w:rsid w:val="00006194"/>
    <w:rsid w:val="00007776"/>
    <w:rsid w:val="000105C3"/>
    <w:rsid w:val="00012A71"/>
    <w:rsid w:val="00016EDD"/>
    <w:rsid w:val="000202A7"/>
    <w:rsid w:val="00024297"/>
    <w:rsid w:val="00024CB7"/>
    <w:rsid w:val="0002641B"/>
    <w:rsid w:val="000274B7"/>
    <w:rsid w:val="0002777B"/>
    <w:rsid w:val="00031B1E"/>
    <w:rsid w:val="000336E0"/>
    <w:rsid w:val="000338A8"/>
    <w:rsid w:val="000346A0"/>
    <w:rsid w:val="00034D7A"/>
    <w:rsid w:val="00036227"/>
    <w:rsid w:val="00036281"/>
    <w:rsid w:val="0003645C"/>
    <w:rsid w:val="000443CE"/>
    <w:rsid w:val="000446F4"/>
    <w:rsid w:val="000463FF"/>
    <w:rsid w:val="00046C17"/>
    <w:rsid w:val="00047B73"/>
    <w:rsid w:val="00047C27"/>
    <w:rsid w:val="000500CE"/>
    <w:rsid w:val="00050522"/>
    <w:rsid w:val="00050C88"/>
    <w:rsid w:val="00051BBA"/>
    <w:rsid w:val="00052105"/>
    <w:rsid w:val="00052E12"/>
    <w:rsid w:val="000554EC"/>
    <w:rsid w:val="00055A56"/>
    <w:rsid w:val="00055DA4"/>
    <w:rsid w:val="000605FE"/>
    <w:rsid w:val="00063CA4"/>
    <w:rsid w:val="00065E88"/>
    <w:rsid w:val="000673E1"/>
    <w:rsid w:val="00071E7D"/>
    <w:rsid w:val="000753A3"/>
    <w:rsid w:val="0008067F"/>
    <w:rsid w:val="000814A1"/>
    <w:rsid w:val="000819E8"/>
    <w:rsid w:val="00082255"/>
    <w:rsid w:val="000834A5"/>
    <w:rsid w:val="0008717A"/>
    <w:rsid w:val="00090206"/>
    <w:rsid w:val="0009141C"/>
    <w:rsid w:val="00092791"/>
    <w:rsid w:val="000927AD"/>
    <w:rsid w:val="000931F3"/>
    <w:rsid w:val="000932D2"/>
    <w:rsid w:val="000950BA"/>
    <w:rsid w:val="00096F9A"/>
    <w:rsid w:val="00097722"/>
    <w:rsid w:val="000977AE"/>
    <w:rsid w:val="000A1CC2"/>
    <w:rsid w:val="000A2A95"/>
    <w:rsid w:val="000A4C64"/>
    <w:rsid w:val="000A5977"/>
    <w:rsid w:val="000B0310"/>
    <w:rsid w:val="000B0DFC"/>
    <w:rsid w:val="000B0F7B"/>
    <w:rsid w:val="000B2E80"/>
    <w:rsid w:val="000B4500"/>
    <w:rsid w:val="000B480A"/>
    <w:rsid w:val="000B5123"/>
    <w:rsid w:val="000B58C0"/>
    <w:rsid w:val="000C00BD"/>
    <w:rsid w:val="000C0918"/>
    <w:rsid w:val="000C294D"/>
    <w:rsid w:val="000C3E4D"/>
    <w:rsid w:val="000D22F9"/>
    <w:rsid w:val="000D249F"/>
    <w:rsid w:val="000D4552"/>
    <w:rsid w:val="000D4708"/>
    <w:rsid w:val="000D5331"/>
    <w:rsid w:val="000D58BE"/>
    <w:rsid w:val="000D59E6"/>
    <w:rsid w:val="000D5B6B"/>
    <w:rsid w:val="000D6120"/>
    <w:rsid w:val="000D7151"/>
    <w:rsid w:val="000D7C67"/>
    <w:rsid w:val="000E0C6A"/>
    <w:rsid w:val="000E2418"/>
    <w:rsid w:val="000E2988"/>
    <w:rsid w:val="000E324F"/>
    <w:rsid w:val="000E3B4C"/>
    <w:rsid w:val="000E3E68"/>
    <w:rsid w:val="000E5BE8"/>
    <w:rsid w:val="000E6051"/>
    <w:rsid w:val="000E6D6B"/>
    <w:rsid w:val="000E7A99"/>
    <w:rsid w:val="000E7DAC"/>
    <w:rsid w:val="000F0B38"/>
    <w:rsid w:val="000F14C9"/>
    <w:rsid w:val="000F3B1E"/>
    <w:rsid w:val="000F5135"/>
    <w:rsid w:val="000F5DBF"/>
    <w:rsid w:val="000F5FB2"/>
    <w:rsid w:val="000F72A2"/>
    <w:rsid w:val="001007F2"/>
    <w:rsid w:val="00100A97"/>
    <w:rsid w:val="00101599"/>
    <w:rsid w:val="00102883"/>
    <w:rsid w:val="00103A42"/>
    <w:rsid w:val="00104D35"/>
    <w:rsid w:val="00110530"/>
    <w:rsid w:val="00111451"/>
    <w:rsid w:val="0011558C"/>
    <w:rsid w:val="00117C9A"/>
    <w:rsid w:val="00120E4E"/>
    <w:rsid w:val="00122815"/>
    <w:rsid w:val="00122FF9"/>
    <w:rsid w:val="001238AE"/>
    <w:rsid w:val="00123F8C"/>
    <w:rsid w:val="001244D8"/>
    <w:rsid w:val="00125BFA"/>
    <w:rsid w:val="0012610F"/>
    <w:rsid w:val="001263B7"/>
    <w:rsid w:val="00126D43"/>
    <w:rsid w:val="0012799F"/>
    <w:rsid w:val="001311B4"/>
    <w:rsid w:val="0013206B"/>
    <w:rsid w:val="00132202"/>
    <w:rsid w:val="00132C6C"/>
    <w:rsid w:val="00133604"/>
    <w:rsid w:val="00133D71"/>
    <w:rsid w:val="00137554"/>
    <w:rsid w:val="00137E7B"/>
    <w:rsid w:val="00140364"/>
    <w:rsid w:val="00143519"/>
    <w:rsid w:val="001447D7"/>
    <w:rsid w:val="00147B49"/>
    <w:rsid w:val="00147E77"/>
    <w:rsid w:val="00152015"/>
    <w:rsid w:val="001530ED"/>
    <w:rsid w:val="00153257"/>
    <w:rsid w:val="001536FA"/>
    <w:rsid w:val="001538AE"/>
    <w:rsid w:val="001544B8"/>
    <w:rsid w:val="001546FD"/>
    <w:rsid w:val="00154B9F"/>
    <w:rsid w:val="00154F9F"/>
    <w:rsid w:val="00157746"/>
    <w:rsid w:val="00157C50"/>
    <w:rsid w:val="0016154B"/>
    <w:rsid w:val="00163018"/>
    <w:rsid w:val="0016304F"/>
    <w:rsid w:val="00163366"/>
    <w:rsid w:val="00163A42"/>
    <w:rsid w:val="00163E33"/>
    <w:rsid w:val="00165D25"/>
    <w:rsid w:val="00166B3B"/>
    <w:rsid w:val="00166FBB"/>
    <w:rsid w:val="00167AAE"/>
    <w:rsid w:val="00167C27"/>
    <w:rsid w:val="001707A4"/>
    <w:rsid w:val="001709B5"/>
    <w:rsid w:val="00171376"/>
    <w:rsid w:val="00171AF2"/>
    <w:rsid w:val="001764B7"/>
    <w:rsid w:val="00176C3B"/>
    <w:rsid w:val="00177850"/>
    <w:rsid w:val="0018050F"/>
    <w:rsid w:val="0018130D"/>
    <w:rsid w:val="001816A0"/>
    <w:rsid w:val="00181B2E"/>
    <w:rsid w:val="001822B0"/>
    <w:rsid w:val="001823FA"/>
    <w:rsid w:val="001828CE"/>
    <w:rsid w:val="00182912"/>
    <w:rsid w:val="00185D88"/>
    <w:rsid w:val="00186DEF"/>
    <w:rsid w:val="00190B52"/>
    <w:rsid w:val="0019207F"/>
    <w:rsid w:val="0019262C"/>
    <w:rsid w:val="0019309F"/>
    <w:rsid w:val="00193A00"/>
    <w:rsid w:val="00194D15"/>
    <w:rsid w:val="00195C08"/>
    <w:rsid w:val="00196765"/>
    <w:rsid w:val="001973A6"/>
    <w:rsid w:val="001A037C"/>
    <w:rsid w:val="001A0FF7"/>
    <w:rsid w:val="001A15E4"/>
    <w:rsid w:val="001A36F7"/>
    <w:rsid w:val="001A526C"/>
    <w:rsid w:val="001A7CA6"/>
    <w:rsid w:val="001A7EB1"/>
    <w:rsid w:val="001B10FE"/>
    <w:rsid w:val="001B197B"/>
    <w:rsid w:val="001B2972"/>
    <w:rsid w:val="001B4098"/>
    <w:rsid w:val="001B602D"/>
    <w:rsid w:val="001B792B"/>
    <w:rsid w:val="001C0C3E"/>
    <w:rsid w:val="001C2CC6"/>
    <w:rsid w:val="001C47B3"/>
    <w:rsid w:val="001C4D67"/>
    <w:rsid w:val="001C5279"/>
    <w:rsid w:val="001C5691"/>
    <w:rsid w:val="001C6FEE"/>
    <w:rsid w:val="001C7A8C"/>
    <w:rsid w:val="001D001A"/>
    <w:rsid w:val="001D06C1"/>
    <w:rsid w:val="001D24E4"/>
    <w:rsid w:val="001D4DCF"/>
    <w:rsid w:val="001D57EC"/>
    <w:rsid w:val="001E0490"/>
    <w:rsid w:val="001E04AA"/>
    <w:rsid w:val="001E15E6"/>
    <w:rsid w:val="001E178C"/>
    <w:rsid w:val="001E378B"/>
    <w:rsid w:val="001E389D"/>
    <w:rsid w:val="001E39EB"/>
    <w:rsid w:val="001E3FC6"/>
    <w:rsid w:val="001E4678"/>
    <w:rsid w:val="001E59ED"/>
    <w:rsid w:val="001E6D35"/>
    <w:rsid w:val="001E6F6D"/>
    <w:rsid w:val="001E7452"/>
    <w:rsid w:val="001F0586"/>
    <w:rsid w:val="001F2AE7"/>
    <w:rsid w:val="001F4416"/>
    <w:rsid w:val="001F5535"/>
    <w:rsid w:val="001F6A57"/>
    <w:rsid w:val="001F6E3F"/>
    <w:rsid w:val="002001AD"/>
    <w:rsid w:val="0020135E"/>
    <w:rsid w:val="00201741"/>
    <w:rsid w:val="002054E1"/>
    <w:rsid w:val="002058B3"/>
    <w:rsid w:val="00205BC0"/>
    <w:rsid w:val="00205E43"/>
    <w:rsid w:val="00206135"/>
    <w:rsid w:val="00206DA8"/>
    <w:rsid w:val="00206F58"/>
    <w:rsid w:val="002074E1"/>
    <w:rsid w:val="002103D3"/>
    <w:rsid w:val="00211126"/>
    <w:rsid w:val="0021163E"/>
    <w:rsid w:val="00212F33"/>
    <w:rsid w:val="002140C3"/>
    <w:rsid w:val="00217684"/>
    <w:rsid w:val="00217730"/>
    <w:rsid w:val="00220653"/>
    <w:rsid w:val="00221F07"/>
    <w:rsid w:val="00222217"/>
    <w:rsid w:val="002227DB"/>
    <w:rsid w:val="00225887"/>
    <w:rsid w:val="0022600D"/>
    <w:rsid w:val="00227B3D"/>
    <w:rsid w:val="002303B8"/>
    <w:rsid w:val="00234E21"/>
    <w:rsid w:val="0024242B"/>
    <w:rsid w:val="00242730"/>
    <w:rsid w:val="00243576"/>
    <w:rsid w:val="0024624F"/>
    <w:rsid w:val="00247BA2"/>
    <w:rsid w:val="002515FE"/>
    <w:rsid w:val="0025198E"/>
    <w:rsid w:val="00252238"/>
    <w:rsid w:val="00252985"/>
    <w:rsid w:val="00253163"/>
    <w:rsid w:val="00254BF9"/>
    <w:rsid w:val="00256FF9"/>
    <w:rsid w:val="0026180F"/>
    <w:rsid w:val="00264071"/>
    <w:rsid w:val="00265CA8"/>
    <w:rsid w:val="002662BE"/>
    <w:rsid w:val="002677F9"/>
    <w:rsid w:val="0026790C"/>
    <w:rsid w:val="002705DA"/>
    <w:rsid w:val="0027149F"/>
    <w:rsid w:val="002754FF"/>
    <w:rsid w:val="0027648D"/>
    <w:rsid w:val="0027766C"/>
    <w:rsid w:val="002802AF"/>
    <w:rsid w:val="00280D90"/>
    <w:rsid w:val="00280FCA"/>
    <w:rsid w:val="00281038"/>
    <w:rsid w:val="00281A51"/>
    <w:rsid w:val="00282CBE"/>
    <w:rsid w:val="0028339E"/>
    <w:rsid w:val="00285BD6"/>
    <w:rsid w:val="00290145"/>
    <w:rsid w:val="00290FE5"/>
    <w:rsid w:val="00291E3E"/>
    <w:rsid w:val="002930AA"/>
    <w:rsid w:val="0029493F"/>
    <w:rsid w:val="002950C9"/>
    <w:rsid w:val="00296A6A"/>
    <w:rsid w:val="00296D24"/>
    <w:rsid w:val="002973B8"/>
    <w:rsid w:val="00297D4A"/>
    <w:rsid w:val="002A07A9"/>
    <w:rsid w:val="002A0E32"/>
    <w:rsid w:val="002A688D"/>
    <w:rsid w:val="002B03A1"/>
    <w:rsid w:val="002B08E6"/>
    <w:rsid w:val="002B116D"/>
    <w:rsid w:val="002B1468"/>
    <w:rsid w:val="002B313D"/>
    <w:rsid w:val="002B3661"/>
    <w:rsid w:val="002B42C3"/>
    <w:rsid w:val="002B501C"/>
    <w:rsid w:val="002B5269"/>
    <w:rsid w:val="002B5F5A"/>
    <w:rsid w:val="002B6D1E"/>
    <w:rsid w:val="002C0D93"/>
    <w:rsid w:val="002C19E1"/>
    <w:rsid w:val="002C2148"/>
    <w:rsid w:val="002C2A21"/>
    <w:rsid w:val="002C2D6C"/>
    <w:rsid w:val="002C32C0"/>
    <w:rsid w:val="002C3571"/>
    <w:rsid w:val="002C3BC7"/>
    <w:rsid w:val="002C3EEC"/>
    <w:rsid w:val="002C4A77"/>
    <w:rsid w:val="002C4EF9"/>
    <w:rsid w:val="002C5287"/>
    <w:rsid w:val="002C55E1"/>
    <w:rsid w:val="002C5F17"/>
    <w:rsid w:val="002C601F"/>
    <w:rsid w:val="002C76C4"/>
    <w:rsid w:val="002D0B7D"/>
    <w:rsid w:val="002D1CE6"/>
    <w:rsid w:val="002D2136"/>
    <w:rsid w:val="002D23E3"/>
    <w:rsid w:val="002D54A6"/>
    <w:rsid w:val="002D6E27"/>
    <w:rsid w:val="002E01F7"/>
    <w:rsid w:val="002E0642"/>
    <w:rsid w:val="002E199C"/>
    <w:rsid w:val="002E1F23"/>
    <w:rsid w:val="002E24BA"/>
    <w:rsid w:val="002E3810"/>
    <w:rsid w:val="002E3AD9"/>
    <w:rsid w:val="002E3CAC"/>
    <w:rsid w:val="002E3FB5"/>
    <w:rsid w:val="002E4B55"/>
    <w:rsid w:val="002E6341"/>
    <w:rsid w:val="002F01EA"/>
    <w:rsid w:val="002F1377"/>
    <w:rsid w:val="002F2650"/>
    <w:rsid w:val="002F4214"/>
    <w:rsid w:val="002F7489"/>
    <w:rsid w:val="003016F9"/>
    <w:rsid w:val="0030356B"/>
    <w:rsid w:val="003054F3"/>
    <w:rsid w:val="0030628E"/>
    <w:rsid w:val="00307010"/>
    <w:rsid w:val="0030704E"/>
    <w:rsid w:val="00311018"/>
    <w:rsid w:val="00312D30"/>
    <w:rsid w:val="003148E5"/>
    <w:rsid w:val="0031568A"/>
    <w:rsid w:val="003218F7"/>
    <w:rsid w:val="00321BF2"/>
    <w:rsid w:val="0032239E"/>
    <w:rsid w:val="0032506D"/>
    <w:rsid w:val="00326D97"/>
    <w:rsid w:val="00327158"/>
    <w:rsid w:val="0033007B"/>
    <w:rsid w:val="00330156"/>
    <w:rsid w:val="003334FA"/>
    <w:rsid w:val="00333762"/>
    <w:rsid w:val="00334195"/>
    <w:rsid w:val="003353C8"/>
    <w:rsid w:val="003356F9"/>
    <w:rsid w:val="0033595F"/>
    <w:rsid w:val="00335DD4"/>
    <w:rsid w:val="00335DEE"/>
    <w:rsid w:val="0033600C"/>
    <w:rsid w:val="00342C12"/>
    <w:rsid w:val="00342DF2"/>
    <w:rsid w:val="0034300E"/>
    <w:rsid w:val="0034535D"/>
    <w:rsid w:val="00345562"/>
    <w:rsid w:val="003459AF"/>
    <w:rsid w:val="00347F77"/>
    <w:rsid w:val="00351CB7"/>
    <w:rsid w:val="003530EB"/>
    <w:rsid w:val="00354AFB"/>
    <w:rsid w:val="0035555A"/>
    <w:rsid w:val="00356E49"/>
    <w:rsid w:val="0035709A"/>
    <w:rsid w:val="00357876"/>
    <w:rsid w:val="00360AEC"/>
    <w:rsid w:val="00363B96"/>
    <w:rsid w:val="00367A79"/>
    <w:rsid w:val="003709E4"/>
    <w:rsid w:val="00371E82"/>
    <w:rsid w:val="0037509E"/>
    <w:rsid w:val="00376482"/>
    <w:rsid w:val="00376FB6"/>
    <w:rsid w:val="00377F29"/>
    <w:rsid w:val="0038138C"/>
    <w:rsid w:val="003824D4"/>
    <w:rsid w:val="00382A70"/>
    <w:rsid w:val="00382EC5"/>
    <w:rsid w:val="00386BCA"/>
    <w:rsid w:val="003871E2"/>
    <w:rsid w:val="003879F5"/>
    <w:rsid w:val="00390C8F"/>
    <w:rsid w:val="00391A3B"/>
    <w:rsid w:val="00391A5C"/>
    <w:rsid w:val="00393D81"/>
    <w:rsid w:val="00394020"/>
    <w:rsid w:val="00395274"/>
    <w:rsid w:val="00397022"/>
    <w:rsid w:val="003A071C"/>
    <w:rsid w:val="003A1F6C"/>
    <w:rsid w:val="003A47D2"/>
    <w:rsid w:val="003A4C72"/>
    <w:rsid w:val="003A4EB8"/>
    <w:rsid w:val="003B3B5B"/>
    <w:rsid w:val="003B43ED"/>
    <w:rsid w:val="003B511A"/>
    <w:rsid w:val="003B67A7"/>
    <w:rsid w:val="003C112A"/>
    <w:rsid w:val="003C209E"/>
    <w:rsid w:val="003C2EAC"/>
    <w:rsid w:val="003C5E53"/>
    <w:rsid w:val="003D0566"/>
    <w:rsid w:val="003D11BE"/>
    <w:rsid w:val="003D18B7"/>
    <w:rsid w:val="003D20AD"/>
    <w:rsid w:val="003D2AE5"/>
    <w:rsid w:val="003D31BA"/>
    <w:rsid w:val="003D4839"/>
    <w:rsid w:val="003D48D1"/>
    <w:rsid w:val="003D4C3F"/>
    <w:rsid w:val="003D7015"/>
    <w:rsid w:val="003E1835"/>
    <w:rsid w:val="003E1BE5"/>
    <w:rsid w:val="003E310E"/>
    <w:rsid w:val="003E3DE6"/>
    <w:rsid w:val="003E3ECB"/>
    <w:rsid w:val="003E400F"/>
    <w:rsid w:val="003E4D31"/>
    <w:rsid w:val="003E5554"/>
    <w:rsid w:val="003F34A6"/>
    <w:rsid w:val="003F3A7A"/>
    <w:rsid w:val="003F4786"/>
    <w:rsid w:val="003F5215"/>
    <w:rsid w:val="003F6C5C"/>
    <w:rsid w:val="003F7222"/>
    <w:rsid w:val="00401CFD"/>
    <w:rsid w:val="00404BE6"/>
    <w:rsid w:val="00404F7A"/>
    <w:rsid w:val="00405F76"/>
    <w:rsid w:val="00412877"/>
    <w:rsid w:val="00413244"/>
    <w:rsid w:val="00415EDF"/>
    <w:rsid w:val="004162E4"/>
    <w:rsid w:val="0041692D"/>
    <w:rsid w:val="004175C0"/>
    <w:rsid w:val="00417621"/>
    <w:rsid w:val="004226B4"/>
    <w:rsid w:val="00423D83"/>
    <w:rsid w:val="004259AE"/>
    <w:rsid w:val="00427E02"/>
    <w:rsid w:val="00430427"/>
    <w:rsid w:val="00430B2B"/>
    <w:rsid w:val="004313B1"/>
    <w:rsid w:val="004339F9"/>
    <w:rsid w:val="00433A72"/>
    <w:rsid w:val="004342D4"/>
    <w:rsid w:val="00436ECA"/>
    <w:rsid w:val="00440F6D"/>
    <w:rsid w:val="004419B2"/>
    <w:rsid w:val="004419C8"/>
    <w:rsid w:val="00441B5C"/>
    <w:rsid w:val="00443134"/>
    <w:rsid w:val="00444E31"/>
    <w:rsid w:val="0044765F"/>
    <w:rsid w:val="004522C2"/>
    <w:rsid w:val="0045255E"/>
    <w:rsid w:val="0045329A"/>
    <w:rsid w:val="00453DBD"/>
    <w:rsid w:val="00455B29"/>
    <w:rsid w:val="004573BC"/>
    <w:rsid w:val="0045769D"/>
    <w:rsid w:val="00457E7D"/>
    <w:rsid w:val="00461BB9"/>
    <w:rsid w:val="00462103"/>
    <w:rsid w:val="00462C26"/>
    <w:rsid w:val="00462D4F"/>
    <w:rsid w:val="004640C3"/>
    <w:rsid w:val="004649DF"/>
    <w:rsid w:val="0046682C"/>
    <w:rsid w:val="00466BD8"/>
    <w:rsid w:val="004678AB"/>
    <w:rsid w:val="0047039E"/>
    <w:rsid w:val="004707E4"/>
    <w:rsid w:val="004718C3"/>
    <w:rsid w:val="0047208B"/>
    <w:rsid w:val="004775FA"/>
    <w:rsid w:val="004805C7"/>
    <w:rsid w:val="00480D99"/>
    <w:rsid w:val="004836E9"/>
    <w:rsid w:val="00484237"/>
    <w:rsid w:val="004844AB"/>
    <w:rsid w:val="00484EA9"/>
    <w:rsid w:val="00486D08"/>
    <w:rsid w:val="00486D2F"/>
    <w:rsid w:val="00486DC4"/>
    <w:rsid w:val="00486DCD"/>
    <w:rsid w:val="0048756D"/>
    <w:rsid w:val="004878A8"/>
    <w:rsid w:val="00487B69"/>
    <w:rsid w:val="00492573"/>
    <w:rsid w:val="004940C2"/>
    <w:rsid w:val="00495860"/>
    <w:rsid w:val="004A2079"/>
    <w:rsid w:val="004A507A"/>
    <w:rsid w:val="004A6A73"/>
    <w:rsid w:val="004A6BA7"/>
    <w:rsid w:val="004A6C9F"/>
    <w:rsid w:val="004A7807"/>
    <w:rsid w:val="004B1564"/>
    <w:rsid w:val="004B22E9"/>
    <w:rsid w:val="004B2F15"/>
    <w:rsid w:val="004B6082"/>
    <w:rsid w:val="004C0BED"/>
    <w:rsid w:val="004C0F71"/>
    <w:rsid w:val="004C2A9B"/>
    <w:rsid w:val="004C2BAC"/>
    <w:rsid w:val="004C3471"/>
    <w:rsid w:val="004C65A3"/>
    <w:rsid w:val="004C7CEF"/>
    <w:rsid w:val="004D0F49"/>
    <w:rsid w:val="004D211C"/>
    <w:rsid w:val="004D2CA5"/>
    <w:rsid w:val="004D48FA"/>
    <w:rsid w:val="004D5CBC"/>
    <w:rsid w:val="004D6A48"/>
    <w:rsid w:val="004D7C4B"/>
    <w:rsid w:val="004E1A9B"/>
    <w:rsid w:val="004E1C2B"/>
    <w:rsid w:val="004E3C04"/>
    <w:rsid w:val="004E472D"/>
    <w:rsid w:val="004E4A73"/>
    <w:rsid w:val="004E616F"/>
    <w:rsid w:val="004E61C4"/>
    <w:rsid w:val="004E6458"/>
    <w:rsid w:val="004E7012"/>
    <w:rsid w:val="004E7A8E"/>
    <w:rsid w:val="004F04C7"/>
    <w:rsid w:val="004F2751"/>
    <w:rsid w:val="004F439A"/>
    <w:rsid w:val="004F6540"/>
    <w:rsid w:val="004F6BEC"/>
    <w:rsid w:val="004F7879"/>
    <w:rsid w:val="004F797C"/>
    <w:rsid w:val="00501069"/>
    <w:rsid w:val="005010D3"/>
    <w:rsid w:val="0050183A"/>
    <w:rsid w:val="00503C37"/>
    <w:rsid w:val="00505D9E"/>
    <w:rsid w:val="0050630B"/>
    <w:rsid w:val="00506A4E"/>
    <w:rsid w:val="0050727A"/>
    <w:rsid w:val="00510157"/>
    <w:rsid w:val="00512503"/>
    <w:rsid w:val="00512BC3"/>
    <w:rsid w:val="0051331D"/>
    <w:rsid w:val="00513A22"/>
    <w:rsid w:val="00513CB3"/>
    <w:rsid w:val="0051431A"/>
    <w:rsid w:val="00515468"/>
    <w:rsid w:val="00517DF2"/>
    <w:rsid w:val="00520738"/>
    <w:rsid w:val="00521CC3"/>
    <w:rsid w:val="0052354D"/>
    <w:rsid w:val="005236E8"/>
    <w:rsid w:val="00523D3B"/>
    <w:rsid w:val="00524DF3"/>
    <w:rsid w:val="0052694F"/>
    <w:rsid w:val="00526FFA"/>
    <w:rsid w:val="0052782F"/>
    <w:rsid w:val="00532805"/>
    <w:rsid w:val="00535585"/>
    <w:rsid w:val="005376B9"/>
    <w:rsid w:val="00540934"/>
    <w:rsid w:val="00541BAB"/>
    <w:rsid w:val="00541E28"/>
    <w:rsid w:val="00542EB3"/>
    <w:rsid w:val="0054475B"/>
    <w:rsid w:val="00545EA5"/>
    <w:rsid w:val="005513F1"/>
    <w:rsid w:val="00553626"/>
    <w:rsid w:val="00553921"/>
    <w:rsid w:val="00560D11"/>
    <w:rsid w:val="0056140C"/>
    <w:rsid w:val="0056516E"/>
    <w:rsid w:val="0056555A"/>
    <w:rsid w:val="00566377"/>
    <w:rsid w:val="005667D3"/>
    <w:rsid w:val="005675A7"/>
    <w:rsid w:val="005679EF"/>
    <w:rsid w:val="00572975"/>
    <w:rsid w:val="00574B91"/>
    <w:rsid w:val="00576B6A"/>
    <w:rsid w:val="00580E65"/>
    <w:rsid w:val="0058221E"/>
    <w:rsid w:val="00583362"/>
    <w:rsid w:val="00583AA6"/>
    <w:rsid w:val="005903A0"/>
    <w:rsid w:val="00590EDE"/>
    <w:rsid w:val="00591A09"/>
    <w:rsid w:val="0059547E"/>
    <w:rsid w:val="005964BD"/>
    <w:rsid w:val="00597A9A"/>
    <w:rsid w:val="005A1A67"/>
    <w:rsid w:val="005A4BA2"/>
    <w:rsid w:val="005A6296"/>
    <w:rsid w:val="005A66E6"/>
    <w:rsid w:val="005B03C2"/>
    <w:rsid w:val="005B3673"/>
    <w:rsid w:val="005B4508"/>
    <w:rsid w:val="005B4852"/>
    <w:rsid w:val="005B4A43"/>
    <w:rsid w:val="005B502D"/>
    <w:rsid w:val="005B788E"/>
    <w:rsid w:val="005C12A5"/>
    <w:rsid w:val="005C1930"/>
    <w:rsid w:val="005C4009"/>
    <w:rsid w:val="005C64E0"/>
    <w:rsid w:val="005C6B5E"/>
    <w:rsid w:val="005C78CC"/>
    <w:rsid w:val="005C7F9C"/>
    <w:rsid w:val="005D0515"/>
    <w:rsid w:val="005D1C33"/>
    <w:rsid w:val="005D2161"/>
    <w:rsid w:val="005D2C1F"/>
    <w:rsid w:val="005D3E1E"/>
    <w:rsid w:val="005D5A5A"/>
    <w:rsid w:val="005D5CE6"/>
    <w:rsid w:val="005D726F"/>
    <w:rsid w:val="005D7FAA"/>
    <w:rsid w:val="005E0BC2"/>
    <w:rsid w:val="005E0F25"/>
    <w:rsid w:val="005E273B"/>
    <w:rsid w:val="005E556C"/>
    <w:rsid w:val="005F0F26"/>
    <w:rsid w:val="005F12F6"/>
    <w:rsid w:val="005F15F6"/>
    <w:rsid w:val="005F16BF"/>
    <w:rsid w:val="005F3F0C"/>
    <w:rsid w:val="005F456F"/>
    <w:rsid w:val="005F4792"/>
    <w:rsid w:val="005F7298"/>
    <w:rsid w:val="005F7A9C"/>
    <w:rsid w:val="00601246"/>
    <w:rsid w:val="006024FC"/>
    <w:rsid w:val="0060365B"/>
    <w:rsid w:val="0060386A"/>
    <w:rsid w:val="00606A7F"/>
    <w:rsid w:val="006078CA"/>
    <w:rsid w:val="006106C6"/>
    <w:rsid w:val="00610BAE"/>
    <w:rsid w:val="00611A84"/>
    <w:rsid w:val="00612848"/>
    <w:rsid w:val="00613360"/>
    <w:rsid w:val="0061351A"/>
    <w:rsid w:val="006136BC"/>
    <w:rsid w:val="00615FDE"/>
    <w:rsid w:val="006202C2"/>
    <w:rsid w:val="00621E87"/>
    <w:rsid w:val="0062260E"/>
    <w:rsid w:val="006230A5"/>
    <w:rsid w:val="0063027B"/>
    <w:rsid w:val="00632A80"/>
    <w:rsid w:val="00632E56"/>
    <w:rsid w:val="00633568"/>
    <w:rsid w:val="006339DD"/>
    <w:rsid w:val="00635D5A"/>
    <w:rsid w:val="00636365"/>
    <w:rsid w:val="00636BCB"/>
    <w:rsid w:val="006372D9"/>
    <w:rsid w:val="00637E5F"/>
    <w:rsid w:val="00640923"/>
    <w:rsid w:val="006409B7"/>
    <w:rsid w:val="00641C1A"/>
    <w:rsid w:val="00643C68"/>
    <w:rsid w:val="006446E8"/>
    <w:rsid w:val="00645521"/>
    <w:rsid w:val="006459E3"/>
    <w:rsid w:val="006467D6"/>
    <w:rsid w:val="0064746A"/>
    <w:rsid w:val="006508D6"/>
    <w:rsid w:val="00652381"/>
    <w:rsid w:val="00653583"/>
    <w:rsid w:val="00653C12"/>
    <w:rsid w:val="006555B2"/>
    <w:rsid w:val="00656481"/>
    <w:rsid w:val="00656A23"/>
    <w:rsid w:val="006601EA"/>
    <w:rsid w:val="006604AE"/>
    <w:rsid w:val="006604C0"/>
    <w:rsid w:val="00660DDE"/>
    <w:rsid w:val="00662921"/>
    <w:rsid w:val="00665FC3"/>
    <w:rsid w:val="00666C39"/>
    <w:rsid w:val="00673267"/>
    <w:rsid w:val="00675D9A"/>
    <w:rsid w:val="0067707A"/>
    <w:rsid w:val="0068008B"/>
    <w:rsid w:val="00680210"/>
    <w:rsid w:val="006802FA"/>
    <w:rsid w:val="00680543"/>
    <w:rsid w:val="00682D14"/>
    <w:rsid w:val="006844F7"/>
    <w:rsid w:val="00690E05"/>
    <w:rsid w:val="0069251F"/>
    <w:rsid w:val="00693449"/>
    <w:rsid w:val="00693FFE"/>
    <w:rsid w:val="006944E4"/>
    <w:rsid w:val="006951D7"/>
    <w:rsid w:val="00696041"/>
    <w:rsid w:val="0069617C"/>
    <w:rsid w:val="006A0958"/>
    <w:rsid w:val="006A1311"/>
    <w:rsid w:val="006A2C2B"/>
    <w:rsid w:val="006A3B34"/>
    <w:rsid w:val="006A4643"/>
    <w:rsid w:val="006A48E4"/>
    <w:rsid w:val="006A5180"/>
    <w:rsid w:val="006A5BD2"/>
    <w:rsid w:val="006A6627"/>
    <w:rsid w:val="006A697A"/>
    <w:rsid w:val="006A74EB"/>
    <w:rsid w:val="006B0998"/>
    <w:rsid w:val="006B2EA3"/>
    <w:rsid w:val="006B3926"/>
    <w:rsid w:val="006B4AC5"/>
    <w:rsid w:val="006B572D"/>
    <w:rsid w:val="006B5BDF"/>
    <w:rsid w:val="006B5D2F"/>
    <w:rsid w:val="006B6C8D"/>
    <w:rsid w:val="006B6D16"/>
    <w:rsid w:val="006C0439"/>
    <w:rsid w:val="006C07C6"/>
    <w:rsid w:val="006C1609"/>
    <w:rsid w:val="006C2509"/>
    <w:rsid w:val="006C36CE"/>
    <w:rsid w:val="006C453A"/>
    <w:rsid w:val="006C47B4"/>
    <w:rsid w:val="006C6196"/>
    <w:rsid w:val="006C6A9E"/>
    <w:rsid w:val="006C6CE0"/>
    <w:rsid w:val="006C78BC"/>
    <w:rsid w:val="006D0FAB"/>
    <w:rsid w:val="006D117B"/>
    <w:rsid w:val="006D48E1"/>
    <w:rsid w:val="006D5D22"/>
    <w:rsid w:val="006D746C"/>
    <w:rsid w:val="006D7815"/>
    <w:rsid w:val="006D7D5B"/>
    <w:rsid w:val="006D7F25"/>
    <w:rsid w:val="006E2451"/>
    <w:rsid w:val="006E24C7"/>
    <w:rsid w:val="006E2BB6"/>
    <w:rsid w:val="006E36A8"/>
    <w:rsid w:val="006E40AE"/>
    <w:rsid w:val="006E6879"/>
    <w:rsid w:val="006E7CBE"/>
    <w:rsid w:val="006E7D91"/>
    <w:rsid w:val="006E7EBB"/>
    <w:rsid w:val="006F0217"/>
    <w:rsid w:val="006F0999"/>
    <w:rsid w:val="006F2B6F"/>
    <w:rsid w:val="006F3040"/>
    <w:rsid w:val="006F3D00"/>
    <w:rsid w:val="006F3F72"/>
    <w:rsid w:val="006F4E37"/>
    <w:rsid w:val="006F545D"/>
    <w:rsid w:val="006F5FC0"/>
    <w:rsid w:val="00702058"/>
    <w:rsid w:val="00702BDC"/>
    <w:rsid w:val="00702CEA"/>
    <w:rsid w:val="00705982"/>
    <w:rsid w:val="0070606D"/>
    <w:rsid w:val="00706940"/>
    <w:rsid w:val="007105C1"/>
    <w:rsid w:val="00710BF1"/>
    <w:rsid w:val="00711794"/>
    <w:rsid w:val="00713DDE"/>
    <w:rsid w:val="0071626B"/>
    <w:rsid w:val="00716ECA"/>
    <w:rsid w:val="00717234"/>
    <w:rsid w:val="007174C6"/>
    <w:rsid w:val="00717BE7"/>
    <w:rsid w:val="00721F5D"/>
    <w:rsid w:val="007223D5"/>
    <w:rsid w:val="00724073"/>
    <w:rsid w:val="00724E8F"/>
    <w:rsid w:val="0072604A"/>
    <w:rsid w:val="00726051"/>
    <w:rsid w:val="007267C2"/>
    <w:rsid w:val="00727CC3"/>
    <w:rsid w:val="00730046"/>
    <w:rsid w:val="00731E98"/>
    <w:rsid w:val="007321AA"/>
    <w:rsid w:val="00732AC7"/>
    <w:rsid w:val="00732D76"/>
    <w:rsid w:val="0073443F"/>
    <w:rsid w:val="00734866"/>
    <w:rsid w:val="00735D93"/>
    <w:rsid w:val="00736314"/>
    <w:rsid w:val="007401F9"/>
    <w:rsid w:val="00740DD2"/>
    <w:rsid w:val="007412E6"/>
    <w:rsid w:val="007419F3"/>
    <w:rsid w:val="007422AD"/>
    <w:rsid w:val="007432DB"/>
    <w:rsid w:val="00743801"/>
    <w:rsid w:val="0074391C"/>
    <w:rsid w:val="00745474"/>
    <w:rsid w:val="007454BB"/>
    <w:rsid w:val="00746B71"/>
    <w:rsid w:val="00747A85"/>
    <w:rsid w:val="00750DAC"/>
    <w:rsid w:val="00752498"/>
    <w:rsid w:val="00755A61"/>
    <w:rsid w:val="00757EC3"/>
    <w:rsid w:val="007613B4"/>
    <w:rsid w:val="00761A29"/>
    <w:rsid w:val="00763DCE"/>
    <w:rsid w:val="00763F2C"/>
    <w:rsid w:val="0076479D"/>
    <w:rsid w:val="00766137"/>
    <w:rsid w:val="00767379"/>
    <w:rsid w:val="0076769A"/>
    <w:rsid w:val="00767886"/>
    <w:rsid w:val="00770116"/>
    <w:rsid w:val="0077034E"/>
    <w:rsid w:val="00771D50"/>
    <w:rsid w:val="00772338"/>
    <w:rsid w:val="00773325"/>
    <w:rsid w:val="00773C48"/>
    <w:rsid w:val="00774A2A"/>
    <w:rsid w:val="00774D0B"/>
    <w:rsid w:val="007767B9"/>
    <w:rsid w:val="007769E7"/>
    <w:rsid w:val="0078324E"/>
    <w:rsid w:val="0078379F"/>
    <w:rsid w:val="00783B1A"/>
    <w:rsid w:val="00784E6D"/>
    <w:rsid w:val="00786DE8"/>
    <w:rsid w:val="00787E6C"/>
    <w:rsid w:val="007907AF"/>
    <w:rsid w:val="00792E4D"/>
    <w:rsid w:val="00794654"/>
    <w:rsid w:val="00796EA9"/>
    <w:rsid w:val="007A011A"/>
    <w:rsid w:val="007A076E"/>
    <w:rsid w:val="007A3C32"/>
    <w:rsid w:val="007A64B3"/>
    <w:rsid w:val="007A683A"/>
    <w:rsid w:val="007B0FCE"/>
    <w:rsid w:val="007B1B84"/>
    <w:rsid w:val="007B45E2"/>
    <w:rsid w:val="007B4F15"/>
    <w:rsid w:val="007B5B29"/>
    <w:rsid w:val="007C0C24"/>
    <w:rsid w:val="007C2317"/>
    <w:rsid w:val="007C2A3C"/>
    <w:rsid w:val="007C3BA7"/>
    <w:rsid w:val="007C3ED8"/>
    <w:rsid w:val="007C4AAB"/>
    <w:rsid w:val="007C69F7"/>
    <w:rsid w:val="007D01F9"/>
    <w:rsid w:val="007D3544"/>
    <w:rsid w:val="007D3572"/>
    <w:rsid w:val="007D3815"/>
    <w:rsid w:val="007D3DD4"/>
    <w:rsid w:val="007D497E"/>
    <w:rsid w:val="007D579E"/>
    <w:rsid w:val="007E2068"/>
    <w:rsid w:val="007E2146"/>
    <w:rsid w:val="007E226A"/>
    <w:rsid w:val="007E2CFB"/>
    <w:rsid w:val="007E2FFD"/>
    <w:rsid w:val="007E3899"/>
    <w:rsid w:val="007E68FE"/>
    <w:rsid w:val="007E6BAC"/>
    <w:rsid w:val="007E716B"/>
    <w:rsid w:val="007F0159"/>
    <w:rsid w:val="007F0376"/>
    <w:rsid w:val="007F1188"/>
    <w:rsid w:val="007F182C"/>
    <w:rsid w:val="007F4448"/>
    <w:rsid w:val="007F4B29"/>
    <w:rsid w:val="007F61F2"/>
    <w:rsid w:val="008009F2"/>
    <w:rsid w:val="00800C1F"/>
    <w:rsid w:val="00801764"/>
    <w:rsid w:val="008021C2"/>
    <w:rsid w:val="00802DCA"/>
    <w:rsid w:val="00804D8B"/>
    <w:rsid w:val="00806F4E"/>
    <w:rsid w:val="00807E3D"/>
    <w:rsid w:val="008120BD"/>
    <w:rsid w:val="00812497"/>
    <w:rsid w:val="00813109"/>
    <w:rsid w:val="00813428"/>
    <w:rsid w:val="0081779F"/>
    <w:rsid w:val="00820B10"/>
    <w:rsid w:val="00820F36"/>
    <w:rsid w:val="008242A9"/>
    <w:rsid w:val="008246CD"/>
    <w:rsid w:val="00827BA2"/>
    <w:rsid w:val="00830767"/>
    <w:rsid w:val="0083190E"/>
    <w:rsid w:val="00831E0F"/>
    <w:rsid w:val="00835443"/>
    <w:rsid w:val="00835A52"/>
    <w:rsid w:val="00835F86"/>
    <w:rsid w:val="00840658"/>
    <w:rsid w:val="008406F6"/>
    <w:rsid w:val="00840CFC"/>
    <w:rsid w:val="00842695"/>
    <w:rsid w:val="008428FA"/>
    <w:rsid w:val="00842F4F"/>
    <w:rsid w:val="00843043"/>
    <w:rsid w:val="008430D4"/>
    <w:rsid w:val="0084350F"/>
    <w:rsid w:val="00843824"/>
    <w:rsid w:val="00844E65"/>
    <w:rsid w:val="008466EC"/>
    <w:rsid w:val="0085250C"/>
    <w:rsid w:val="00852A54"/>
    <w:rsid w:val="00856A25"/>
    <w:rsid w:val="0086132C"/>
    <w:rsid w:val="008629DE"/>
    <w:rsid w:val="00863AC3"/>
    <w:rsid w:val="00863FB5"/>
    <w:rsid w:val="008643C8"/>
    <w:rsid w:val="0086453A"/>
    <w:rsid w:val="008647A7"/>
    <w:rsid w:val="00864AD9"/>
    <w:rsid w:val="00865449"/>
    <w:rsid w:val="00865B3D"/>
    <w:rsid w:val="00867141"/>
    <w:rsid w:val="008672EB"/>
    <w:rsid w:val="00870F2B"/>
    <w:rsid w:val="00877969"/>
    <w:rsid w:val="00883842"/>
    <w:rsid w:val="0088613D"/>
    <w:rsid w:val="00886718"/>
    <w:rsid w:val="00891880"/>
    <w:rsid w:val="00894C5D"/>
    <w:rsid w:val="008950ED"/>
    <w:rsid w:val="008972C6"/>
    <w:rsid w:val="008A1324"/>
    <w:rsid w:val="008A1F17"/>
    <w:rsid w:val="008A3E83"/>
    <w:rsid w:val="008A5FB0"/>
    <w:rsid w:val="008A62E4"/>
    <w:rsid w:val="008A6F9C"/>
    <w:rsid w:val="008B0A5B"/>
    <w:rsid w:val="008B1175"/>
    <w:rsid w:val="008B178D"/>
    <w:rsid w:val="008B1A97"/>
    <w:rsid w:val="008B21ED"/>
    <w:rsid w:val="008B4B57"/>
    <w:rsid w:val="008B5C54"/>
    <w:rsid w:val="008C0233"/>
    <w:rsid w:val="008C02C1"/>
    <w:rsid w:val="008C037B"/>
    <w:rsid w:val="008C2ABB"/>
    <w:rsid w:val="008C2C06"/>
    <w:rsid w:val="008C2C75"/>
    <w:rsid w:val="008C358B"/>
    <w:rsid w:val="008C557B"/>
    <w:rsid w:val="008C589B"/>
    <w:rsid w:val="008C5C70"/>
    <w:rsid w:val="008C6280"/>
    <w:rsid w:val="008C7326"/>
    <w:rsid w:val="008D030C"/>
    <w:rsid w:val="008D17F4"/>
    <w:rsid w:val="008D2EF9"/>
    <w:rsid w:val="008D4FE9"/>
    <w:rsid w:val="008E0882"/>
    <w:rsid w:val="008E0C60"/>
    <w:rsid w:val="008E14C3"/>
    <w:rsid w:val="008E1D65"/>
    <w:rsid w:val="008E5D23"/>
    <w:rsid w:val="008E62BC"/>
    <w:rsid w:val="008E6EC8"/>
    <w:rsid w:val="008E7273"/>
    <w:rsid w:val="008E75CD"/>
    <w:rsid w:val="008E76BA"/>
    <w:rsid w:val="008F050B"/>
    <w:rsid w:val="008F2249"/>
    <w:rsid w:val="008F3EA0"/>
    <w:rsid w:val="008F47D9"/>
    <w:rsid w:val="008F5163"/>
    <w:rsid w:val="008F52FC"/>
    <w:rsid w:val="008F544A"/>
    <w:rsid w:val="008F5497"/>
    <w:rsid w:val="008F5756"/>
    <w:rsid w:val="008F71C1"/>
    <w:rsid w:val="009034BD"/>
    <w:rsid w:val="00904163"/>
    <w:rsid w:val="00905B70"/>
    <w:rsid w:val="00907AD0"/>
    <w:rsid w:val="00907BBF"/>
    <w:rsid w:val="0091291B"/>
    <w:rsid w:val="0091294B"/>
    <w:rsid w:val="009132F9"/>
    <w:rsid w:val="009135C9"/>
    <w:rsid w:val="00913737"/>
    <w:rsid w:val="00913E7C"/>
    <w:rsid w:val="0091434E"/>
    <w:rsid w:val="009149BA"/>
    <w:rsid w:val="00915853"/>
    <w:rsid w:val="00916E00"/>
    <w:rsid w:val="009203CB"/>
    <w:rsid w:val="009242AB"/>
    <w:rsid w:val="00924C57"/>
    <w:rsid w:val="009260CF"/>
    <w:rsid w:val="00927E6F"/>
    <w:rsid w:val="00932341"/>
    <w:rsid w:val="00933E77"/>
    <w:rsid w:val="009343EF"/>
    <w:rsid w:val="00935466"/>
    <w:rsid w:val="009359D8"/>
    <w:rsid w:val="00935D9E"/>
    <w:rsid w:val="009372E5"/>
    <w:rsid w:val="00937562"/>
    <w:rsid w:val="00940C56"/>
    <w:rsid w:val="00941975"/>
    <w:rsid w:val="00941C0D"/>
    <w:rsid w:val="0094237D"/>
    <w:rsid w:val="00942435"/>
    <w:rsid w:val="00943EFD"/>
    <w:rsid w:val="009458CF"/>
    <w:rsid w:val="0094593F"/>
    <w:rsid w:val="00945EE4"/>
    <w:rsid w:val="00946095"/>
    <w:rsid w:val="0094621A"/>
    <w:rsid w:val="00947BDD"/>
    <w:rsid w:val="00947FD2"/>
    <w:rsid w:val="009515B8"/>
    <w:rsid w:val="00951709"/>
    <w:rsid w:val="009525F7"/>
    <w:rsid w:val="00952BEC"/>
    <w:rsid w:val="00953221"/>
    <w:rsid w:val="0095472B"/>
    <w:rsid w:val="00955E73"/>
    <w:rsid w:val="00957BF5"/>
    <w:rsid w:val="00960D4A"/>
    <w:rsid w:val="00962437"/>
    <w:rsid w:val="00962E94"/>
    <w:rsid w:val="00963A7B"/>
    <w:rsid w:val="00963B48"/>
    <w:rsid w:val="00965033"/>
    <w:rsid w:val="0096524F"/>
    <w:rsid w:val="009674EC"/>
    <w:rsid w:val="009718A2"/>
    <w:rsid w:val="0097266A"/>
    <w:rsid w:val="009727F2"/>
    <w:rsid w:val="00972EDF"/>
    <w:rsid w:val="00972F8E"/>
    <w:rsid w:val="00973F0A"/>
    <w:rsid w:val="00974308"/>
    <w:rsid w:val="00980010"/>
    <w:rsid w:val="00980FCA"/>
    <w:rsid w:val="00982F47"/>
    <w:rsid w:val="00983C46"/>
    <w:rsid w:val="00983EAF"/>
    <w:rsid w:val="0098465A"/>
    <w:rsid w:val="00986710"/>
    <w:rsid w:val="00987BF0"/>
    <w:rsid w:val="00987D3B"/>
    <w:rsid w:val="009901C6"/>
    <w:rsid w:val="00990B1D"/>
    <w:rsid w:val="00991948"/>
    <w:rsid w:val="009924EF"/>
    <w:rsid w:val="009931B0"/>
    <w:rsid w:val="00995A7E"/>
    <w:rsid w:val="00995E8F"/>
    <w:rsid w:val="00997905"/>
    <w:rsid w:val="009A0363"/>
    <w:rsid w:val="009A0FC8"/>
    <w:rsid w:val="009A125A"/>
    <w:rsid w:val="009A3369"/>
    <w:rsid w:val="009A4244"/>
    <w:rsid w:val="009A7688"/>
    <w:rsid w:val="009B0B0C"/>
    <w:rsid w:val="009B0B73"/>
    <w:rsid w:val="009B1457"/>
    <w:rsid w:val="009B38CF"/>
    <w:rsid w:val="009B4EAB"/>
    <w:rsid w:val="009B53D9"/>
    <w:rsid w:val="009B5804"/>
    <w:rsid w:val="009B73A1"/>
    <w:rsid w:val="009C0678"/>
    <w:rsid w:val="009C0EE5"/>
    <w:rsid w:val="009C2260"/>
    <w:rsid w:val="009C38D5"/>
    <w:rsid w:val="009C4198"/>
    <w:rsid w:val="009C5CE9"/>
    <w:rsid w:val="009C6208"/>
    <w:rsid w:val="009C76F8"/>
    <w:rsid w:val="009C7C86"/>
    <w:rsid w:val="009D0249"/>
    <w:rsid w:val="009D0E4D"/>
    <w:rsid w:val="009D5AE3"/>
    <w:rsid w:val="009D6D8C"/>
    <w:rsid w:val="009D6D90"/>
    <w:rsid w:val="009D7B22"/>
    <w:rsid w:val="009D7BB6"/>
    <w:rsid w:val="009E1DFE"/>
    <w:rsid w:val="009E68AF"/>
    <w:rsid w:val="009E76FC"/>
    <w:rsid w:val="009E7E0D"/>
    <w:rsid w:val="009F051C"/>
    <w:rsid w:val="009F27ED"/>
    <w:rsid w:val="009F2F53"/>
    <w:rsid w:val="009F5B4B"/>
    <w:rsid w:val="009F6A05"/>
    <w:rsid w:val="009F703D"/>
    <w:rsid w:val="00A0029B"/>
    <w:rsid w:val="00A027DC"/>
    <w:rsid w:val="00A028E2"/>
    <w:rsid w:val="00A05651"/>
    <w:rsid w:val="00A05C73"/>
    <w:rsid w:val="00A064C7"/>
    <w:rsid w:val="00A06BFD"/>
    <w:rsid w:val="00A076C9"/>
    <w:rsid w:val="00A07C93"/>
    <w:rsid w:val="00A108CE"/>
    <w:rsid w:val="00A13B25"/>
    <w:rsid w:val="00A15DC5"/>
    <w:rsid w:val="00A167B5"/>
    <w:rsid w:val="00A2032F"/>
    <w:rsid w:val="00A20AC3"/>
    <w:rsid w:val="00A210A0"/>
    <w:rsid w:val="00A22F45"/>
    <w:rsid w:val="00A235F3"/>
    <w:rsid w:val="00A23CEE"/>
    <w:rsid w:val="00A2474B"/>
    <w:rsid w:val="00A2497D"/>
    <w:rsid w:val="00A273AF"/>
    <w:rsid w:val="00A2785C"/>
    <w:rsid w:val="00A301E5"/>
    <w:rsid w:val="00A31BE2"/>
    <w:rsid w:val="00A31F9F"/>
    <w:rsid w:val="00A324B6"/>
    <w:rsid w:val="00A335FF"/>
    <w:rsid w:val="00A367AE"/>
    <w:rsid w:val="00A377F3"/>
    <w:rsid w:val="00A40FDE"/>
    <w:rsid w:val="00A43C0A"/>
    <w:rsid w:val="00A4422D"/>
    <w:rsid w:val="00A44979"/>
    <w:rsid w:val="00A44FE5"/>
    <w:rsid w:val="00A455A8"/>
    <w:rsid w:val="00A46046"/>
    <w:rsid w:val="00A462A8"/>
    <w:rsid w:val="00A5008C"/>
    <w:rsid w:val="00A51455"/>
    <w:rsid w:val="00A51825"/>
    <w:rsid w:val="00A51DC6"/>
    <w:rsid w:val="00A53188"/>
    <w:rsid w:val="00A5461B"/>
    <w:rsid w:val="00A5526A"/>
    <w:rsid w:val="00A56057"/>
    <w:rsid w:val="00A57549"/>
    <w:rsid w:val="00A604B7"/>
    <w:rsid w:val="00A6053D"/>
    <w:rsid w:val="00A61A8D"/>
    <w:rsid w:val="00A6237F"/>
    <w:rsid w:val="00A63A9C"/>
    <w:rsid w:val="00A64FB4"/>
    <w:rsid w:val="00A65BD1"/>
    <w:rsid w:val="00A70409"/>
    <w:rsid w:val="00A7243C"/>
    <w:rsid w:val="00A7326C"/>
    <w:rsid w:val="00A748A4"/>
    <w:rsid w:val="00A7595E"/>
    <w:rsid w:val="00A75F00"/>
    <w:rsid w:val="00A763DD"/>
    <w:rsid w:val="00A803E5"/>
    <w:rsid w:val="00A8123D"/>
    <w:rsid w:val="00A81A01"/>
    <w:rsid w:val="00A82CFD"/>
    <w:rsid w:val="00A83DC5"/>
    <w:rsid w:val="00A87CCA"/>
    <w:rsid w:val="00A901E8"/>
    <w:rsid w:val="00A90A60"/>
    <w:rsid w:val="00A92538"/>
    <w:rsid w:val="00A93AC3"/>
    <w:rsid w:val="00A96806"/>
    <w:rsid w:val="00AA33D1"/>
    <w:rsid w:val="00AA3E4B"/>
    <w:rsid w:val="00AA6979"/>
    <w:rsid w:val="00AB06E9"/>
    <w:rsid w:val="00AB2A0A"/>
    <w:rsid w:val="00AB2A4B"/>
    <w:rsid w:val="00AB3B04"/>
    <w:rsid w:val="00AB4823"/>
    <w:rsid w:val="00AB48B9"/>
    <w:rsid w:val="00AB4B82"/>
    <w:rsid w:val="00AB4DF0"/>
    <w:rsid w:val="00AB5EE4"/>
    <w:rsid w:val="00AB79BF"/>
    <w:rsid w:val="00AC4965"/>
    <w:rsid w:val="00AD0043"/>
    <w:rsid w:val="00AD08EB"/>
    <w:rsid w:val="00AD24E6"/>
    <w:rsid w:val="00AD5824"/>
    <w:rsid w:val="00AD712A"/>
    <w:rsid w:val="00AE0319"/>
    <w:rsid w:val="00AE04A0"/>
    <w:rsid w:val="00AE0652"/>
    <w:rsid w:val="00AE1BC9"/>
    <w:rsid w:val="00AE3052"/>
    <w:rsid w:val="00AE3D87"/>
    <w:rsid w:val="00AE4A80"/>
    <w:rsid w:val="00AF06C0"/>
    <w:rsid w:val="00AF0CDE"/>
    <w:rsid w:val="00AF278F"/>
    <w:rsid w:val="00AF2A68"/>
    <w:rsid w:val="00AF3944"/>
    <w:rsid w:val="00AF64C4"/>
    <w:rsid w:val="00AF68E5"/>
    <w:rsid w:val="00B00048"/>
    <w:rsid w:val="00B00F6A"/>
    <w:rsid w:val="00B01BC5"/>
    <w:rsid w:val="00B02974"/>
    <w:rsid w:val="00B02B67"/>
    <w:rsid w:val="00B047D4"/>
    <w:rsid w:val="00B04C1C"/>
    <w:rsid w:val="00B05AD7"/>
    <w:rsid w:val="00B07D93"/>
    <w:rsid w:val="00B126AD"/>
    <w:rsid w:val="00B1286A"/>
    <w:rsid w:val="00B13F91"/>
    <w:rsid w:val="00B14C4A"/>
    <w:rsid w:val="00B1585C"/>
    <w:rsid w:val="00B17578"/>
    <w:rsid w:val="00B20362"/>
    <w:rsid w:val="00B22613"/>
    <w:rsid w:val="00B2410B"/>
    <w:rsid w:val="00B250D1"/>
    <w:rsid w:val="00B260C5"/>
    <w:rsid w:val="00B269E6"/>
    <w:rsid w:val="00B33063"/>
    <w:rsid w:val="00B3358C"/>
    <w:rsid w:val="00B33BD6"/>
    <w:rsid w:val="00B355B1"/>
    <w:rsid w:val="00B36A19"/>
    <w:rsid w:val="00B36A1B"/>
    <w:rsid w:val="00B40728"/>
    <w:rsid w:val="00B41C6E"/>
    <w:rsid w:val="00B426C1"/>
    <w:rsid w:val="00B430AF"/>
    <w:rsid w:val="00B43F13"/>
    <w:rsid w:val="00B444A2"/>
    <w:rsid w:val="00B454B7"/>
    <w:rsid w:val="00B469B4"/>
    <w:rsid w:val="00B46E28"/>
    <w:rsid w:val="00B510F6"/>
    <w:rsid w:val="00B51EE8"/>
    <w:rsid w:val="00B52545"/>
    <w:rsid w:val="00B52DCF"/>
    <w:rsid w:val="00B534D8"/>
    <w:rsid w:val="00B5376C"/>
    <w:rsid w:val="00B53BF2"/>
    <w:rsid w:val="00B55DA9"/>
    <w:rsid w:val="00B57D03"/>
    <w:rsid w:val="00B6077F"/>
    <w:rsid w:val="00B60DFA"/>
    <w:rsid w:val="00B61962"/>
    <w:rsid w:val="00B65A8A"/>
    <w:rsid w:val="00B66DEA"/>
    <w:rsid w:val="00B67089"/>
    <w:rsid w:val="00B6794C"/>
    <w:rsid w:val="00B716BB"/>
    <w:rsid w:val="00B73849"/>
    <w:rsid w:val="00B74B4C"/>
    <w:rsid w:val="00B763DE"/>
    <w:rsid w:val="00B779D1"/>
    <w:rsid w:val="00B80384"/>
    <w:rsid w:val="00B80CAA"/>
    <w:rsid w:val="00B80DC3"/>
    <w:rsid w:val="00B831BC"/>
    <w:rsid w:val="00B866FA"/>
    <w:rsid w:val="00B90A5D"/>
    <w:rsid w:val="00B921B3"/>
    <w:rsid w:val="00B93E51"/>
    <w:rsid w:val="00B9468A"/>
    <w:rsid w:val="00B9563C"/>
    <w:rsid w:val="00B95A6F"/>
    <w:rsid w:val="00B9618D"/>
    <w:rsid w:val="00B97457"/>
    <w:rsid w:val="00BA09A5"/>
    <w:rsid w:val="00BA1740"/>
    <w:rsid w:val="00BA2D92"/>
    <w:rsid w:val="00BA34F6"/>
    <w:rsid w:val="00BA4733"/>
    <w:rsid w:val="00BA4C14"/>
    <w:rsid w:val="00BA5989"/>
    <w:rsid w:val="00BA609B"/>
    <w:rsid w:val="00BA66EB"/>
    <w:rsid w:val="00BA724E"/>
    <w:rsid w:val="00BA7555"/>
    <w:rsid w:val="00BA7D55"/>
    <w:rsid w:val="00BB01B6"/>
    <w:rsid w:val="00BB0D0A"/>
    <w:rsid w:val="00BB3451"/>
    <w:rsid w:val="00BB4B83"/>
    <w:rsid w:val="00BB54D1"/>
    <w:rsid w:val="00BB606C"/>
    <w:rsid w:val="00BB6EF6"/>
    <w:rsid w:val="00BC1F39"/>
    <w:rsid w:val="00BC1F5C"/>
    <w:rsid w:val="00BC27AB"/>
    <w:rsid w:val="00BC44B5"/>
    <w:rsid w:val="00BC585C"/>
    <w:rsid w:val="00BC7C9A"/>
    <w:rsid w:val="00BD25EB"/>
    <w:rsid w:val="00BD31E4"/>
    <w:rsid w:val="00BD36F1"/>
    <w:rsid w:val="00BD3EDE"/>
    <w:rsid w:val="00BD519E"/>
    <w:rsid w:val="00BD6214"/>
    <w:rsid w:val="00BD692A"/>
    <w:rsid w:val="00BD6B1C"/>
    <w:rsid w:val="00BE0324"/>
    <w:rsid w:val="00BE3D70"/>
    <w:rsid w:val="00BE3E80"/>
    <w:rsid w:val="00BE7299"/>
    <w:rsid w:val="00BF05F2"/>
    <w:rsid w:val="00BF5954"/>
    <w:rsid w:val="00BF5B67"/>
    <w:rsid w:val="00BF5E5F"/>
    <w:rsid w:val="00BF6B57"/>
    <w:rsid w:val="00C0295A"/>
    <w:rsid w:val="00C066FF"/>
    <w:rsid w:val="00C1075A"/>
    <w:rsid w:val="00C11066"/>
    <w:rsid w:val="00C1202C"/>
    <w:rsid w:val="00C12604"/>
    <w:rsid w:val="00C12FEF"/>
    <w:rsid w:val="00C1350B"/>
    <w:rsid w:val="00C13644"/>
    <w:rsid w:val="00C145A1"/>
    <w:rsid w:val="00C14EB5"/>
    <w:rsid w:val="00C16E07"/>
    <w:rsid w:val="00C17B0A"/>
    <w:rsid w:val="00C214B2"/>
    <w:rsid w:val="00C2176A"/>
    <w:rsid w:val="00C23BA1"/>
    <w:rsid w:val="00C24228"/>
    <w:rsid w:val="00C247AE"/>
    <w:rsid w:val="00C250FA"/>
    <w:rsid w:val="00C27574"/>
    <w:rsid w:val="00C306C7"/>
    <w:rsid w:val="00C3107F"/>
    <w:rsid w:val="00C32424"/>
    <w:rsid w:val="00C32755"/>
    <w:rsid w:val="00C32BE5"/>
    <w:rsid w:val="00C33A9C"/>
    <w:rsid w:val="00C340FC"/>
    <w:rsid w:val="00C341B9"/>
    <w:rsid w:val="00C36039"/>
    <w:rsid w:val="00C36E8B"/>
    <w:rsid w:val="00C36F7B"/>
    <w:rsid w:val="00C37D8E"/>
    <w:rsid w:val="00C4000A"/>
    <w:rsid w:val="00C40383"/>
    <w:rsid w:val="00C42DE1"/>
    <w:rsid w:val="00C44F5B"/>
    <w:rsid w:val="00C45B8F"/>
    <w:rsid w:val="00C47B48"/>
    <w:rsid w:val="00C515BF"/>
    <w:rsid w:val="00C555B0"/>
    <w:rsid w:val="00C5574F"/>
    <w:rsid w:val="00C558D1"/>
    <w:rsid w:val="00C57DA8"/>
    <w:rsid w:val="00C60B96"/>
    <w:rsid w:val="00C61F12"/>
    <w:rsid w:val="00C6203B"/>
    <w:rsid w:val="00C62084"/>
    <w:rsid w:val="00C621D1"/>
    <w:rsid w:val="00C6386E"/>
    <w:rsid w:val="00C6435D"/>
    <w:rsid w:val="00C6478E"/>
    <w:rsid w:val="00C65EBF"/>
    <w:rsid w:val="00C71B52"/>
    <w:rsid w:val="00C7219B"/>
    <w:rsid w:val="00C739DB"/>
    <w:rsid w:val="00C73EC8"/>
    <w:rsid w:val="00C73F2C"/>
    <w:rsid w:val="00C74D00"/>
    <w:rsid w:val="00C76D48"/>
    <w:rsid w:val="00C802B1"/>
    <w:rsid w:val="00C805F5"/>
    <w:rsid w:val="00C813B0"/>
    <w:rsid w:val="00C836AD"/>
    <w:rsid w:val="00C83756"/>
    <w:rsid w:val="00C83762"/>
    <w:rsid w:val="00C85938"/>
    <w:rsid w:val="00C9449D"/>
    <w:rsid w:val="00C94647"/>
    <w:rsid w:val="00CA01D3"/>
    <w:rsid w:val="00CA0F9B"/>
    <w:rsid w:val="00CA60AC"/>
    <w:rsid w:val="00CA798E"/>
    <w:rsid w:val="00CB15A5"/>
    <w:rsid w:val="00CB18B9"/>
    <w:rsid w:val="00CB1F7E"/>
    <w:rsid w:val="00CB2B9D"/>
    <w:rsid w:val="00CB2BFF"/>
    <w:rsid w:val="00CB3AB0"/>
    <w:rsid w:val="00CB5606"/>
    <w:rsid w:val="00CB626B"/>
    <w:rsid w:val="00CC0551"/>
    <w:rsid w:val="00CC0D03"/>
    <w:rsid w:val="00CC1AD8"/>
    <w:rsid w:val="00CC1C8C"/>
    <w:rsid w:val="00CC278E"/>
    <w:rsid w:val="00CC4CFB"/>
    <w:rsid w:val="00CC5257"/>
    <w:rsid w:val="00CC5917"/>
    <w:rsid w:val="00CC62E7"/>
    <w:rsid w:val="00CC6B36"/>
    <w:rsid w:val="00CD03B1"/>
    <w:rsid w:val="00CD1756"/>
    <w:rsid w:val="00CD181F"/>
    <w:rsid w:val="00CD1E32"/>
    <w:rsid w:val="00CD30B8"/>
    <w:rsid w:val="00CD4916"/>
    <w:rsid w:val="00CD5ADE"/>
    <w:rsid w:val="00CD772F"/>
    <w:rsid w:val="00CD7A27"/>
    <w:rsid w:val="00CD7CDE"/>
    <w:rsid w:val="00CE0B37"/>
    <w:rsid w:val="00CE1A9D"/>
    <w:rsid w:val="00CE37CE"/>
    <w:rsid w:val="00CE39E6"/>
    <w:rsid w:val="00CE3ADE"/>
    <w:rsid w:val="00CE47A9"/>
    <w:rsid w:val="00CF103A"/>
    <w:rsid w:val="00CF1EAD"/>
    <w:rsid w:val="00CF2483"/>
    <w:rsid w:val="00CF2CAF"/>
    <w:rsid w:val="00CF521B"/>
    <w:rsid w:val="00CF58E7"/>
    <w:rsid w:val="00D01743"/>
    <w:rsid w:val="00D03ACF"/>
    <w:rsid w:val="00D04265"/>
    <w:rsid w:val="00D04C70"/>
    <w:rsid w:val="00D04E60"/>
    <w:rsid w:val="00D056EA"/>
    <w:rsid w:val="00D077DC"/>
    <w:rsid w:val="00D10AD8"/>
    <w:rsid w:val="00D13B3B"/>
    <w:rsid w:val="00D13E75"/>
    <w:rsid w:val="00D14B68"/>
    <w:rsid w:val="00D21E1E"/>
    <w:rsid w:val="00D21FA8"/>
    <w:rsid w:val="00D22271"/>
    <w:rsid w:val="00D253E2"/>
    <w:rsid w:val="00D26340"/>
    <w:rsid w:val="00D26E9D"/>
    <w:rsid w:val="00D2784B"/>
    <w:rsid w:val="00D30F3F"/>
    <w:rsid w:val="00D32CC6"/>
    <w:rsid w:val="00D345FF"/>
    <w:rsid w:val="00D36D30"/>
    <w:rsid w:val="00D40159"/>
    <w:rsid w:val="00D403BB"/>
    <w:rsid w:val="00D40C81"/>
    <w:rsid w:val="00D416C3"/>
    <w:rsid w:val="00D443DA"/>
    <w:rsid w:val="00D44D37"/>
    <w:rsid w:val="00D465E4"/>
    <w:rsid w:val="00D46989"/>
    <w:rsid w:val="00D46DC4"/>
    <w:rsid w:val="00D505E1"/>
    <w:rsid w:val="00D52FEC"/>
    <w:rsid w:val="00D54264"/>
    <w:rsid w:val="00D56231"/>
    <w:rsid w:val="00D57DCB"/>
    <w:rsid w:val="00D60B50"/>
    <w:rsid w:val="00D62C2D"/>
    <w:rsid w:val="00D66D34"/>
    <w:rsid w:val="00D67146"/>
    <w:rsid w:val="00D70499"/>
    <w:rsid w:val="00D71D89"/>
    <w:rsid w:val="00D72457"/>
    <w:rsid w:val="00D72AF4"/>
    <w:rsid w:val="00D72EE3"/>
    <w:rsid w:val="00D74C88"/>
    <w:rsid w:val="00D75E80"/>
    <w:rsid w:val="00D76117"/>
    <w:rsid w:val="00D7740C"/>
    <w:rsid w:val="00D778C6"/>
    <w:rsid w:val="00D779AE"/>
    <w:rsid w:val="00D80368"/>
    <w:rsid w:val="00D80722"/>
    <w:rsid w:val="00D8242A"/>
    <w:rsid w:val="00D848CF"/>
    <w:rsid w:val="00D85336"/>
    <w:rsid w:val="00D860F1"/>
    <w:rsid w:val="00D86155"/>
    <w:rsid w:val="00D86B0C"/>
    <w:rsid w:val="00D86CE6"/>
    <w:rsid w:val="00D90552"/>
    <w:rsid w:val="00D91157"/>
    <w:rsid w:val="00D92446"/>
    <w:rsid w:val="00D930F2"/>
    <w:rsid w:val="00D94078"/>
    <w:rsid w:val="00D942C7"/>
    <w:rsid w:val="00D94357"/>
    <w:rsid w:val="00D9461F"/>
    <w:rsid w:val="00D970A6"/>
    <w:rsid w:val="00D970DB"/>
    <w:rsid w:val="00DA1B09"/>
    <w:rsid w:val="00DA23ED"/>
    <w:rsid w:val="00DA24A0"/>
    <w:rsid w:val="00DA26FA"/>
    <w:rsid w:val="00DB59BC"/>
    <w:rsid w:val="00DB6C34"/>
    <w:rsid w:val="00DB730E"/>
    <w:rsid w:val="00DC0619"/>
    <w:rsid w:val="00DC1789"/>
    <w:rsid w:val="00DC2514"/>
    <w:rsid w:val="00DC256C"/>
    <w:rsid w:val="00DC2917"/>
    <w:rsid w:val="00DC2A9E"/>
    <w:rsid w:val="00DC3445"/>
    <w:rsid w:val="00DC3BC5"/>
    <w:rsid w:val="00DC5B43"/>
    <w:rsid w:val="00DC62A6"/>
    <w:rsid w:val="00DC74AB"/>
    <w:rsid w:val="00DD025A"/>
    <w:rsid w:val="00DD1785"/>
    <w:rsid w:val="00DD2046"/>
    <w:rsid w:val="00DD28B9"/>
    <w:rsid w:val="00DD3767"/>
    <w:rsid w:val="00DD4A4F"/>
    <w:rsid w:val="00DD4E9A"/>
    <w:rsid w:val="00DD5DE8"/>
    <w:rsid w:val="00DD630C"/>
    <w:rsid w:val="00DE2279"/>
    <w:rsid w:val="00DE2285"/>
    <w:rsid w:val="00DE48DA"/>
    <w:rsid w:val="00DE4BFE"/>
    <w:rsid w:val="00DE5836"/>
    <w:rsid w:val="00DE7150"/>
    <w:rsid w:val="00DE7E38"/>
    <w:rsid w:val="00DF1D12"/>
    <w:rsid w:val="00DF52B2"/>
    <w:rsid w:val="00DF70C6"/>
    <w:rsid w:val="00E00BBF"/>
    <w:rsid w:val="00E0143C"/>
    <w:rsid w:val="00E02B87"/>
    <w:rsid w:val="00E033BA"/>
    <w:rsid w:val="00E03AB2"/>
    <w:rsid w:val="00E03DE7"/>
    <w:rsid w:val="00E04018"/>
    <w:rsid w:val="00E04765"/>
    <w:rsid w:val="00E05854"/>
    <w:rsid w:val="00E1003E"/>
    <w:rsid w:val="00E1016E"/>
    <w:rsid w:val="00E10A42"/>
    <w:rsid w:val="00E114CB"/>
    <w:rsid w:val="00E12873"/>
    <w:rsid w:val="00E12F9C"/>
    <w:rsid w:val="00E1432E"/>
    <w:rsid w:val="00E145D1"/>
    <w:rsid w:val="00E1480C"/>
    <w:rsid w:val="00E14CF4"/>
    <w:rsid w:val="00E15466"/>
    <w:rsid w:val="00E16ABC"/>
    <w:rsid w:val="00E16DC0"/>
    <w:rsid w:val="00E17D81"/>
    <w:rsid w:val="00E20576"/>
    <w:rsid w:val="00E211D6"/>
    <w:rsid w:val="00E23F60"/>
    <w:rsid w:val="00E24C37"/>
    <w:rsid w:val="00E24DFB"/>
    <w:rsid w:val="00E318DD"/>
    <w:rsid w:val="00E35CAC"/>
    <w:rsid w:val="00E3710D"/>
    <w:rsid w:val="00E3772E"/>
    <w:rsid w:val="00E379EC"/>
    <w:rsid w:val="00E40595"/>
    <w:rsid w:val="00E42392"/>
    <w:rsid w:val="00E4350F"/>
    <w:rsid w:val="00E43818"/>
    <w:rsid w:val="00E441DB"/>
    <w:rsid w:val="00E444A1"/>
    <w:rsid w:val="00E44784"/>
    <w:rsid w:val="00E44D03"/>
    <w:rsid w:val="00E4500E"/>
    <w:rsid w:val="00E45202"/>
    <w:rsid w:val="00E46622"/>
    <w:rsid w:val="00E46A03"/>
    <w:rsid w:val="00E47C2C"/>
    <w:rsid w:val="00E51168"/>
    <w:rsid w:val="00E51740"/>
    <w:rsid w:val="00E53357"/>
    <w:rsid w:val="00E55A45"/>
    <w:rsid w:val="00E57ED3"/>
    <w:rsid w:val="00E617FF"/>
    <w:rsid w:val="00E61D74"/>
    <w:rsid w:val="00E6260F"/>
    <w:rsid w:val="00E63729"/>
    <w:rsid w:val="00E639E7"/>
    <w:rsid w:val="00E63AA7"/>
    <w:rsid w:val="00E6486E"/>
    <w:rsid w:val="00E652F7"/>
    <w:rsid w:val="00E65E0A"/>
    <w:rsid w:val="00E67310"/>
    <w:rsid w:val="00E67453"/>
    <w:rsid w:val="00E67547"/>
    <w:rsid w:val="00E67FBB"/>
    <w:rsid w:val="00E72B6A"/>
    <w:rsid w:val="00E73B73"/>
    <w:rsid w:val="00E74FEC"/>
    <w:rsid w:val="00E759EF"/>
    <w:rsid w:val="00E770BF"/>
    <w:rsid w:val="00E770DE"/>
    <w:rsid w:val="00E770FA"/>
    <w:rsid w:val="00E77EE6"/>
    <w:rsid w:val="00E80AE9"/>
    <w:rsid w:val="00E81D24"/>
    <w:rsid w:val="00E82642"/>
    <w:rsid w:val="00E9008D"/>
    <w:rsid w:val="00E90EB5"/>
    <w:rsid w:val="00E92B5B"/>
    <w:rsid w:val="00E93BB0"/>
    <w:rsid w:val="00E94A23"/>
    <w:rsid w:val="00E9750E"/>
    <w:rsid w:val="00E976C1"/>
    <w:rsid w:val="00E97CD4"/>
    <w:rsid w:val="00EA11CD"/>
    <w:rsid w:val="00EA1FEA"/>
    <w:rsid w:val="00EA2A7F"/>
    <w:rsid w:val="00EA2AC3"/>
    <w:rsid w:val="00EA30EC"/>
    <w:rsid w:val="00EA47E1"/>
    <w:rsid w:val="00EA488B"/>
    <w:rsid w:val="00EA6788"/>
    <w:rsid w:val="00EA67C9"/>
    <w:rsid w:val="00EA7D21"/>
    <w:rsid w:val="00EB00CF"/>
    <w:rsid w:val="00EB20B8"/>
    <w:rsid w:val="00EB20C4"/>
    <w:rsid w:val="00EB271A"/>
    <w:rsid w:val="00EB3381"/>
    <w:rsid w:val="00EB70FC"/>
    <w:rsid w:val="00EC1E97"/>
    <w:rsid w:val="00EC6FB6"/>
    <w:rsid w:val="00EC7259"/>
    <w:rsid w:val="00ED0130"/>
    <w:rsid w:val="00ED06A9"/>
    <w:rsid w:val="00ED3BD4"/>
    <w:rsid w:val="00ED4055"/>
    <w:rsid w:val="00ED5054"/>
    <w:rsid w:val="00ED5843"/>
    <w:rsid w:val="00ED6470"/>
    <w:rsid w:val="00ED7424"/>
    <w:rsid w:val="00EE064E"/>
    <w:rsid w:val="00EE1074"/>
    <w:rsid w:val="00EE3653"/>
    <w:rsid w:val="00EE50D2"/>
    <w:rsid w:val="00EE6371"/>
    <w:rsid w:val="00EF0526"/>
    <w:rsid w:val="00EF0869"/>
    <w:rsid w:val="00EF4BFE"/>
    <w:rsid w:val="00EF4D08"/>
    <w:rsid w:val="00EF4FC5"/>
    <w:rsid w:val="00EF55B9"/>
    <w:rsid w:val="00EF6CB9"/>
    <w:rsid w:val="00EF79A2"/>
    <w:rsid w:val="00F00A06"/>
    <w:rsid w:val="00F00DA5"/>
    <w:rsid w:val="00F013F0"/>
    <w:rsid w:val="00F01400"/>
    <w:rsid w:val="00F03FAB"/>
    <w:rsid w:val="00F0473D"/>
    <w:rsid w:val="00F04753"/>
    <w:rsid w:val="00F048AE"/>
    <w:rsid w:val="00F07CA9"/>
    <w:rsid w:val="00F10DD9"/>
    <w:rsid w:val="00F11511"/>
    <w:rsid w:val="00F1154B"/>
    <w:rsid w:val="00F11F46"/>
    <w:rsid w:val="00F1321F"/>
    <w:rsid w:val="00F1379F"/>
    <w:rsid w:val="00F13BFD"/>
    <w:rsid w:val="00F149C3"/>
    <w:rsid w:val="00F14EC7"/>
    <w:rsid w:val="00F15FD6"/>
    <w:rsid w:val="00F204DE"/>
    <w:rsid w:val="00F23572"/>
    <w:rsid w:val="00F23F14"/>
    <w:rsid w:val="00F24C5B"/>
    <w:rsid w:val="00F25C6A"/>
    <w:rsid w:val="00F263E5"/>
    <w:rsid w:val="00F26501"/>
    <w:rsid w:val="00F26BF9"/>
    <w:rsid w:val="00F26EA4"/>
    <w:rsid w:val="00F27935"/>
    <w:rsid w:val="00F27A15"/>
    <w:rsid w:val="00F30874"/>
    <w:rsid w:val="00F30C46"/>
    <w:rsid w:val="00F316B1"/>
    <w:rsid w:val="00F316C2"/>
    <w:rsid w:val="00F3198E"/>
    <w:rsid w:val="00F328E6"/>
    <w:rsid w:val="00F33AED"/>
    <w:rsid w:val="00F35302"/>
    <w:rsid w:val="00F36499"/>
    <w:rsid w:val="00F42513"/>
    <w:rsid w:val="00F43117"/>
    <w:rsid w:val="00F43680"/>
    <w:rsid w:val="00F43D28"/>
    <w:rsid w:val="00F45F5D"/>
    <w:rsid w:val="00F46E62"/>
    <w:rsid w:val="00F5157F"/>
    <w:rsid w:val="00F5199F"/>
    <w:rsid w:val="00F52368"/>
    <w:rsid w:val="00F547B2"/>
    <w:rsid w:val="00F54981"/>
    <w:rsid w:val="00F57C59"/>
    <w:rsid w:val="00F60116"/>
    <w:rsid w:val="00F601C8"/>
    <w:rsid w:val="00F607FB"/>
    <w:rsid w:val="00F60DAC"/>
    <w:rsid w:val="00F619C5"/>
    <w:rsid w:val="00F62A4C"/>
    <w:rsid w:val="00F63D65"/>
    <w:rsid w:val="00F64693"/>
    <w:rsid w:val="00F6480C"/>
    <w:rsid w:val="00F65323"/>
    <w:rsid w:val="00F65D9A"/>
    <w:rsid w:val="00F67814"/>
    <w:rsid w:val="00F67EF9"/>
    <w:rsid w:val="00F702E7"/>
    <w:rsid w:val="00F71405"/>
    <w:rsid w:val="00F71CE3"/>
    <w:rsid w:val="00F73EBC"/>
    <w:rsid w:val="00F75752"/>
    <w:rsid w:val="00F76A72"/>
    <w:rsid w:val="00F7739E"/>
    <w:rsid w:val="00F77497"/>
    <w:rsid w:val="00F80B3D"/>
    <w:rsid w:val="00F856D2"/>
    <w:rsid w:val="00F85BE2"/>
    <w:rsid w:val="00F87C9C"/>
    <w:rsid w:val="00F916B2"/>
    <w:rsid w:val="00F918BA"/>
    <w:rsid w:val="00F92469"/>
    <w:rsid w:val="00F92A1B"/>
    <w:rsid w:val="00F93C5A"/>
    <w:rsid w:val="00F94316"/>
    <w:rsid w:val="00F94676"/>
    <w:rsid w:val="00F9569A"/>
    <w:rsid w:val="00F9616E"/>
    <w:rsid w:val="00F9727C"/>
    <w:rsid w:val="00FA0156"/>
    <w:rsid w:val="00FA041B"/>
    <w:rsid w:val="00FA0AB8"/>
    <w:rsid w:val="00FA21A2"/>
    <w:rsid w:val="00FA2560"/>
    <w:rsid w:val="00FA26F5"/>
    <w:rsid w:val="00FA606C"/>
    <w:rsid w:val="00FB10B0"/>
    <w:rsid w:val="00FB1788"/>
    <w:rsid w:val="00FB6403"/>
    <w:rsid w:val="00FB77E1"/>
    <w:rsid w:val="00FC021F"/>
    <w:rsid w:val="00FC1735"/>
    <w:rsid w:val="00FC2087"/>
    <w:rsid w:val="00FC2D79"/>
    <w:rsid w:val="00FC4446"/>
    <w:rsid w:val="00FC584E"/>
    <w:rsid w:val="00FC79C4"/>
    <w:rsid w:val="00FD169A"/>
    <w:rsid w:val="00FD2E42"/>
    <w:rsid w:val="00FD3305"/>
    <w:rsid w:val="00FE3277"/>
    <w:rsid w:val="00FE41E3"/>
    <w:rsid w:val="00FE4D06"/>
    <w:rsid w:val="00FE52F0"/>
    <w:rsid w:val="00FF02D8"/>
    <w:rsid w:val="00FF22BC"/>
    <w:rsid w:val="00FF3424"/>
    <w:rsid w:val="00FF49C7"/>
    <w:rsid w:val="00FF6875"/>
    <w:rsid w:val="05320C9E"/>
    <w:rsid w:val="05A920AB"/>
    <w:rsid w:val="071561ED"/>
    <w:rsid w:val="092A7841"/>
    <w:rsid w:val="09FE6E55"/>
    <w:rsid w:val="0CEA2611"/>
    <w:rsid w:val="104A6951"/>
    <w:rsid w:val="10863680"/>
    <w:rsid w:val="11D6124A"/>
    <w:rsid w:val="12CB5A2D"/>
    <w:rsid w:val="1324088E"/>
    <w:rsid w:val="1352286C"/>
    <w:rsid w:val="1DC77BB6"/>
    <w:rsid w:val="255A0F8D"/>
    <w:rsid w:val="268A6707"/>
    <w:rsid w:val="33123350"/>
    <w:rsid w:val="36491392"/>
    <w:rsid w:val="38387547"/>
    <w:rsid w:val="39C37AE0"/>
    <w:rsid w:val="3C3974FB"/>
    <w:rsid w:val="3F4476AB"/>
    <w:rsid w:val="3FF004CF"/>
    <w:rsid w:val="40EF7C2F"/>
    <w:rsid w:val="47A81A04"/>
    <w:rsid w:val="49F46095"/>
    <w:rsid w:val="4ACE5382"/>
    <w:rsid w:val="4B240C10"/>
    <w:rsid w:val="4F0B4E06"/>
    <w:rsid w:val="5129281F"/>
    <w:rsid w:val="54860AC4"/>
    <w:rsid w:val="56463B62"/>
    <w:rsid w:val="597E2DCA"/>
    <w:rsid w:val="5D5B3DC7"/>
    <w:rsid w:val="5D644E44"/>
    <w:rsid w:val="5DF71C7B"/>
    <w:rsid w:val="5ECC767F"/>
    <w:rsid w:val="627C15C6"/>
    <w:rsid w:val="64295A29"/>
    <w:rsid w:val="699F11B9"/>
    <w:rsid w:val="6C813413"/>
    <w:rsid w:val="6FDA5FBA"/>
    <w:rsid w:val="702256BA"/>
    <w:rsid w:val="70D04428"/>
    <w:rsid w:val="74382F48"/>
    <w:rsid w:val="78EA2E30"/>
    <w:rsid w:val="7969354A"/>
    <w:rsid w:val="7C4D1114"/>
    <w:rsid w:val="7D9C59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nhideWhenUsed="0" w:uiPriority="0" w:semiHidden="0" w:name="heading 2"/>
    <w:lsdException w:qFormat="1" w:unhideWhenUsed="0" w:uiPriority="0" w:semiHidden="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qFormat="1" w:unhideWhenUsed="0" w:uiPriority="39" w:semiHidden="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uiPriority="0" w:name="footnote text"/>
    <w:lsdException w:qFormat="1" w:unhideWhenUsed="0" w:uiPriority="0" w:semiHidden="0" w:name="annotation text"/>
    <w:lsdException w:qFormat="1" w:unhideWhenUsed="0" w:uiPriority="99" w:semiHidden="0" w:name="header"/>
    <w:lsdException w:qFormat="1" w:unhideWhenUsed="0" w:uiPriority="0" w:semiHidden="0" w:name="footer"/>
    <w:lsdException w:uiPriority="0" w:name="index heading"/>
    <w:lsdException w:qFormat="1" w:unhideWhenUsed="0" w:uiPriority="0" w:semiHidden="0" w:name="caption" w:locked="1"/>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ocked="1"/>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ocked="1"/>
    <w:lsdException w:uiPriority="0" w:name="Salutation"/>
    <w:lsdException w:uiPriority="0" w:name="Date"/>
    <w:lsdException w:uiPriority="0" w:name="Body Text First Indent"/>
    <w:lsdException w:uiPriority="0" w:name="Body Text First Indent 2"/>
    <w:lsdException w:uiPriority="0" w:name="Note Heading"/>
    <w:lsdException w:qFormat="1" w:uiPriority="99" w:name="Body Text 2"/>
    <w:lsdException w:uiPriority="0" w:name="Body Text 3"/>
    <w:lsdException w:qFormat="1" w:unhideWhenUsed="0" w:uiPriority="0" w:semiHidden="0" w:name="Body Text Indent 2"/>
    <w:lsdException w:qFormat="1" w:unhideWhenUsed="0" w:uiPriority="0" w:semiHidden="0" w:name="Body Text Indent 3"/>
    <w:lsdException w:uiPriority="0" w:name="Block Text"/>
    <w:lsdException w:qFormat="1" w:uiPriority="99" w:semiHidden="0" w:name="Hyperlink"/>
    <w:lsdException w:uiPriority="0" w:name="FollowedHyperlink"/>
    <w:lsdException w:qFormat="1" w:unhideWhenUsed="0" w:uiPriority="0" w:semiHidden="0" w:name="Strong" w:locked="1"/>
    <w:lsdException w:qFormat="1" w:unhideWhenUsed="0" w:uiPriority="0" w:semiHidden="0" w:name="Emphasis" w:locked="1"/>
    <w:lsdException w:qFormat="1" w:unhideWhenUsed="0" w:uiPriority="0" w:semiHidden="0" w:name="Document Map"/>
    <w:lsdException w:qFormat="1" w:unhideWhenUsed="0" w:uiPriority="0" w:semiHidden="0" w:name="Plain Text"/>
    <w:lsdException w:uiPriority="0" w:name="E-mail Signature"/>
    <w:lsdException w:qFormat="1" w:unhideWhenUsed="0" w:uiPriority="0"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59" w:semiHidden="0" w:name="Table Grid"/>
    <w:lsdException w:qFormat="1" w:unhideWhenUsed="0" w:uiPriority="0" w:semiHidden="0" w:name="Table Theme"/>
    <w:lsdException w:qFormat="1"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33"/>
    <w:autoRedefine/>
    <w:qFormat/>
    <w:locked/>
    <w:uiPriority w:val="0"/>
    <w:pPr>
      <w:keepNext/>
      <w:keepLines/>
      <w:spacing w:before="340" w:after="330" w:line="578" w:lineRule="auto"/>
      <w:outlineLvl w:val="0"/>
    </w:pPr>
    <w:rPr>
      <w:b/>
      <w:bCs/>
      <w:kern w:val="44"/>
      <w:sz w:val="44"/>
      <w:szCs w:val="44"/>
    </w:rPr>
  </w:style>
  <w:style w:type="paragraph" w:styleId="4">
    <w:name w:val="heading 2"/>
    <w:basedOn w:val="1"/>
    <w:next w:val="1"/>
    <w:link w:val="37"/>
    <w:autoRedefine/>
    <w:qFormat/>
    <w:uiPriority w:val="0"/>
    <w:pPr>
      <w:keepNext/>
      <w:keepLines/>
      <w:spacing w:line="360" w:lineRule="auto"/>
      <w:outlineLvl w:val="1"/>
    </w:pPr>
    <w:rPr>
      <w:rFonts w:ascii="宋体" w:hAnsi="宋体"/>
      <w:b/>
      <w:bCs/>
      <w:color w:val="000000"/>
      <w:sz w:val="28"/>
      <w:szCs w:val="28"/>
    </w:rPr>
  </w:style>
  <w:style w:type="paragraph" w:styleId="5">
    <w:name w:val="heading 3"/>
    <w:basedOn w:val="1"/>
    <w:next w:val="1"/>
    <w:link w:val="50"/>
    <w:autoRedefine/>
    <w:qFormat/>
    <w:locked/>
    <w:uiPriority w:val="0"/>
    <w:pPr>
      <w:keepNext/>
      <w:keepLines/>
      <w:spacing w:before="260" w:after="260" w:line="416" w:lineRule="auto"/>
      <w:outlineLvl w:val="2"/>
    </w:pPr>
    <w:rPr>
      <w:b/>
      <w:bCs/>
      <w:sz w:val="32"/>
      <w:szCs w:val="32"/>
    </w:rPr>
  </w:style>
  <w:style w:type="paragraph" w:styleId="6">
    <w:name w:val="heading 8"/>
    <w:basedOn w:val="1"/>
    <w:next w:val="1"/>
    <w:link w:val="93"/>
    <w:autoRedefine/>
    <w:semiHidden/>
    <w:unhideWhenUsed/>
    <w:qFormat/>
    <w:locked/>
    <w:uiPriority w:val="0"/>
    <w:pPr>
      <w:keepNext/>
      <w:keepLines/>
      <w:spacing w:before="240" w:after="64" w:line="320" w:lineRule="auto"/>
      <w:outlineLvl w:val="7"/>
    </w:pPr>
    <w:rPr>
      <w:rFonts w:asciiTheme="majorHAnsi" w:hAnsiTheme="majorHAnsi" w:eastAsiaTheme="majorEastAsia" w:cstheme="majorBidi"/>
      <w:sz w:val="24"/>
    </w:rPr>
  </w:style>
  <w:style w:type="character" w:default="1" w:styleId="26">
    <w:name w:val="Default Paragraph Font"/>
    <w:autoRedefine/>
    <w:semiHidden/>
    <w:unhideWhenUsed/>
    <w:qFormat/>
    <w:uiPriority w:val="1"/>
  </w:style>
  <w:style w:type="table" w:default="1" w:styleId="23">
    <w:name w:val="Normal Table"/>
    <w:autoRedefine/>
    <w:semiHidden/>
    <w:unhideWhenUsed/>
    <w:qFormat/>
    <w:uiPriority w:val="99"/>
    <w:tblPr>
      <w:tblCellMar>
        <w:top w:w="0" w:type="dxa"/>
        <w:left w:w="108" w:type="dxa"/>
        <w:bottom w:w="0" w:type="dxa"/>
        <w:right w:w="108" w:type="dxa"/>
      </w:tblCellMar>
    </w:tblPr>
  </w:style>
  <w:style w:type="paragraph" w:styleId="2">
    <w:name w:val="Body Text"/>
    <w:basedOn w:val="1"/>
    <w:link w:val="94"/>
    <w:autoRedefine/>
    <w:qFormat/>
    <w:uiPriority w:val="0"/>
    <w:rPr>
      <w:sz w:val="24"/>
      <w:szCs w:val="20"/>
    </w:rPr>
  </w:style>
  <w:style w:type="paragraph" w:styleId="7">
    <w:name w:val="Normal Indent"/>
    <w:basedOn w:val="1"/>
    <w:link w:val="49"/>
    <w:autoRedefine/>
    <w:qFormat/>
    <w:uiPriority w:val="0"/>
    <w:pPr>
      <w:spacing w:line="460" w:lineRule="atLeast"/>
      <w:ind w:firstLine="510"/>
    </w:pPr>
    <w:rPr>
      <w:sz w:val="24"/>
      <w:szCs w:val="20"/>
    </w:rPr>
  </w:style>
  <w:style w:type="paragraph" w:styleId="8">
    <w:name w:val="caption"/>
    <w:basedOn w:val="1"/>
    <w:next w:val="1"/>
    <w:autoRedefine/>
    <w:qFormat/>
    <w:locked/>
    <w:uiPriority w:val="0"/>
    <w:rPr>
      <w:rFonts w:ascii="Cambria" w:hAnsi="Cambria" w:eastAsia="黑体"/>
      <w:sz w:val="20"/>
      <w:szCs w:val="20"/>
    </w:rPr>
  </w:style>
  <w:style w:type="paragraph" w:styleId="9">
    <w:name w:val="Document Map"/>
    <w:basedOn w:val="1"/>
    <w:link w:val="32"/>
    <w:autoRedefine/>
    <w:qFormat/>
    <w:uiPriority w:val="0"/>
    <w:rPr>
      <w:rFonts w:ascii="宋体"/>
      <w:sz w:val="18"/>
      <w:szCs w:val="18"/>
    </w:rPr>
  </w:style>
  <w:style w:type="paragraph" w:styleId="10">
    <w:name w:val="annotation text"/>
    <w:basedOn w:val="1"/>
    <w:link w:val="47"/>
    <w:autoRedefine/>
    <w:qFormat/>
    <w:uiPriority w:val="0"/>
    <w:pPr>
      <w:jc w:val="left"/>
    </w:pPr>
  </w:style>
  <w:style w:type="paragraph" w:styleId="11">
    <w:name w:val="Body Text Indent"/>
    <w:basedOn w:val="1"/>
    <w:autoRedefine/>
    <w:qFormat/>
    <w:uiPriority w:val="0"/>
    <w:pPr>
      <w:spacing w:after="120"/>
      <w:ind w:left="420" w:leftChars="200"/>
    </w:pPr>
  </w:style>
  <w:style w:type="paragraph" w:styleId="12">
    <w:name w:val="Plain Text"/>
    <w:basedOn w:val="1"/>
    <w:link w:val="81"/>
    <w:autoRedefine/>
    <w:qFormat/>
    <w:uiPriority w:val="0"/>
    <w:rPr>
      <w:rFonts w:ascii="宋体" w:hAnsi="Courier New"/>
      <w:szCs w:val="20"/>
    </w:rPr>
  </w:style>
  <w:style w:type="paragraph" w:styleId="13">
    <w:name w:val="Body Text Indent 2"/>
    <w:basedOn w:val="1"/>
    <w:autoRedefine/>
    <w:qFormat/>
    <w:uiPriority w:val="0"/>
    <w:pPr>
      <w:ind w:firstLine="564"/>
    </w:pPr>
    <w:rPr>
      <w:rFonts w:ascii="仿宋_GB2312" w:eastAsia="仿宋_GB2312"/>
      <w:sz w:val="28"/>
      <w:szCs w:val="20"/>
    </w:rPr>
  </w:style>
  <w:style w:type="paragraph" w:styleId="14">
    <w:name w:val="Balloon Text"/>
    <w:basedOn w:val="1"/>
    <w:link w:val="38"/>
    <w:autoRedefine/>
    <w:qFormat/>
    <w:uiPriority w:val="0"/>
    <w:rPr>
      <w:sz w:val="18"/>
      <w:szCs w:val="18"/>
    </w:rPr>
  </w:style>
  <w:style w:type="paragraph" w:styleId="15">
    <w:name w:val="footer"/>
    <w:basedOn w:val="1"/>
    <w:autoRedefine/>
    <w:qFormat/>
    <w:uiPriority w:val="0"/>
    <w:pPr>
      <w:tabs>
        <w:tab w:val="center" w:pos="4153"/>
        <w:tab w:val="right" w:pos="8306"/>
      </w:tabs>
      <w:snapToGrid w:val="0"/>
      <w:jc w:val="left"/>
    </w:pPr>
    <w:rPr>
      <w:sz w:val="18"/>
      <w:szCs w:val="18"/>
    </w:rPr>
  </w:style>
  <w:style w:type="paragraph" w:styleId="16">
    <w:name w:val="header"/>
    <w:basedOn w:val="1"/>
    <w:link w:val="41"/>
    <w:autoRedefine/>
    <w:qFormat/>
    <w:uiPriority w:val="99"/>
    <w:pPr>
      <w:pBdr>
        <w:bottom w:val="single" w:color="auto" w:sz="6" w:space="1"/>
      </w:pBdr>
      <w:tabs>
        <w:tab w:val="center" w:pos="4153"/>
        <w:tab w:val="right" w:pos="8306"/>
      </w:tabs>
      <w:snapToGrid w:val="0"/>
      <w:jc w:val="center"/>
    </w:pPr>
    <w:rPr>
      <w:sz w:val="18"/>
      <w:szCs w:val="18"/>
    </w:rPr>
  </w:style>
  <w:style w:type="paragraph" w:styleId="17">
    <w:name w:val="Subtitle"/>
    <w:basedOn w:val="1"/>
    <w:next w:val="1"/>
    <w:link w:val="36"/>
    <w:autoRedefine/>
    <w:qFormat/>
    <w:locked/>
    <w:uiPriority w:val="0"/>
    <w:pPr>
      <w:spacing w:before="240" w:after="60" w:line="312" w:lineRule="auto"/>
      <w:jc w:val="center"/>
      <w:outlineLvl w:val="1"/>
    </w:pPr>
    <w:rPr>
      <w:rFonts w:ascii="Cambria" w:hAnsi="Cambria"/>
      <w:b/>
      <w:bCs/>
      <w:kern w:val="28"/>
      <w:sz w:val="24"/>
      <w:szCs w:val="32"/>
    </w:rPr>
  </w:style>
  <w:style w:type="paragraph" w:styleId="18">
    <w:name w:val="Body Text Indent 3"/>
    <w:basedOn w:val="1"/>
    <w:autoRedefine/>
    <w:qFormat/>
    <w:uiPriority w:val="0"/>
    <w:pPr>
      <w:spacing w:line="400" w:lineRule="exact"/>
      <w:ind w:firstLine="518" w:firstLineChars="185"/>
    </w:pPr>
    <w:rPr>
      <w:rFonts w:ascii="仿宋_GB2312" w:eastAsia="仿宋_GB2312"/>
      <w:sz w:val="28"/>
      <w:szCs w:val="20"/>
    </w:rPr>
  </w:style>
  <w:style w:type="paragraph" w:styleId="19">
    <w:name w:val="toc 2"/>
    <w:basedOn w:val="1"/>
    <w:next w:val="1"/>
    <w:autoRedefine/>
    <w:qFormat/>
    <w:uiPriority w:val="39"/>
    <w:pPr>
      <w:ind w:left="420" w:leftChars="200"/>
    </w:pPr>
  </w:style>
  <w:style w:type="paragraph" w:styleId="20">
    <w:name w:val="Body Text 2"/>
    <w:basedOn w:val="1"/>
    <w:link w:val="78"/>
    <w:autoRedefine/>
    <w:semiHidden/>
    <w:unhideWhenUsed/>
    <w:qFormat/>
    <w:uiPriority w:val="99"/>
    <w:pPr>
      <w:spacing w:after="120" w:line="480" w:lineRule="auto"/>
    </w:pPr>
    <w:rPr>
      <w:szCs w:val="20"/>
    </w:rPr>
  </w:style>
  <w:style w:type="paragraph" w:styleId="21">
    <w:name w:val="Normal (Web)"/>
    <w:basedOn w:val="1"/>
    <w:autoRedefine/>
    <w:qFormat/>
    <w:uiPriority w:val="0"/>
    <w:pPr>
      <w:widowControl/>
      <w:spacing w:before="100" w:beforeAutospacing="1" w:after="100" w:afterAutospacing="1"/>
      <w:jc w:val="left"/>
    </w:pPr>
    <w:rPr>
      <w:rFonts w:ascii="宋体" w:hAnsi="宋体" w:cs="宋体"/>
      <w:kern w:val="0"/>
      <w:sz w:val="24"/>
    </w:rPr>
  </w:style>
  <w:style w:type="paragraph" w:styleId="22">
    <w:name w:val="annotation subject"/>
    <w:basedOn w:val="10"/>
    <w:next w:val="10"/>
    <w:link w:val="42"/>
    <w:autoRedefine/>
    <w:unhideWhenUsed/>
    <w:qFormat/>
    <w:uiPriority w:val="0"/>
    <w:rPr>
      <w:b/>
      <w:bCs/>
    </w:rPr>
  </w:style>
  <w:style w:type="table" w:styleId="24">
    <w:name w:val="Table Grid"/>
    <w:basedOn w:val="23"/>
    <w:autoRedefine/>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25">
    <w:name w:val="Table Theme"/>
    <w:basedOn w:val="23"/>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page number"/>
    <w:autoRedefine/>
    <w:qFormat/>
    <w:uiPriority w:val="0"/>
    <w:rPr>
      <w:rFonts w:cs="Times New Roman"/>
    </w:rPr>
  </w:style>
  <w:style w:type="character" w:styleId="28">
    <w:name w:val="Hyperlink"/>
    <w:autoRedefine/>
    <w:unhideWhenUsed/>
    <w:qFormat/>
    <w:uiPriority w:val="99"/>
    <w:rPr>
      <w:color w:val="0000FF"/>
      <w:u w:val="single"/>
    </w:rPr>
  </w:style>
  <w:style w:type="character" w:styleId="29">
    <w:name w:val="annotation reference"/>
    <w:autoRedefine/>
    <w:qFormat/>
    <w:uiPriority w:val="0"/>
    <w:rPr>
      <w:sz w:val="21"/>
      <w:szCs w:val="21"/>
    </w:rPr>
  </w:style>
  <w:style w:type="character" w:customStyle="1" w:styleId="30">
    <w:name w:val="君邦正文 Char Char"/>
    <w:link w:val="31"/>
    <w:autoRedefine/>
    <w:qFormat/>
    <w:uiPriority w:val="0"/>
    <w:rPr>
      <w:bCs/>
      <w:snapToGrid w:val="0"/>
      <w:sz w:val="24"/>
      <w:lang w:val="en-US" w:eastAsia="zh-CN" w:bidi="ar-SA"/>
    </w:rPr>
  </w:style>
  <w:style w:type="paragraph" w:customStyle="1" w:styleId="31">
    <w:name w:val="君邦正文"/>
    <w:link w:val="30"/>
    <w:autoRedefine/>
    <w:qFormat/>
    <w:uiPriority w:val="0"/>
    <w:pPr>
      <w:spacing w:after="60" w:line="360" w:lineRule="auto"/>
      <w:ind w:firstLine="480" w:firstLineChars="200"/>
      <w:jc w:val="both"/>
    </w:pPr>
    <w:rPr>
      <w:rFonts w:ascii="Times New Roman" w:hAnsi="Times New Roman" w:eastAsia="宋体" w:cs="Times New Roman"/>
      <w:bCs/>
      <w:snapToGrid w:val="0"/>
      <w:sz w:val="24"/>
      <w:lang w:val="en-US" w:eastAsia="zh-CN" w:bidi="ar-SA"/>
    </w:rPr>
  </w:style>
  <w:style w:type="character" w:customStyle="1" w:styleId="32">
    <w:name w:val="文档结构图 Char"/>
    <w:link w:val="9"/>
    <w:autoRedefine/>
    <w:qFormat/>
    <w:uiPriority w:val="0"/>
    <w:rPr>
      <w:rFonts w:ascii="宋体"/>
      <w:kern w:val="2"/>
      <w:sz w:val="18"/>
      <w:szCs w:val="18"/>
    </w:rPr>
  </w:style>
  <w:style w:type="character" w:customStyle="1" w:styleId="33">
    <w:name w:val="标题 1 Char"/>
    <w:link w:val="3"/>
    <w:autoRedefine/>
    <w:qFormat/>
    <w:uiPriority w:val="0"/>
    <w:rPr>
      <w:b/>
      <w:bCs/>
      <w:kern w:val="44"/>
      <w:sz w:val="44"/>
      <w:szCs w:val="44"/>
    </w:rPr>
  </w:style>
  <w:style w:type="character" w:customStyle="1" w:styleId="34">
    <w:name w:val="表格内容 Char"/>
    <w:link w:val="35"/>
    <w:autoRedefine/>
    <w:qFormat/>
    <w:uiPriority w:val="0"/>
    <w:rPr>
      <w:sz w:val="24"/>
    </w:rPr>
  </w:style>
  <w:style w:type="paragraph" w:customStyle="1" w:styleId="35">
    <w:name w:val="表格内容"/>
    <w:basedOn w:val="1"/>
    <w:link w:val="34"/>
    <w:autoRedefine/>
    <w:qFormat/>
    <w:uiPriority w:val="0"/>
    <w:pPr>
      <w:adjustRightInd w:val="0"/>
      <w:snapToGrid w:val="0"/>
      <w:spacing w:line="360" w:lineRule="atLeast"/>
      <w:jc w:val="center"/>
    </w:pPr>
    <w:rPr>
      <w:kern w:val="0"/>
      <w:sz w:val="24"/>
      <w:szCs w:val="20"/>
    </w:rPr>
  </w:style>
  <w:style w:type="character" w:customStyle="1" w:styleId="36">
    <w:name w:val="副标题 Char"/>
    <w:link w:val="17"/>
    <w:autoRedefine/>
    <w:qFormat/>
    <w:uiPriority w:val="0"/>
    <w:rPr>
      <w:rFonts w:ascii="Cambria" w:hAnsi="Cambria" w:cs="Times New Roman"/>
      <w:b/>
      <w:bCs/>
      <w:kern w:val="28"/>
      <w:sz w:val="24"/>
      <w:szCs w:val="32"/>
    </w:rPr>
  </w:style>
  <w:style w:type="character" w:customStyle="1" w:styleId="37">
    <w:name w:val="标题 2 Char"/>
    <w:link w:val="4"/>
    <w:autoRedefine/>
    <w:qFormat/>
    <w:uiPriority w:val="0"/>
    <w:rPr>
      <w:rFonts w:ascii="宋体" w:hAnsi="宋体"/>
      <w:b/>
      <w:bCs/>
      <w:color w:val="000000"/>
      <w:kern w:val="2"/>
      <w:sz w:val="28"/>
      <w:szCs w:val="28"/>
    </w:rPr>
  </w:style>
  <w:style w:type="character" w:customStyle="1" w:styleId="38">
    <w:name w:val="批注框文本 Char"/>
    <w:link w:val="14"/>
    <w:autoRedefine/>
    <w:qFormat/>
    <w:uiPriority w:val="0"/>
    <w:rPr>
      <w:kern w:val="2"/>
      <w:sz w:val="18"/>
      <w:szCs w:val="18"/>
    </w:rPr>
  </w:style>
  <w:style w:type="character" w:customStyle="1" w:styleId="39">
    <w:name w:val="Normal Char"/>
    <w:link w:val="40"/>
    <w:autoRedefine/>
    <w:qFormat/>
    <w:uiPriority w:val="0"/>
    <w:rPr>
      <w:rFonts w:ascii="宋体"/>
      <w:sz w:val="24"/>
      <w:lang w:val="en-US" w:eastAsia="zh-CN" w:bidi="ar-SA"/>
    </w:rPr>
  </w:style>
  <w:style w:type="paragraph" w:customStyle="1" w:styleId="40">
    <w:name w:val="正文1"/>
    <w:link w:val="39"/>
    <w:autoRedefine/>
    <w:qFormat/>
    <w:uiPriority w:val="0"/>
    <w:pPr>
      <w:widowControl w:val="0"/>
      <w:adjustRightInd w:val="0"/>
      <w:spacing w:line="315" w:lineRule="atLeast"/>
      <w:textAlignment w:val="baseline"/>
    </w:pPr>
    <w:rPr>
      <w:rFonts w:ascii="宋体" w:hAnsi="Times New Roman" w:eastAsia="宋体" w:cs="Times New Roman"/>
      <w:sz w:val="24"/>
      <w:lang w:val="en-US" w:eastAsia="zh-CN" w:bidi="ar-SA"/>
    </w:rPr>
  </w:style>
  <w:style w:type="character" w:customStyle="1" w:styleId="41">
    <w:name w:val="页眉 Char"/>
    <w:link w:val="16"/>
    <w:autoRedefine/>
    <w:qFormat/>
    <w:uiPriority w:val="99"/>
    <w:rPr>
      <w:kern w:val="2"/>
      <w:sz w:val="18"/>
      <w:szCs w:val="18"/>
    </w:rPr>
  </w:style>
  <w:style w:type="character" w:customStyle="1" w:styleId="42">
    <w:name w:val="批注主题 Char"/>
    <w:link w:val="22"/>
    <w:autoRedefine/>
    <w:qFormat/>
    <w:uiPriority w:val="0"/>
    <w:rPr>
      <w:b/>
      <w:bCs/>
      <w:kern w:val="2"/>
      <w:sz w:val="21"/>
      <w:szCs w:val="24"/>
    </w:rPr>
  </w:style>
  <w:style w:type="character" w:customStyle="1" w:styleId="43">
    <w:name w:val="表格 Char"/>
    <w:link w:val="44"/>
    <w:autoRedefine/>
    <w:qFormat/>
    <w:uiPriority w:val="0"/>
    <w:rPr>
      <w:bCs/>
      <w:color w:val="000000"/>
      <w:kern w:val="2"/>
      <w:sz w:val="18"/>
      <w:szCs w:val="21"/>
    </w:rPr>
  </w:style>
  <w:style w:type="paragraph" w:customStyle="1" w:styleId="44">
    <w:name w:val="表格"/>
    <w:basedOn w:val="1"/>
    <w:next w:val="1"/>
    <w:link w:val="43"/>
    <w:autoRedefine/>
    <w:qFormat/>
    <w:uiPriority w:val="0"/>
    <w:pPr>
      <w:spacing w:line="240" w:lineRule="exact"/>
      <w:jc w:val="left"/>
    </w:pPr>
    <w:rPr>
      <w:bCs/>
      <w:color w:val="000000"/>
      <w:sz w:val="18"/>
      <w:szCs w:val="21"/>
    </w:rPr>
  </w:style>
  <w:style w:type="character" w:customStyle="1" w:styleId="45">
    <w:name w:val="正文小四 Char Char"/>
    <w:link w:val="46"/>
    <w:autoRedefine/>
    <w:qFormat/>
    <w:uiPriority w:val="0"/>
    <w:rPr>
      <w:kern w:val="2"/>
      <w:sz w:val="24"/>
      <w:szCs w:val="24"/>
    </w:rPr>
  </w:style>
  <w:style w:type="paragraph" w:customStyle="1" w:styleId="46">
    <w:name w:val="正文小四"/>
    <w:basedOn w:val="1"/>
    <w:link w:val="45"/>
    <w:autoRedefine/>
    <w:qFormat/>
    <w:uiPriority w:val="0"/>
    <w:pPr>
      <w:spacing w:line="360" w:lineRule="auto"/>
      <w:ind w:firstLine="480" w:firstLineChars="200"/>
    </w:pPr>
    <w:rPr>
      <w:sz w:val="24"/>
    </w:rPr>
  </w:style>
  <w:style w:type="character" w:customStyle="1" w:styleId="47">
    <w:name w:val="批注文字 Char"/>
    <w:link w:val="10"/>
    <w:autoRedefine/>
    <w:qFormat/>
    <w:uiPriority w:val="0"/>
    <w:rPr>
      <w:kern w:val="2"/>
      <w:sz w:val="21"/>
      <w:szCs w:val="24"/>
    </w:rPr>
  </w:style>
  <w:style w:type="character" w:customStyle="1" w:styleId="48">
    <w:name w:val="style81"/>
    <w:autoRedefine/>
    <w:qFormat/>
    <w:uiPriority w:val="0"/>
    <w:rPr>
      <w:rFonts w:cs="Times New Roman"/>
      <w:color w:val="FF6600"/>
    </w:rPr>
  </w:style>
  <w:style w:type="character" w:customStyle="1" w:styleId="49">
    <w:name w:val="正文缩进 Char"/>
    <w:link w:val="7"/>
    <w:autoRedefine/>
    <w:qFormat/>
    <w:uiPriority w:val="0"/>
    <w:rPr>
      <w:kern w:val="2"/>
      <w:sz w:val="24"/>
    </w:rPr>
  </w:style>
  <w:style w:type="character" w:customStyle="1" w:styleId="50">
    <w:name w:val="标题 3 Char"/>
    <w:link w:val="5"/>
    <w:autoRedefine/>
    <w:semiHidden/>
    <w:qFormat/>
    <w:uiPriority w:val="0"/>
    <w:rPr>
      <w:b/>
      <w:bCs/>
      <w:kern w:val="2"/>
      <w:sz w:val="32"/>
      <w:szCs w:val="32"/>
    </w:rPr>
  </w:style>
  <w:style w:type="paragraph" w:customStyle="1" w:styleId="51">
    <w:name w:val="表头"/>
    <w:basedOn w:val="1"/>
    <w:link w:val="70"/>
    <w:autoRedefine/>
    <w:qFormat/>
    <w:uiPriority w:val="0"/>
    <w:pPr>
      <w:spacing w:line="240" w:lineRule="atLeast"/>
      <w:ind w:right="-105" w:rightChars="-50"/>
      <w:jc w:val="center"/>
    </w:pPr>
    <w:rPr>
      <w:rFonts w:ascii="宋体" w:hAnsi="宋体" w:cs="Arial"/>
      <w:b/>
      <w:color w:val="000000"/>
      <w:sz w:val="24"/>
    </w:rPr>
  </w:style>
  <w:style w:type="paragraph" w:customStyle="1" w:styleId="52">
    <w:name w:val="列出段落1"/>
    <w:basedOn w:val="1"/>
    <w:autoRedefine/>
    <w:qFormat/>
    <w:uiPriority w:val="34"/>
    <w:pPr>
      <w:ind w:firstLine="420" w:firstLineChars="200"/>
    </w:pPr>
    <w:rPr>
      <w:szCs w:val="20"/>
    </w:rPr>
  </w:style>
  <w:style w:type="paragraph" w:customStyle="1" w:styleId="53">
    <w:name w:val="表 头"/>
    <w:basedOn w:val="1"/>
    <w:autoRedefine/>
    <w:qFormat/>
    <w:uiPriority w:val="0"/>
    <w:pPr>
      <w:adjustRightInd w:val="0"/>
      <w:spacing w:before="120" w:after="120" w:line="360" w:lineRule="atLeast"/>
      <w:jc w:val="center"/>
    </w:pPr>
    <w:rPr>
      <w:rFonts w:eastAsia="黑体"/>
      <w:spacing w:val="10"/>
      <w:kern w:val="0"/>
      <w:sz w:val="24"/>
      <w:szCs w:val="20"/>
    </w:rPr>
  </w:style>
  <w:style w:type="paragraph" w:customStyle="1" w:styleId="54">
    <w:name w:val="样式 首行缩进:  1.34 厘米"/>
    <w:basedOn w:val="1"/>
    <w:autoRedefine/>
    <w:qFormat/>
    <w:uiPriority w:val="0"/>
    <w:pPr>
      <w:spacing w:line="360" w:lineRule="auto"/>
      <w:ind w:firstLine="567"/>
    </w:pPr>
    <w:rPr>
      <w:sz w:val="28"/>
      <w:szCs w:val="20"/>
    </w:rPr>
  </w:style>
  <w:style w:type="paragraph" w:customStyle="1" w:styleId="55">
    <w:name w:val="文档一级标题"/>
    <w:basedOn w:val="1"/>
    <w:autoRedefine/>
    <w:qFormat/>
    <w:uiPriority w:val="0"/>
    <w:rPr>
      <w:rFonts w:ascii="黑体" w:hAnsi="华文仿宋" w:eastAsia="黑体"/>
      <w:sz w:val="28"/>
    </w:rPr>
  </w:style>
  <w:style w:type="paragraph" w:customStyle="1" w:styleId="56">
    <w:name w:val="TOC 标题1"/>
    <w:basedOn w:val="3"/>
    <w:next w:val="1"/>
    <w:autoRedefine/>
    <w:qFormat/>
    <w:uiPriority w:val="39"/>
    <w:pPr>
      <w:widowControl/>
      <w:spacing w:before="480" w:after="0" w:line="276" w:lineRule="auto"/>
      <w:jc w:val="left"/>
      <w:outlineLvl w:val="9"/>
    </w:pPr>
    <w:rPr>
      <w:rFonts w:ascii="Cambria" w:hAnsi="Cambria"/>
      <w:color w:val="365F91"/>
      <w:kern w:val="0"/>
      <w:sz w:val="28"/>
      <w:szCs w:val="28"/>
    </w:rPr>
  </w:style>
  <w:style w:type="paragraph" w:customStyle="1" w:styleId="57">
    <w:name w:val="表内字体"/>
    <w:basedOn w:val="1"/>
    <w:autoRedefine/>
    <w:qFormat/>
    <w:uiPriority w:val="99"/>
    <w:rPr>
      <w:szCs w:val="22"/>
    </w:rPr>
  </w:style>
  <w:style w:type="paragraph" w:customStyle="1" w:styleId="58">
    <w:name w:val="段落"/>
    <w:basedOn w:val="1"/>
    <w:autoRedefine/>
    <w:qFormat/>
    <w:uiPriority w:val="0"/>
    <w:pPr>
      <w:spacing w:line="500" w:lineRule="exact"/>
      <w:ind w:firstLine="200" w:firstLineChars="200"/>
    </w:pPr>
    <w:rPr>
      <w:spacing w:val="10"/>
      <w:sz w:val="28"/>
      <w:szCs w:val="20"/>
    </w:rPr>
  </w:style>
  <w:style w:type="paragraph" w:customStyle="1" w:styleId="59">
    <w:name w:val="xl29"/>
    <w:basedOn w:val="1"/>
    <w:autoRedefine/>
    <w:qFormat/>
    <w:uiPriority w:val="0"/>
    <w:pPr>
      <w:widowControl/>
      <w:spacing w:before="100" w:after="100"/>
      <w:jc w:val="center"/>
    </w:pPr>
    <w:rPr>
      <w:kern w:val="0"/>
      <w:sz w:val="24"/>
      <w:szCs w:val="20"/>
    </w:rPr>
  </w:style>
  <w:style w:type="paragraph" w:customStyle="1" w:styleId="60">
    <w:name w:val="xl47"/>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kern w:val="0"/>
      <w:sz w:val="24"/>
    </w:rPr>
  </w:style>
  <w:style w:type="paragraph" w:styleId="61">
    <w:name w:val="List Paragraph"/>
    <w:basedOn w:val="1"/>
    <w:autoRedefine/>
    <w:qFormat/>
    <w:uiPriority w:val="34"/>
    <w:pPr>
      <w:widowControl/>
      <w:adjustRightInd w:val="0"/>
      <w:snapToGrid w:val="0"/>
      <w:spacing w:after="200"/>
      <w:ind w:firstLine="420" w:firstLineChars="200"/>
      <w:jc w:val="left"/>
    </w:pPr>
    <w:rPr>
      <w:rFonts w:ascii="Tahoma" w:hAnsi="Tahoma" w:eastAsia="微软雅黑"/>
      <w:kern w:val="0"/>
      <w:sz w:val="22"/>
      <w:szCs w:val="22"/>
    </w:rPr>
  </w:style>
  <w:style w:type="paragraph" w:customStyle="1" w:styleId="62">
    <w:name w:val="文档二级标题"/>
    <w:basedOn w:val="1"/>
    <w:autoRedefine/>
    <w:qFormat/>
    <w:uiPriority w:val="0"/>
    <w:rPr>
      <w:rFonts w:ascii="黑体" w:hAnsi="华文仿宋" w:eastAsia="黑体"/>
      <w:sz w:val="28"/>
    </w:rPr>
  </w:style>
  <w:style w:type="paragraph" w:customStyle="1" w:styleId="63">
    <w:name w:val="表X－X"/>
    <w:basedOn w:val="1"/>
    <w:autoRedefine/>
    <w:qFormat/>
    <w:uiPriority w:val="0"/>
    <w:pPr>
      <w:jc w:val="center"/>
    </w:pPr>
    <w:rPr>
      <w:rFonts w:ascii="黑体" w:hAnsi="华文仿宋" w:eastAsia="黑体"/>
      <w:sz w:val="28"/>
    </w:rPr>
  </w:style>
  <w:style w:type="paragraph" w:customStyle="1" w:styleId="64">
    <w:name w:val="样式2"/>
    <w:basedOn w:val="1"/>
    <w:autoRedefine/>
    <w:qFormat/>
    <w:uiPriority w:val="0"/>
    <w:pPr>
      <w:ind w:firstLine="640" w:firstLineChars="200"/>
    </w:pPr>
    <w:rPr>
      <w:rFonts w:ascii="仿宋_GB2312" w:hAnsi="华文仿宋" w:eastAsia="仿宋_GB2312"/>
      <w:sz w:val="28"/>
    </w:rPr>
  </w:style>
  <w:style w:type="paragraph" w:customStyle="1" w:styleId="65">
    <w:name w:val="Char Char Char Char Char Char Char Char Char1 Char Char Char Char"/>
    <w:basedOn w:val="1"/>
    <w:autoRedefine/>
    <w:qFormat/>
    <w:uiPriority w:val="0"/>
    <w:rPr>
      <w:sz w:val="24"/>
    </w:rPr>
  </w:style>
  <w:style w:type="paragraph" w:styleId="66">
    <w:name w:val="No Spacing"/>
    <w:autoRedefine/>
    <w:qFormat/>
    <w:uiPriority w:val="1"/>
    <w:pPr>
      <w:widowControl w:val="0"/>
      <w:jc w:val="both"/>
    </w:pPr>
    <w:rPr>
      <w:rFonts w:ascii="Times New Roman" w:hAnsi="Times New Roman" w:eastAsia="宋体" w:cs="Times New Roman"/>
      <w:kern w:val="2"/>
      <w:sz w:val="21"/>
      <w:lang w:val="en-US" w:eastAsia="zh-CN" w:bidi="ar-SA"/>
    </w:rPr>
  </w:style>
  <w:style w:type="paragraph" w:customStyle="1" w:styleId="67">
    <w:name w:val="1"/>
    <w:basedOn w:val="1"/>
    <w:next w:val="2"/>
    <w:autoRedefine/>
    <w:qFormat/>
    <w:uiPriority w:val="0"/>
    <w:pPr>
      <w:spacing w:line="360" w:lineRule="auto"/>
    </w:pPr>
    <w:rPr>
      <w:sz w:val="24"/>
    </w:rPr>
  </w:style>
  <w:style w:type="paragraph" w:customStyle="1" w:styleId="68">
    <w:name w:val="Char"/>
    <w:basedOn w:val="1"/>
    <w:autoRedefine/>
    <w:qFormat/>
    <w:uiPriority w:val="0"/>
    <w:rPr>
      <w:szCs w:val="20"/>
    </w:rPr>
  </w:style>
  <w:style w:type="paragraph" w:customStyle="1" w:styleId="69">
    <w:name w:val="陈光的正文"/>
    <w:basedOn w:val="1"/>
    <w:autoRedefine/>
    <w:qFormat/>
    <w:uiPriority w:val="0"/>
    <w:pPr>
      <w:adjustRightInd w:val="0"/>
      <w:snapToGrid w:val="0"/>
      <w:spacing w:before="31" w:after="31" w:line="360" w:lineRule="auto"/>
      <w:ind w:firstLine="560" w:firstLineChars="200"/>
    </w:pPr>
    <w:rPr>
      <w:sz w:val="28"/>
      <w:szCs w:val="20"/>
    </w:rPr>
  </w:style>
  <w:style w:type="character" w:customStyle="1" w:styleId="70">
    <w:name w:val="表头 Char"/>
    <w:link w:val="51"/>
    <w:autoRedefine/>
    <w:qFormat/>
    <w:uiPriority w:val="0"/>
    <w:rPr>
      <w:rFonts w:ascii="宋体" w:hAnsi="宋体" w:cs="Arial"/>
      <w:b/>
      <w:color w:val="000000"/>
      <w:kern w:val="2"/>
      <w:sz w:val="24"/>
      <w:szCs w:val="24"/>
    </w:rPr>
  </w:style>
  <w:style w:type="paragraph" w:customStyle="1" w:styleId="71">
    <w:name w:val="表内格式"/>
    <w:basedOn w:val="1"/>
    <w:link w:val="73"/>
    <w:autoRedefine/>
    <w:qFormat/>
    <w:uiPriority w:val="0"/>
    <w:pPr>
      <w:spacing w:line="240" w:lineRule="exact"/>
      <w:jc w:val="center"/>
    </w:pPr>
    <w:rPr>
      <w:rFonts w:ascii="宋体" w:hAnsi="宋体"/>
      <w:szCs w:val="20"/>
    </w:rPr>
  </w:style>
  <w:style w:type="paragraph" w:customStyle="1" w:styleId="72">
    <w:name w:val="表文"/>
    <w:basedOn w:val="1"/>
    <w:autoRedefine/>
    <w:qFormat/>
    <w:uiPriority w:val="0"/>
    <w:pPr>
      <w:spacing w:line="440" w:lineRule="exact"/>
      <w:jc w:val="center"/>
    </w:pPr>
    <w:rPr>
      <w:rFonts w:eastAsia="仿宋_GB2312"/>
    </w:rPr>
  </w:style>
  <w:style w:type="character" w:customStyle="1" w:styleId="73">
    <w:name w:val="表内格式 Char Char"/>
    <w:link w:val="71"/>
    <w:autoRedefine/>
    <w:qFormat/>
    <w:locked/>
    <w:uiPriority w:val="0"/>
    <w:rPr>
      <w:rFonts w:ascii="宋体" w:hAnsi="宋体"/>
      <w:kern w:val="2"/>
      <w:sz w:val="21"/>
    </w:rPr>
  </w:style>
  <w:style w:type="character" w:customStyle="1" w:styleId="74">
    <w:name w:val="fontstyle01"/>
    <w:basedOn w:val="26"/>
    <w:autoRedefine/>
    <w:qFormat/>
    <w:uiPriority w:val="0"/>
    <w:rPr>
      <w:rFonts w:hint="eastAsia" w:ascii="宋体" w:hAnsi="宋体" w:eastAsia="宋体"/>
      <w:color w:val="000000"/>
      <w:sz w:val="28"/>
      <w:szCs w:val="28"/>
    </w:rPr>
  </w:style>
  <w:style w:type="character" w:customStyle="1" w:styleId="75">
    <w:name w:val="fontstyle21"/>
    <w:basedOn w:val="26"/>
    <w:autoRedefine/>
    <w:qFormat/>
    <w:uiPriority w:val="0"/>
    <w:rPr>
      <w:rFonts w:hint="default" w:ascii="Calibri" w:hAnsi="Calibri"/>
      <w:color w:val="000000"/>
      <w:sz w:val="28"/>
      <w:szCs w:val="28"/>
    </w:rPr>
  </w:style>
  <w:style w:type="paragraph" w:customStyle="1" w:styleId="76">
    <w:name w:val="市环科院正文"/>
    <w:basedOn w:val="1"/>
    <w:link w:val="77"/>
    <w:autoRedefine/>
    <w:qFormat/>
    <w:uiPriority w:val="0"/>
    <w:pPr>
      <w:spacing w:line="300" w:lineRule="auto"/>
      <w:ind w:firstLine="480" w:firstLineChars="200"/>
    </w:pPr>
    <w:rPr>
      <w:kern w:val="0"/>
      <w:sz w:val="24"/>
    </w:rPr>
  </w:style>
  <w:style w:type="character" w:customStyle="1" w:styleId="77">
    <w:name w:val="市环科院正文 Char"/>
    <w:link w:val="76"/>
    <w:autoRedefine/>
    <w:qFormat/>
    <w:uiPriority w:val="0"/>
    <w:rPr>
      <w:sz w:val="24"/>
      <w:szCs w:val="24"/>
    </w:rPr>
  </w:style>
  <w:style w:type="character" w:customStyle="1" w:styleId="78">
    <w:name w:val="正文文本 2 Char"/>
    <w:basedOn w:val="26"/>
    <w:link w:val="20"/>
    <w:autoRedefine/>
    <w:semiHidden/>
    <w:qFormat/>
    <w:uiPriority w:val="99"/>
    <w:rPr>
      <w:kern w:val="2"/>
      <w:sz w:val="21"/>
    </w:rPr>
  </w:style>
  <w:style w:type="character" w:customStyle="1" w:styleId="79">
    <w:name w:val="环科院正文 Char1"/>
    <w:basedOn w:val="26"/>
    <w:link w:val="80"/>
    <w:autoRedefine/>
    <w:qFormat/>
    <w:locked/>
    <w:uiPriority w:val="0"/>
    <w:rPr>
      <w:rFonts w:ascii="宋体" w:hAnsi="宋体"/>
      <w:sz w:val="24"/>
    </w:rPr>
  </w:style>
  <w:style w:type="paragraph" w:customStyle="1" w:styleId="80">
    <w:name w:val="环科院正文"/>
    <w:basedOn w:val="1"/>
    <w:link w:val="79"/>
    <w:autoRedefine/>
    <w:qFormat/>
    <w:uiPriority w:val="0"/>
    <w:pPr>
      <w:spacing w:line="400" w:lineRule="exact"/>
      <w:ind w:firstLine="200" w:firstLineChars="200"/>
    </w:pPr>
    <w:rPr>
      <w:rFonts w:ascii="宋体" w:hAnsi="宋体"/>
      <w:kern w:val="0"/>
      <w:sz w:val="24"/>
      <w:szCs w:val="20"/>
    </w:rPr>
  </w:style>
  <w:style w:type="character" w:customStyle="1" w:styleId="81">
    <w:name w:val="纯文本 Char"/>
    <w:basedOn w:val="26"/>
    <w:link w:val="12"/>
    <w:autoRedefine/>
    <w:qFormat/>
    <w:uiPriority w:val="0"/>
    <w:rPr>
      <w:rFonts w:ascii="宋体" w:hAnsi="Courier New"/>
      <w:kern w:val="2"/>
      <w:sz w:val="21"/>
    </w:rPr>
  </w:style>
  <w:style w:type="paragraph" w:customStyle="1" w:styleId="82">
    <w:name w:val="hb04"/>
    <w:basedOn w:val="1"/>
    <w:autoRedefine/>
    <w:qFormat/>
    <w:uiPriority w:val="0"/>
    <w:pPr>
      <w:widowControl/>
      <w:pBdr>
        <w:top w:val="single" w:color="E6E7EA" w:sz="6" w:space="0"/>
        <w:left w:val="single" w:color="E6E7EA" w:sz="6" w:space="0"/>
        <w:bottom w:val="single" w:color="E6E7EA" w:sz="6" w:space="0"/>
        <w:right w:val="single" w:color="E6E7EA" w:sz="6" w:space="0"/>
      </w:pBdr>
      <w:spacing w:before="100" w:beforeAutospacing="1" w:after="100" w:afterAutospacing="1"/>
      <w:jc w:val="left"/>
    </w:pPr>
    <w:rPr>
      <w:rFonts w:ascii="宋体" w:hAnsi="宋体" w:cs="宋体"/>
      <w:kern w:val="0"/>
      <w:sz w:val="24"/>
    </w:rPr>
  </w:style>
  <w:style w:type="paragraph" w:customStyle="1" w:styleId="83">
    <w:name w:val="WPS Plain"/>
    <w:autoRedefine/>
    <w:qFormat/>
    <w:uiPriority w:val="0"/>
    <w:rPr>
      <w:rFonts w:ascii="Times New Roman" w:hAnsi="Times New Roman" w:eastAsia="宋体" w:cs="Times New Roman"/>
      <w:lang w:val="en-US" w:eastAsia="zh-CN" w:bidi="ar-SA"/>
    </w:rPr>
  </w:style>
  <w:style w:type="character" w:styleId="84">
    <w:name w:val="Placeholder Text"/>
    <w:basedOn w:val="26"/>
    <w:autoRedefine/>
    <w:unhideWhenUsed/>
    <w:qFormat/>
    <w:uiPriority w:val="99"/>
    <w:rPr>
      <w:color w:val="808080"/>
    </w:rPr>
  </w:style>
  <w:style w:type="paragraph" w:customStyle="1" w:styleId="85">
    <w:name w:val="正文2"/>
    <w:autoRedefine/>
    <w:qFormat/>
    <w:uiPriority w:val="0"/>
    <w:pPr>
      <w:jc w:val="both"/>
    </w:pPr>
    <w:rPr>
      <w:rFonts w:ascii="Times New Roman" w:hAnsi="Times New Roman" w:eastAsia="宋体" w:cs="Times New Roman"/>
      <w:kern w:val="2"/>
      <w:sz w:val="21"/>
      <w:szCs w:val="21"/>
      <w:lang w:val="en-US" w:eastAsia="zh-CN" w:bidi="ar-SA"/>
    </w:rPr>
  </w:style>
  <w:style w:type="paragraph" w:customStyle="1" w:styleId="86">
    <w:name w:val="正文正文"/>
    <w:basedOn w:val="2"/>
    <w:autoRedefine/>
    <w:qFormat/>
    <w:uiPriority w:val="0"/>
    <w:pPr>
      <w:spacing w:line="360" w:lineRule="auto"/>
      <w:ind w:firstLine="200" w:firstLineChars="200"/>
    </w:pPr>
    <w:rPr>
      <w:sz w:val="21"/>
      <w:szCs w:val="21"/>
    </w:rPr>
  </w:style>
  <w:style w:type="character" w:customStyle="1" w:styleId="87">
    <w:name w:val="Char Char281"/>
    <w:autoRedefine/>
    <w:qFormat/>
    <w:uiPriority w:val="0"/>
    <w:rPr>
      <w:rFonts w:hint="eastAsia" w:ascii="宋体" w:hAnsi="宋体" w:eastAsia="宋体" w:cs="宋体"/>
      <w:kern w:val="2"/>
      <w:sz w:val="28"/>
      <w:szCs w:val="28"/>
      <w:lang w:val="en-US" w:eastAsia="zh-CN" w:bidi="ar"/>
    </w:rPr>
  </w:style>
  <w:style w:type="character" w:customStyle="1" w:styleId="88">
    <w:name w:val="表头样式1 Char1"/>
    <w:link w:val="89"/>
    <w:autoRedefine/>
    <w:qFormat/>
    <w:uiPriority w:val="0"/>
    <w:rPr>
      <w:rFonts w:eastAsia="黑体"/>
      <w:b/>
      <w:kern w:val="2"/>
      <w:sz w:val="24"/>
    </w:rPr>
  </w:style>
  <w:style w:type="paragraph" w:customStyle="1" w:styleId="89">
    <w:name w:val="表头样式1"/>
    <w:basedOn w:val="1"/>
    <w:link w:val="88"/>
    <w:autoRedefine/>
    <w:qFormat/>
    <w:uiPriority w:val="0"/>
    <w:pPr>
      <w:spacing w:before="240" w:after="120" w:line="380" w:lineRule="atLeast"/>
      <w:jc w:val="center"/>
    </w:pPr>
    <w:rPr>
      <w:rFonts w:eastAsia="黑体" w:asciiTheme="minorHAnsi" w:hAnsiTheme="minorHAnsi" w:cstheme="minorBidi"/>
      <w:b/>
      <w:sz w:val="24"/>
      <w:szCs w:val="20"/>
    </w:rPr>
  </w:style>
  <w:style w:type="paragraph" w:customStyle="1" w:styleId="90">
    <w:name w:val="Default"/>
    <w:autoRedefine/>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91">
    <w:name w:val="正文修改"/>
    <w:basedOn w:val="1"/>
    <w:autoRedefine/>
    <w:qFormat/>
    <w:uiPriority w:val="0"/>
    <w:pPr>
      <w:spacing w:line="360" w:lineRule="auto"/>
      <w:ind w:firstLine="480" w:firstLineChars="200"/>
    </w:pPr>
    <w:rPr>
      <w:kern w:val="0"/>
      <w:sz w:val="24"/>
      <w:szCs w:val="21"/>
    </w:rPr>
  </w:style>
  <w:style w:type="paragraph" w:customStyle="1" w:styleId="92">
    <w:name w:val="样式 环科院正文 Char Char + 黑色"/>
    <w:basedOn w:val="1"/>
    <w:autoRedefine/>
    <w:qFormat/>
    <w:uiPriority w:val="0"/>
    <w:pPr>
      <w:spacing w:line="400" w:lineRule="exact"/>
      <w:ind w:firstLine="480" w:firstLineChars="200"/>
    </w:pPr>
    <w:rPr>
      <w:color w:val="000000"/>
      <w:kern w:val="0"/>
      <w:szCs w:val="20"/>
    </w:rPr>
  </w:style>
  <w:style w:type="character" w:customStyle="1" w:styleId="93">
    <w:name w:val="标题 8 Char"/>
    <w:basedOn w:val="26"/>
    <w:link w:val="6"/>
    <w:autoRedefine/>
    <w:semiHidden/>
    <w:qFormat/>
    <w:uiPriority w:val="0"/>
    <w:rPr>
      <w:rFonts w:asciiTheme="majorHAnsi" w:hAnsiTheme="majorHAnsi" w:eastAsiaTheme="majorEastAsia" w:cstheme="majorBidi"/>
      <w:kern w:val="2"/>
      <w:sz w:val="24"/>
      <w:szCs w:val="24"/>
    </w:rPr>
  </w:style>
  <w:style w:type="character" w:customStyle="1" w:styleId="94">
    <w:name w:val="正文文本 Char"/>
    <w:basedOn w:val="26"/>
    <w:link w:val="2"/>
    <w:autoRedefine/>
    <w:qFormat/>
    <w:uiPriority w:val="0"/>
    <w:rPr>
      <w:rFonts w:ascii="Times New Roman" w:hAnsi="Times New Roman" w:eastAsia="宋体" w:cs="Times New Roman"/>
      <w:kern w:val="2"/>
      <w:sz w:val="24"/>
    </w:rPr>
  </w:style>
  <w:style w:type="character" w:customStyle="1" w:styleId="95">
    <w:name w:val="环科院正文 Char Char1"/>
    <w:link w:val="96"/>
    <w:autoRedefine/>
    <w:qFormat/>
    <w:locked/>
    <w:uiPriority w:val="0"/>
    <w:rPr>
      <w:rFonts w:ascii="宋体" w:hAnsi="宋体" w:eastAsia="宋体"/>
      <w:bCs/>
      <w:sz w:val="24"/>
      <w:szCs w:val="24"/>
    </w:rPr>
  </w:style>
  <w:style w:type="paragraph" w:customStyle="1" w:styleId="96">
    <w:name w:val="环科院正文 Char"/>
    <w:basedOn w:val="1"/>
    <w:link w:val="95"/>
    <w:autoRedefine/>
    <w:qFormat/>
    <w:uiPriority w:val="0"/>
    <w:pPr>
      <w:spacing w:line="300" w:lineRule="auto"/>
      <w:ind w:firstLine="480" w:firstLineChars="200"/>
    </w:pPr>
    <w:rPr>
      <w:rFonts w:ascii="宋体" w:hAnsi="宋体" w:cstheme="minorBidi"/>
      <w:bCs/>
      <w:kern w:val="0"/>
      <w:sz w:val="24"/>
    </w:rPr>
  </w:style>
  <w:style w:type="paragraph" w:customStyle="1" w:styleId="97">
    <w:name w:val="样式 样式 样式 表格五号 + (西文) 宋体 (中文) 楷体_GB2312 自动设置 段前: 2.4 磅 段后: 2.4 磅 ...1"/>
    <w:basedOn w:val="1"/>
    <w:autoRedefine/>
    <w:qFormat/>
    <w:uiPriority w:val="0"/>
    <w:pPr>
      <w:spacing w:before="48" w:after="48" w:line="240" w:lineRule="auto"/>
      <w:jc w:val="center"/>
    </w:pPr>
    <w:rPr>
      <w:rFonts w:ascii="宋体" w:hAnsi="宋体" w:eastAsia="楷体_GB2312" w:cs="宋体"/>
      <w:color w:val="auto"/>
      <w:kern w:val="44"/>
      <w:sz w:val="21"/>
      <w:szCs w:val="20"/>
    </w:rPr>
  </w:style>
  <w:style w:type="paragraph" w:customStyle="1" w:styleId="98">
    <w:name w:val="智汇元正文"/>
    <w:basedOn w:val="1"/>
    <w:next w:val="1"/>
    <w:autoRedefine/>
    <w:qFormat/>
    <w:uiPriority w:val="0"/>
    <w:pPr>
      <w:spacing w:line="300" w:lineRule="auto"/>
      <w:ind w:firstLine="420" w:firstLineChars="200"/>
      <w:jc w:val="left"/>
    </w:p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image" Target="media/image10.png"/><Relationship Id="rId17" Type="http://schemas.openxmlformats.org/officeDocument/2006/relationships/image" Target="media/image9.jpeg"/><Relationship Id="rId16" Type="http://schemas.openxmlformats.org/officeDocument/2006/relationships/image" Target="media/image8.jpe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jpeg"/><Relationship Id="rId11" Type="http://schemas.openxmlformats.org/officeDocument/2006/relationships/image" Target="media/image3.jpeg"/><Relationship Id="rId10" Type="http://schemas.openxmlformats.org/officeDocument/2006/relationships/image" Target="media/image2.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864386-6833-41C0-BBFD-67AD42E05FD3}">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41</Pages>
  <Words>508</Words>
  <Characters>548</Characters>
  <Lines>216</Lines>
  <Paragraphs>60</Paragraphs>
  <TotalTime>389</TotalTime>
  <ScaleCrop>false</ScaleCrop>
  <LinksUpToDate>false</LinksUpToDate>
  <CharactersWithSpaces>646</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2021-07-21T14:53:00Z</dcterms:created>
  <dc:creator>Administrator</dc:creator>
  <cp:lastModifiedBy>しK.t</cp:lastModifiedBy>
  <cp:lastPrinted>2021-07-29T06:47:00Z</cp:lastPrinted>
  <dcterms:modified xsi:type="dcterms:W3CDTF">2025-04-01T07:14:11Z</dcterms:modified>
  <cp:revision>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41979ECCCA294C6CA4680A8EB233BF2F</vt:lpwstr>
  </property>
  <property fmtid="{D5CDD505-2E9C-101B-9397-08002B2CF9AE}" pid="4" name="KSOTemplateDocerSaveRecord">
    <vt:lpwstr>eyJoZGlkIjoiZDY5YTRhZmI5YjI5YzkwMDA3MzQwMGUxNTc0YjcxNDUiLCJ1c2VySWQiOiI2NTU4NzI5MjkifQ==</vt:lpwstr>
  </property>
</Properties>
</file>