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3E4BE4">
      <w:pPr>
        <w:adjustRightInd/>
        <w:snapToGrid/>
        <w:ind w:firstLine="18" w:firstLineChars="10"/>
        <w:rPr>
          <w:rFonts w:ascii="仿宋" w:hAnsi="仿宋" w:eastAsia="仿宋"/>
          <w:color w:val="auto"/>
          <w:highlight w:val="none"/>
        </w:rPr>
      </w:pPr>
    </w:p>
    <w:p w14:paraId="6D13254D">
      <w:pPr>
        <w:adjustRightInd/>
        <w:snapToGrid/>
        <w:ind w:firstLine="18" w:firstLineChars="10"/>
        <w:rPr>
          <w:rFonts w:ascii="仿宋" w:hAnsi="仿宋" w:eastAsia="仿宋"/>
          <w:color w:val="auto"/>
          <w:highlight w:val="none"/>
        </w:rPr>
      </w:pPr>
    </w:p>
    <w:tbl>
      <w:tblPr>
        <w:tblStyle w:val="29"/>
        <w:tblW w:w="5094" w:type="pct"/>
        <w:jc w:val="center"/>
        <w:tblLayout w:type="autofit"/>
        <w:tblCellMar>
          <w:top w:w="0" w:type="dxa"/>
          <w:left w:w="108" w:type="dxa"/>
          <w:bottom w:w="0" w:type="dxa"/>
          <w:right w:w="108" w:type="dxa"/>
        </w:tblCellMar>
      </w:tblPr>
      <w:tblGrid>
        <w:gridCol w:w="1535"/>
        <w:gridCol w:w="7926"/>
      </w:tblGrid>
      <w:tr w14:paraId="251BE4AD">
        <w:tblPrEx>
          <w:tblCellMar>
            <w:top w:w="0" w:type="dxa"/>
            <w:left w:w="108" w:type="dxa"/>
            <w:bottom w:w="0" w:type="dxa"/>
            <w:right w:w="108" w:type="dxa"/>
          </w:tblCellMar>
        </w:tblPrEx>
        <w:trPr>
          <w:trHeight w:val="714" w:hRule="atLeast"/>
          <w:jc w:val="center"/>
        </w:trPr>
        <w:tc>
          <w:tcPr>
            <w:tcW w:w="5000" w:type="pct"/>
            <w:gridSpan w:val="2"/>
            <w:vAlign w:val="center"/>
          </w:tcPr>
          <w:p w14:paraId="3AD6B0D0">
            <w:pPr>
              <w:adjustRightInd/>
              <w:snapToGrid/>
              <w:spacing w:line="360" w:lineRule="auto"/>
              <w:jc w:val="right"/>
              <w:rPr>
                <w:rFonts w:ascii="仿宋" w:hAnsi="仿宋" w:eastAsia="仿宋"/>
                <w:b/>
                <w:color w:val="auto"/>
                <w:sz w:val="24"/>
                <w:szCs w:val="24"/>
                <w:highlight w:val="none"/>
              </w:rPr>
            </w:pPr>
          </w:p>
        </w:tc>
      </w:tr>
      <w:tr w14:paraId="1D7EB239">
        <w:tblPrEx>
          <w:tblCellMar>
            <w:top w:w="0" w:type="dxa"/>
            <w:left w:w="108" w:type="dxa"/>
            <w:bottom w:w="0" w:type="dxa"/>
            <w:right w:w="108" w:type="dxa"/>
          </w:tblCellMar>
        </w:tblPrEx>
        <w:trPr>
          <w:trHeight w:val="2733" w:hRule="atLeast"/>
          <w:jc w:val="center"/>
        </w:trPr>
        <w:tc>
          <w:tcPr>
            <w:tcW w:w="5000" w:type="pct"/>
            <w:gridSpan w:val="2"/>
            <w:vAlign w:val="center"/>
          </w:tcPr>
          <w:p w14:paraId="2CB6B9AC">
            <w:pPr>
              <w:widowControl/>
              <w:adjustRightInd/>
              <w:snapToGrid/>
              <w:spacing w:line="720" w:lineRule="auto"/>
              <w:jc w:val="center"/>
              <w:rPr>
                <w:rFonts w:ascii="仿宋" w:hAnsi="仿宋" w:eastAsia="仿宋"/>
                <w:b/>
                <w:color w:val="auto"/>
                <w:sz w:val="48"/>
                <w:szCs w:val="52"/>
                <w:highlight w:val="none"/>
              </w:rPr>
            </w:pPr>
            <w:r>
              <w:rPr>
                <w:rFonts w:hint="eastAsia" w:ascii="仿宋" w:hAnsi="仿宋" w:eastAsia="仿宋"/>
                <w:b/>
                <w:color w:val="auto"/>
                <w:sz w:val="48"/>
                <w:szCs w:val="52"/>
                <w:highlight w:val="none"/>
                <w:lang w:eastAsia="zh-CN"/>
              </w:rPr>
              <w:t>武汉市江夏长山口生活垃圾卫生填埋场填埋气利用发电项目（续建工程）</w:t>
            </w:r>
            <w:r>
              <w:rPr>
                <w:rFonts w:ascii="仿宋" w:hAnsi="仿宋" w:eastAsia="仿宋"/>
                <w:b/>
                <w:color w:val="auto"/>
                <w:sz w:val="48"/>
                <w:szCs w:val="52"/>
                <w:highlight w:val="none"/>
              </w:rPr>
              <w:t>竣工环境保护</w:t>
            </w:r>
          </w:p>
          <w:p w14:paraId="06215E44">
            <w:pPr>
              <w:widowControl/>
              <w:adjustRightInd/>
              <w:snapToGrid/>
              <w:spacing w:line="720" w:lineRule="auto"/>
              <w:jc w:val="center"/>
              <w:rPr>
                <w:rFonts w:ascii="仿宋" w:hAnsi="仿宋" w:eastAsia="仿宋"/>
                <w:b/>
                <w:color w:val="auto"/>
                <w:sz w:val="44"/>
                <w:szCs w:val="48"/>
                <w:highlight w:val="none"/>
              </w:rPr>
            </w:pPr>
            <w:r>
              <w:rPr>
                <w:rFonts w:ascii="仿宋" w:hAnsi="仿宋" w:eastAsia="仿宋"/>
                <w:b/>
                <w:color w:val="auto"/>
                <w:sz w:val="48"/>
                <w:szCs w:val="52"/>
                <w:highlight w:val="none"/>
              </w:rPr>
              <w:t>验收监测报告</w:t>
            </w:r>
            <w:r>
              <w:rPr>
                <w:rFonts w:hint="eastAsia" w:ascii="仿宋" w:hAnsi="仿宋" w:eastAsia="仿宋"/>
                <w:b/>
                <w:color w:val="auto"/>
                <w:sz w:val="48"/>
                <w:szCs w:val="52"/>
                <w:highlight w:val="none"/>
              </w:rPr>
              <w:t>表</w:t>
            </w:r>
          </w:p>
        </w:tc>
      </w:tr>
      <w:tr w14:paraId="0A679D8D">
        <w:tblPrEx>
          <w:tblCellMar>
            <w:top w:w="0" w:type="dxa"/>
            <w:left w:w="108" w:type="dxa"/>
            <w:bottom w:w="0" w:type="dxa"/>
            <w:right w:w="108" w:type="dxa"/>
          </w:tblCellMar>
        </w:tblPrEx>
        <w:trPr>
          <w:trHeight w:val="1105" w:hRule="atLeast"/>
          <w:jc w:val="center"/>
        </w:trPr>
        <w:tc>
          <w:tcPr>
            <w:tcW w:w="5000" w:type="pct"/>
            <w:gridSpan w:val="2"/>
            <w:vAlign w:val="center"/>
          </w:tcPr>
          <w:p w14:paraId="50F380C5">
            <w:pPr>
              <w:widowControl/>
              <w:adjustRightInd/>
              <w:snapToGrid/>
              <w:spacing w:line="480" w:lineRule="auto"/>
              <w:jc w:val="center"/>
              <w:rPr>
                <w:rFonts w:ascii="仿宋" w:hAnsi="仿宋" w:eastAsia="仿宋"/>
                <w:b/>
                <w:color w:val="auto"/>
                <w:sz w:val="48"/>
                <w:szCs w:val="52"/>
                <w:highlight w:val="none"/>
              </w:rPr>
            </w:pPr>
          </w:p>
        </w:tc>
      </w:tr>
      <w:tr w14:paraId="73D66151">
        <w:tblPrEx>
          <w:tblCellMar>
            <w:top w:w="0" w:type="dxa"/>
            <w:left w:w="108" w:type="dxa"/>
            <w:bottom w:w="0" w:type="dxa"/>
            <w:right w:w="108" w:type="dxa"/>
          </w:tblCellMar>
        </w:tblPrEx>
        <w:trPr>
          <w:trHeight w:val="1381" w:hRule="atLeast"/>
          <w:jc w:val="center"/>
        </w:trPr>
        <w:tc>
          <w:tcPr>
            <w:tcW w:w="5000" w:type="pct"/>
            <w:gridSpan w:val="2"/>
            <w:vAlign w:val="center"/>
          </w:tcPr>
          <w:p w14:paraId="3FFB98EE">
            <w:pPr>
              <w:widowControl/>
              <w:adjustRightInd/>
              <w:snapToGrid/>
              <w:spacing w:line="360" w:lineRule="auto"/>
              <w:jc w:val="center"/>
              <w:rPr>
                <w:rFonts w:ascii="仿宋" w:hAnsi="仿宋" w:eastAsia="仿宋"/>
                <w:b/>
                <w:color w:val="auto"/>
                <w:sz w:val="44"/>
                <w:szCs w:val="52"/>
                <w:highlight w:val="none"/>
              </w:rPr>
            </w:pPr>
          </w:p>
        </w:tc>
      </w:tr>
      <w:tr w14:paraId="66457EE0">
        <w:tblPrEx>
          <w:tblCellMar>
            <w:top w:w="0" w:type="dxa"/>
            <w:left w:w="108" w:type="dxa"/>
            <w:bottom w:w="0" w:type="dxa"/>
            <w:right w:w="108" w:type="dxa"/>
          </w:tblCellMar>
        </w:tblPrEx>
        <w:trPr>
          <w:trHeight w:val="2503" w:hRule="atLeast"/>
          <w:jc w:val="center"/>
        </w:trPr>
        <w:tc>
          <w:tcPr>
            <w:tcW w:w="5000" w:type="pct"/>
            <w:gridSpan w:val="2"/>
            <w:vAlign w:val="center"/>
          </w:tcPr>
          <w:p w14:paraId="69D4402F">
            <w:pPr>
              <w:adjustRightInd/>
              <w:snapToGrid/>
              <w:spacing w:line="360" w:lineRule="auto"/>
              <w:rPr>
                <w:color w:val="auto"/>
                <w:highlight w:val="none"/>
              </w:rPr>
            </w:pPr>
          </w:p>
          <w:p w14:paraId="6AA01810">
            <w:pPr>
              <w:pStyle w:val="2"/>
              <w:rPr>
                <w:rFonts w:ascii="仿宋" w:hAnsi="仿宋" w:eastAsia="仿宋"/>
                <w:b/>
                <w:color w:val="auto"/>
                <w:sz w:val="22"/>
                <w:szCs w:val="44"/>
                <w:highlight w:val="none"/>
              </w:rPr>
            </w:pPr>
          </w:p>
          <w:p w14:paraId="4D4C8814">
            <w:pPr>
              <w:pStyle w:val="2"/>
              <w:rPr>
                <w:rFonts w:ascii="仿宋" w:hAnsi="仿宋" w:eastAsia="仿宋"/>
                <w:b/>
                <w:color w:val="auto"/>
                <w:sz w:val="22"/>
                <w:szCs w:val="44"/>
                <w:highlight w:val="none"/>
              </w:rPr>
            </w:pPr>
          </w:p>
          <w:p w14:paraId="6BC84A90">
            <w:pPr>
              <w:pStyle w:val="2"/>
              <w:rPr>
                <w:rFonts w:ascii="仿宋" w:hAnsi="仿宋" w:eastAsia="仿宋"/>
                <w:b/>
                <w:color w:val="auto"/>
                <w:sz w:val="22"/>
                <w:szCs w:val="44"/>
                <w:highlight w:val="none"/>
              </w:rPr>
            </w:pPr>
          </w:p>
          <w:p w14:paraId="2E93FA29">
            <w:pPr>
              <w:pStyle w:val="2"/>
              <w:rPr>
                <w:rFonts w:ascii="仿宋" w:hAnsi="仿宋" w:eastAsia="仿宋"/>
                <w:b/>
                <w:color w:val="auto"/>
                <w:sz w:val="22"/>
                <w:szCs w:val="44"/>
                <w:highlight w:val="none"/>
              </w:rPr>
            </w:pPr>
          </w:p>
          <w:p w14:paraId="61419856">
            <w:pPr>
              <w:pStyle w:val="2"/>
              <w:rPr>
                <w:rFonts w:ascii="仿宋" w:hAnsi="仿宋" w:eastAsia="仿宋"/>
                <w:b/>
                <w:color w:val="auto"/>
                <w:sz w:val="22"/>
                <w:szCs w:val="44"/>
                <w:highlight w:val="none"/>
              </w:rPr>
            </w:pPr>
          </w:p>
          <w:p w14:paraId="158C8870">
            <w:pPr>
              <w:pStyle w:val="2"/>
              <w:rPr>
                <w:rFonts w:ascii="仿宋" w:hAnsi="仿宋" w:eastAsia="仿宋"/>
                <w:b/>
                <w:color w:val="auto"/>
                <w:sz w:val="22"/>
                <w:szCs w:val="44"/>
                <w:highlight w:val="none"/>
              </w:rPr>
            </w:pPr>
          </w:p>
          <w:p w14:paraId="0BE05790">
            <w:pPr>
              <w:pStyle w:val="2"/>
              <w:rPr>
                <w:rFonts w:ascii="仿宋" w:hAnsi="仿宋" w:eastAsia="仿宋"/>
                <w:b/>
                <w:color w:val="auto"/>
                <w:sz w:val="22"/>
                <w:szCs w:val="44"/>
                <w:highlight w:val="none"/>
              </w:rPr>
            </w:pPr>
          </w:p>
          <w:p w14:paraId="065F85F7">
            <w:pPr>
              <w:pStyle w:val="2"/>
              <w:rPr>
                <w:rFonts w:ascii="仿宋" w:hAnsi="仿宋" w:eastAsia="仿宋"/>
                <w:b/>
                <w:color w:val="auto"/>
                <w:sz w:val="22"/>
                <w:szCs w:val="44"/>
                <w:highlight w:val="none"/>
              </w:rPr>
            </w:pPr>
          </w:p>
          <w:p w14:paraId="16ECAA9B">
            <w:pPr>
              <w:pStyle w:val="2"/>
              <w:rPr>
                <w:rFonts w:ascii="仿宋" w:hAnsi="仿宋" w:eastAsia="仿宋"/>
                <w:b/>
                <w:color w:val="auto"/>
                <w:sz w:val="22"/>
                <w:szCs w:val="44"/>
                <w:highlight w:val="none"/>
              </w:rPr>
            </w:pPr>
          </w:p>
          <w:p w14:paraId="0D52D1B5">
            <w:pPr>
              <w:pStyle w:val="2"/>
              <w:rPr>
                <w:rFonts w:ascii="仿宋" w:hAnsi="仿宋" w:eastAsia="仿宋"/>
                <w:b/>
                <w:color w:val="auto"/>
                <w:sz w:val="22"/>
                <w:szCs w:val="44"/>
                <w:highlight w:val="none"/>
              </w:rPr>
            </w:pPr>
          </w:p>
          <w:p w14:paraId="618F3E03">
            <w:pPr>
              <w:pStyle w:val="2"/>
              <w:rPr>
                <w:rFonts w:ascii="仿宋" w:hAnsi="仿宋" w:eastAsia="仿宋"/>
                <w:b/>
                <w:color w:val="auto"/>
                <w:sz w:val="22"/>
                <w:szCs w:val="44"/>
                <w:highlight w:val="none"/>
              </w:rPr>
            </w:pPr>
          </w:p>
        </w:tc>
      </w:tr>
      <w:tr w14:paraId="17EFAC1E">
        <w:tblPrEx>
          <w:tblCellMar>
            <w:top w:w="0" w:type="dxa"/>
            <w:left w:w="108" w:type="dxa"/>
            <w:bottom w:w="0" w:type="dxa"/>
            <w:right w:w="108" w:type="dxa"/>
          </w:tblCellMar>
        </w:tblPrEx>
        <w:trPr>
          <w:trHeight w:val="1611" w:hRule="atLeast"/>
          <w:jc w:val="center"/>
        </w:trPr>
        <w:tc>
          <w:tcPr>
            <w:tcW w:w="811" w:type="pct"/>
            <w:vAlign w:val="center"/>
          </w:tcPr>
          <w:p w14:paraId="35369826">
            <w:pPr>
              <w:widowControl/>
              <w:adjustRightInd/>
              <w:snapToGrid/>
              <w:spacing w:line="360" w:lineRule="auto"/>
              <w:rPr>
                <w:rFonts w:ascii="仿宋" w:hAnsi="仿宋" w:eastAsia="仿宋"/>
                <w:color w:val="auto"/>
                <w:sz w:val="32"/>
                <w:szCs w:val="48"/>
                <w:highlight w:val="none"/>
              </w:rPr>
            </w:pPr>
          </w:p>
        </w:tc>
        <w:tc>
          <w:tcPr>
            <w:tcW w:w="4188" w:type="pct"/>
            <w:vAlign w:val="center"/>
          </w:tcPr>
          <w:p w14:paraId="38A07D02">
            <w:pPr>
              <w:widowControl/>
              <w:adjustRightInd/>
              <w:snapToGrid/>
              <w:spacing w:line="360" w:lineRule="auto"/>
              <w:rPr>
                <w:rFonts w:hint="eastAsia" w:ascii="仿宋" w:hAnsi="仿宋" w:eastAsia="仿宋"/>
                <w:color w:val="auto"/>
                <w:sz w:val="36"/>
                <w:szCs w:val="48"/>
                <w:highlight w:val="none"/>
                <w:lang w:eastAsia="zh-CN"/>
              </w:rPr>
            </w:pPr>
            <w:r>
              <w:rPr>
                <w:rFonts w:ascii="仿宋" w:hAnsi="仿宋" w:eastAsia="仿宋"/>
                <w:color w:val="auto"/>
                <w:sz w:val="36"/>
                <w:szCs w:val="48"/>
                <w:highlight w:val="none"/>
              </w:rPr>
              <w:t>建设单位：</w:t>
            </w:r>
            <w:r>
              <w:rPr>
                <w:rFonts w:hint="eastAsia" w:ascii="仿宋" w:hAnsi="仿宋" w:eastAsia="仿宋"/>
                <w:color w:val="auto"/>
                <w:sz w:val="36"/>
                <w:szCs w:val="48"/>
                <w:highlight w:val="none"/>
                <w:lang w:eastAsia="zh-CN"/>
              </w:rPr>
              <w:t>武汉环投环境科技有限公司</w:t>
            </w:r>
          </w:p>
          <w:p w14:paraId="1B771EAD">
            <w:pPr>
              <w:widowControl/>
              <w:adjustRightInd/>
              <w:snapToGrid/>
              <w:spacing w:line="360" w:lineRule="auto"/>
              <w:rPr>
                <w:rFonts w:ascii="仿宋" w:hAnsi="仿宋" w:eastAsia="仿宋"/>
                <w:color w:val="auto"/>
                <w:sz w:val="36"/>
                <w:szCs w:val="48"/>
                <w:highlight w:val="none"/>
              </w:rPr>
            </w:pPr>
            <w:r>
              <w:rPr>
                <w:rFonts w:ascii="仿宋" w:hAnsi="仿宋" w:eastAsia="仿宋"/>
                <w:color w:val="auto"/>
                <w:sz w:val="36"/>
                <w:szCs w:val="48"/>
                <w:highlight w:val="none"/>
              </w:rPr>
              <w:t>编制单位：</w:t>
            </w:r>
            <w:r>
              <w:rPr>
                <w:rFonts w:hint="eastAsia" w:ascii="仿宋" w:hAnsi="仿宋" w:eastAsia="仿宋"/>
                <w:color w:val="auto"/>
                <w:sz w:val="36"/>
                <w:szCs w:val="48"/>
                <w:highlight w:val="none"/>
              </w:rPr>
              <w:t>武汉智汇元环保科技有限公司</w:t>
            </w:r>
          </w:p>
        </w:tc>
      </w:tr>
      <w:tr w14:paraId="2C4A20FC">
        <w:tblPrEx>
          <w:tblCellMar>
            <w:top w:w="0" w:type="dxa"/>
            <w:left w:w="108" w:type="dxa"/>
            <w:bottom w:w="0" w:type="dxa"/>
            <w:right w:w="108" w:type="dxa"/>
          </w:tblCellMar>
        </w:tblPrEx>
        <w:trPr>
          <w:trHeight w:val="1260" w:hRule="atLeast"/>
          <w:jc w:val="center"/>
        </w:trPr>
        <w:tc>
          <w:tcPr>
            <w:tcW w:w="5000" w:type="pct"/>
            <w:gridSpan w:val="2"/>
            <w:vAlign w:val="center"/>
          </w:tcPr>
          <w:p w14:paraId="33797009">
            <w:pPr>
              <w:widowControl/>
              <w:adjustRightInd/>
              <w:snapToGrid/>
              <w:spacing w:line="360" w:lineRule="auto"/>
              <w:jc w:val="center"/>
              <w:rPr>
                <w:rFonts w:ascii="仿宋" w:hAnsi="仿宋" w:eastAsia="仿宋"/>
                <w:color w:val="auto"/>
                <w:sz w:val="32"/>
                <w:szCs w:val="48"/>
                <w:highlight w:val="none"/>
              </w:rPr>
            </w:pPr>
            <w:r>
              <w:rPr>
                <w:rFonts w:ascii="仿宋" w:hAnsi="仿宋" w:eastAsia="仿宋"/>
                <w:color w:val="auto"/>
                <w:sz w:val="36"/>
                <w:szCs w:val="30"/>
                <w:highlight w:val="none"/>
              </w:rPr>
              <w:t>二〇</w:t>
            </w:r>
            <w:r>
              <w:rPr>
                <w:rFonts w:hint="eastAsia" w:ascii="仿宋" w:hAnsi="仿宋" w:eastAsia="仿宋"/>
                <w:color w:val="auto"/>
                <w:sz w:val="36"/>
                <w:szCs w:val="30"/>
                <w:highlight w:val="none"/>
              </w:rPr>
              <w:t>二</w:t>
            </w:r>
            <w:r>
              <w:rPr>
                <w:rFonts w:hint="eastAsia" w:ascii="仿宋" w:hAnsi="仿宋" w:eastAsia="仿宋"/>
                <w:color w:val="auto"/>
                <w:sz w:val="36"/>
                <w:szCs w:val="30"/>
                <w:highlight w:val="none"/>
                <w:lang w:eastAsia="zh-CN"/>
              </w:rPr>
              <w:t>五</w:t>
            </w:r>
            <w:r>
              <w:rPr>
                <w:rFonts w:ascii="仿宋" w:hAnsi="仿宋" w:eastAsia="仿宋"/>
                <w:color w:val="auto"/>
                <w:sz w:val="36"/>
                <w:szCs w:val="30"/>
                <w:highlight w:val="none"/>
              </w:rPr>
              <w:t>年</w:t>
            </w:r>
            <w:r>
              <w:rPr>
                <w:rFonts w:hint="eastAsia" w:ascii="仿宋" w:hAnsi="仿宋" w:eastAsia="仿宋"/>
                <w:color w:val="auto"/>
                <w:sz w:val="36"/>
                <w:szCs w:val="30"/>
                <w:highlight w:val="none"/>
                <w:lang w:eastAsia="zh-CN"/>
              </w:rPr>
              <w:t>一</w:t>
            </w:r>
            <w:r>
              <w:rPr>
                <w:rFonts w:ascii="仿宋" w:hAnsi="仿宋" w:eastAsia="仿宋"/>
                <w:color w:val="auto"/>
                <w:sz w:val="36"/>
                <w:szCs w:val="30"/>
                <w:highlight w:val="none"/>
              </w:rPr>
              <w:t>月</w:t>
            </w:r>
          </w:p>
        </w:tc>
      </w:tr>
    </w:tbl>
    <w:p w14:paraId="73EFE2BE">
      <w:pPr>
        <w:adjustRightInd/>
        <w:snapToGrid/>
        <w:ind w:firstLine="400"/>
        <w:rPr>
          <w:rFonts w:ascii="仿宋" w:hAnsi="仿宋" w:eastAsia="仿宋"/>
          <w:color w:val="auto"/>
          <w:highlight w:val="none"/>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180194C8">
      <w:pPr>
        <w:pStyle w:val="28"/>
        <w:adjustRightInd/>
        <w:snapToGrid/>
        <w:ind w:left="360" w:firstLine="360"/>
        <w:rPr>
          <w:color w:val="auto"/>
          <w:highlight w:val="none"/>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tbl>
      <w:tblPr>
        <w:tblStyle w:val="29"/>
        <w:tblW w:w="5099" w:type="pct"/>
        <w:jc w:val="center"/>
        <w:tblLayout w:type="autofit"/>
        <w:tblCellMar>
          <w:top w:w="0" w:type="dxa"/>
          <w:left w:w="108" w:type="dxa"/>
          <w:bottom w:w="0" w:type="dxa"/>
          <w:right w:w="108" w:type="dxa"/>
        </w:tblCellMar>
      </w:tblPr>
      <w:tblGrid>
        <w:gridCol w:w="5029"/>
        <w:gridCol w:w="4441"/>
      </w:tblGrid>
      <w:tr w14:paraId="6FB93F07">
        <w:tblPrEx>
          <w:tblCellMar>
            <w:top w:w="0" w:type="dxa"/>
            <w:left w:w="108" w:type="dxa"/>
            <w:bottom w:w="0" w:type="dxa"/>
            <w:right w:w="108" w:type="dxa"/>
          </w:tblCellMar>
        </w:tblPrEx>
        <w:trPr>
          <w:trHeight w:val="8901" w:hRule="atLeast"/>
          <w:jc w:val="center"/>
        </w:trPr>
        <w:tc>
          <w:tcPr>
            <w:tcW w:w="5000" w:type="pct"/>
            <w:gridSpan w:val="2"/>
          </w:tcPr>
          <w:p w14:paraId="5B11C26E">
            <w:pPr>
              <w:adjustRightInd/>
              <w:snapToGrid/>
              <w:spacing w:before="156" w:beforeLines="50" w:after="156" w:afterLines="50"/>
              <w:ind w:firstLine="22" w:firstLineChars="6"/>
              <w:jc w:val="center"/>
              <w:rPr>
                <w:rFonts w:hint="eastAsia" w:ascii="仿宋" w:hAnsi="仿宋" w:eastAsia="仿宋" w:cs="Times New Roman"/>
                <w:b/>
                <w:color w:val="auto"/>
                <w:kern w:val="32"/>
                <w:sz w:val="36"/>
                <w:szCs w:val="36"/>
                <w:highlight w:val="none"/>
                <w:lang w:eastAsia="zh-CN"/>
              </w:rPr>
            </w:pPr>
            <w:r>
              <w:rPr>
                <w:rFonts w:hint="eastAsia" w:ascii="仿宋" w:hAnsi="仿宋" w:eastAsia="仿宋" w:cs="Times New Roman"/>
                <w:b/>
                <w:color w:val="auto"/>
                <w:kern w:val="32"/>
                <w:sz w:val="36"/>
                <w:szCs w:val="36"/>
                <w:highlight w:val="none"/>
                <w:lang w:eastAsia="zh-CN"/>
              </w:rPr>
              <w:t>武汉市江夏长山口生活垃圾卫生填埋场填埋气利用发电项目（续建工程）</w:t>
            </w:r>
          </w:p>
          <w:p w14:paraId="15AE5ACA">
            <w:pPr>
              <w:adjustRightInd/>
              <w:snapToGrid/>
              <w:spacing w:before="156" w:beforeLines="50" w:after="156" w:afterLines="50"/>
              <w:ind w:firstLine="22" w:firstLineChars="6"/>
              <w:jc w:val="center"/>
              <w:rPr>
                <w:rFonts w:hint="eastAsia" w:ascii="仿宋" w:hAnsi="仿宋" w:eastAsia="仿宋" w:cs="Times New Roman"/>
                <w:b/>
                <w:color w:val="auto"/>
                <w:kern w:val="32"/>
                <w:sz w:val="36"/>
                <w:szCs w:val="36"/>
                <w:highlight w:val="none"/>
              </w:rPr>
            </w:pPr>
            <w:r>
              <w:rPr>
                <w:rFonts w:hint="eastAsia" w:ascii="仿宋" w:hAnsi="仿宋" w:eastAsia="仿宋" w:cs="Times New Roman"/>
                <w:b/>
                <w:color w:val="auto"/>
                <w:kern w:val="32"/>
                <w:sz w:val="36"/>
                <w:szCs w:val="36"/>
                <w:highlight w:val="none"/>
              </w:rPr>
              <w:t>竣工环境保护验收监测报告表</w:t>
            </w:r>
          </w:p>
          <w:p w14:paraId="0B6B8C11">
            <w:pPr>
              <w:adjustRightInd/>
              <w:snapToGrid/>
              <w:spacing w:before="156" w:beforeLines="50" w:after="312" w:afterLines="100"/>
              <w:ind w:firstLine="13" w:firstLineChars="6"/>
              <w:jc w:val="center"/>
              <w:rPr>
                <w:rFonts w:ascii="仿宋" w:hAnsi="仿宋" w:eastAsia="仿宋"/>
                <w:b/>
                <w:bCs/>
                <w:color w:val="auto"/>
                <w:sz w:val="22"/>
                <w:szCs w:val="36"/>
                <w:highlight w:val="none"/>
              </w:rPr>
            </w:pPr>
          </w:p>
          <w:p w14:paraId="30E1B74D">
            <w:pPr>
              <w:adjustRightInd/>
              <w:snapToGrid/>
              <w:spacing w:before="156" w:beforeLines="50" w:after="312" w:afterLines="100"/>
              <w:ind w:firstLine="13" w:firstLineChars="6"/>
              <w:jc w:val="center"/>
              <w:rPr>
                <w:rFonts w:ascii="仿宋" w:hAnsi="仿宋" w:eastAsia="仿宋"/>
                <w:b/>
                <w:bCs/>
                <w:color w:val="auto"/>
                <w:sz w:val="22"/>
                <w:szCs w:val="36"/>
                <w:highlight w:val="none"/>
              </w:rPr>
            </w:pPr>
          </w:p>
          <w:p w14:paraId="6927343C">
            <w:pPr>
              <w:adjustRightInd/>
              <w:snapToGrid/>
              <w:spacing w:before="156" w:beforeLines="50" w:after="624" w:afterLines="200" w:line="360" w:lineRule="auto"/>
              <w:ind w:firstLine="17" w:firstLineChars="6"/>
              <w:rPr>
                <w:rFonts w:ascii="仿宋" w:hAnsi="仿宋" w:eastAsia="仿宋"/>
                <w:b/>
                <w:bCs/>
                <w:color w:val="auto"/>
                <w:sz w:val="22"/>
                <w:szCs w:val="30"/>
                <w:highlight w:val="none"/>
              </w:rPr>
            </w:pPr>
            <w:r>
              <w:rPr>
                <w:rFonts w:ascii="仿宋" w:hAnsi="仿宋" w:eastAsia="仿宋"/>
                <w:b/>
                <w:bCs/>
                <w:color w:val="auto"/>
                <w:sz w:val="28"/>
                <w:szCs w:val="30"/>
                <w:highlight w:val="none"/>
              </w:rPr>
              <w:t>建设单位法人代表：</w:t>
            </w:r>
            <w:r>
              <w:rPr>
                <w:rFonts w:hint="eastAsia" w:ascii="仿宋" w:hAnsi="仿宋" w:eastAsia="仿宋"/>
                <w:b/>
                <w:bCs/>
                <w:color w:val="auto"/>
                <w:sz w:val="28"/>
                <w:szCs w:val="30"/>
                <w:highlight w:val="none"/>
              </w:rPr>
              <w:t>仲蓓蓓</w:t>
            </w:r>
          </w:p>
          <w:p w14:paraId="0476825A">
            <w:pPr>
              <w:adjustRightInd/>
              <w:snapToGrid/>
              <w:spacing w:before="156" w:beforeLines="50" w:after="624" w:afterLines="200" w:line="360" w:lineRule="auto"/>
              <w:ind w:firstLine="17" w:firstLineChars="6"/>
              <w:rPr>
                <w:rFonts w:ascii="仿宋" w:hAnsi="仿宋" w:eastAsia="仿宋"/>
                <w:b/>
                <w:bCs/>
                <w:color w:val="auto"/>
                <w:sz w:val="28"/>
                <w:szCs w:val="30"/>
                <w:highlight w:val="none"/>
              </w:rPr>
            </w:pPr>
            <w:r>
              <w:rPr>
                <w:rFonts w:ascii="仿宋" w:hAnsi="仿宋" w:eastAsia="仿宋"/>
                <w:b/>
                <w:bCs/>
                <w:color w:val="auto"/>
                <w:sz w:val="28"/>
                <w:szCs w:val="30"/>
                <w:highlight w:val="none"/>
              </w:rPr>
              <w:t>编制单位法人代表：</w:t>
            </w:r>
            <w:r>
              <w:rPr>
                <w:rFonts w:hint="eastAsia" w:ascii="仿宋" w:hAnsi="仿宋" w:eastAsia="仿宋"/>
                <w:b/>
                <w:bCs/>
                <w:color w:val="auto"/>
                <w:sz w:val="28"/>
                <w:szCs w:val="30"/>
                <w:highlight w:val="none"/>
                <w:lang w:eastAsia="zh-CN"/>
              </w:rPr>
              <w:t>黄颖</w:t>
            </w:r>
          </w:p>
          <w:p w14:paraId="4C486537">
            <w:pPr>
              <w:adjustRightInd/>
              <w:snapToGrid/>
              <w:spacing w:before="156" w:beforeLines="50" w:after="624" w:afterLines="200" w:line="360" w:lineRule="auto"/>
              <w:ind w:firstLine="31" w:firstLineChars="7"/>
              <w:rPr>
                <w:rFonts w:ascii="仿宋" w:hAnsi="仿宋" w:eastAsia="仿宋"/>
                <w:b/>
                <w:bCs/>
                <w:color w:val="auto"/>
                <w:sz w:val="28"/>
                <w:szCs w:val="30"/>
                <w:highlight w:val="none"/>
              </w:rPr>
            </w:pPr>
            <w:r>
              <w:rPr>
                <w:rFonts w:ascii="仿宋" w:hAnsi="仿宋" w:eastAsia="仿宋"/>
                <w:b/>
                <w:bCs/>
                <w:color w:val="auto"/>
                <w:spacing w:val="80"/>
                <w:sz w:val="28"/>
                <w:szCs w:val="30"/>
                <w:highlight w:val="none"/>
              </w:rPr>
              <w:t>项目负责人</w:t>
            </w:r>
            <w:r>
              <w:rPr>
                <w:rFonts w:ascii="仿宋" w:hAnsi="仿宋" w:eastAsia="仿宋"/>
                <w:b/>
                <w:bCs/>
                <w:color w:val="auto"/>
                <w:sz w:val="28"/>
                <w:szCs w:val="30"/>
                <w:highlight w:val="none"/>
              </w:rPr>
              <w:t>：</w:t>
            </w:r>
            <w:r>
              <w:rPr>
                <w:rFonts w:hint="eastAsia" w:ascii="仿宋" w:hAnsi="仿宋" w:eastAsia="仿宋"/>
                <w:b/>
                <w:bCs/>
                <w:color w:val="auto"/>
                <w:sz w:val="28"/>
                <w:szCs w:val="30"/>
                <w:highlight w:val="none"/>
                <w:lang w:eastAsia="zh-CN"/>
              </w:rPr>
              <w:t>艾志飞</w:t>
            </w:r>
          </w:p>
        </w:tc>
      </w:tr>
      <w:tr w14:paraId="5005707D">
        <w:tblPrEx>
          <w:tblCellMar>
            <w:top w:w="0" w:type="dxa"/>
            <w:left w:w="108" w:type="dxa"/>
            <w:bottom w:w="0" w:type="dxa"/>
            <w:right w:w="108" w:type="dxa"/>
          </w:tblCellMar>
        </w:tblPrEx>
        <w:trPr>
          <w:trHeight w:val="4250" w:hRule="atLeast"/>
          <w:jc w:val="center"/>
        </w:trPr>
        <w:tc>
          <w:tcPr>
            <w:tcW w:w="5029" w:type="dxa"/>
            <w:vAlign w:val="top"/>
          </w:tcPr>
          <w:p w14:paraId="2D619D58">
            <w:pPr>
              <w:adjustRightInd/>
              <w:snapToGrid/>
              <w:rPr>
                <w:rFonts w:ascii="Times New Roman" w:hAnsi="Times New Roman" w:eastAsia="仿宋" w:cs="Times New Roman"/>
                <w:bCs/>
                <w:color w:val="auto"/>
                <w:sz w:val="28"/>
                <w:szCs w:val="28"/>
                <w:highlight w:val="none"/>
              </w:rPr>
            </w:pPr>
            <w:r>
              <w:rPr>
                <w:rFonts w:ascii="Times New Roman" w:hAnsi="Times New Roman" w:eastAsia="仿宋" w:cs="Times New Roman"/>
                <w:bCs/>
                <w:color w:val="auto"/>
                <w:sz w:val="28"/>
                <w:szCs w:val="28"/>
                <w:highlight w:val="none"/>
              </w:rPr>
              <w:t>建设单位：</w:t>
            </w:r>
          </w:p>
          <w:p w14:paraId="5CC8BFE9">
            <w:pPr>
              <w:adjustRightInd/>
              <w:snapToGrid/>
              <w:rPr>
                <w:rFonts w:hint="eastAsia" w:ascii="Times New Roman" w:hAnsi="Times New Roman" w:eastAsia="仿宋" w:cs="Times New Roman"/>
                <w:bCs/>
                <w:color w:val="auto"/>
                <w:sz w:val="28"/>
                <w:szCs w:val="28"/>
                <w:highlight w:val="none"/>
                <w:lang w:eastAsia="zh-CN"/>
              </w:rPr>
            </w:pPr>
            <w:r>
              <w:rPr>
                <w:rFonts w:hint="eastAsia" w:eastAsia="仿宋" w:cs="Times New Roman"/>
                <w:bCs/>
                <w:color w:val="auto"/>
                <w:sz w:val="28"/>
                <w:szCs w:val="28"/>
                <w:highlight w:val="none"/>
                <w:lang w:eastAsia="zh-CN"/>
              </w:rPr>
              <w:t>武汉环投环境科技有限公司</w:t>
            </w:r>
          </w:p>
          <w:p w14:paraId="7AD5B7E3">
            <w:pPr>
              <w:adjustRightInd/>
              <w:snapToGrid/>
              <w:rPr>
                <w:rFonts w:ascii="Times New Roman" w:hAnsi="Times New Roman" w:eastAsia="仿宋" w:cs="Times New Roman"/>
                <w:bCs/>
                <w:color w:val="auto"/>
                <w:sz w:val="28"/>
                <w:szCs w:val="28"/>
                <w:highlight w:val="none"/>
              </w:rPr>
            </w:pPr>
            <w:r>
              <w:rPr>
                <w:rFonts w:ascii="Times New Roman" w:hAnsi="Times New Roman" w:eastAsia="仿宋" w:cs="Times New Roman"/>
                <w:bCs/>
                <w:color w:val="auto"/>
                <w:sz w:val="28"/>
                <w:szCs w:val="28"/>
                <w:highlight w:val="none"/>
              </w:rPr>
              <w:t>邮编：4300</w:t>
            </w:r>
            <w:r>
              <w:rPr>
                <w:rFonts w:hint="eastAsia" w:ascii="Times New Roman" w:hAnsi="Times New Roman" w:eastAsia="仿宋" w:cs="Times New Roman"/>
                <w:bCs/>
                <w:color w:val="auto"/>
                <w:sz w:val="28"/>
                <w:szCs w:val="28"/>
                <w:highlight w:val="none"/>
              </w:rPr>
              <w:t>00</w:t>
            </w:r>
          </w:p>
          <w:p w14:paraId="27DD7E44">
            <w:pPr>
              <w:adjustRightInd/>
              <w:snapToGrid/>
              <w:rPr>
                <w:rFonts w:hint="eastAsia" w:ascii="仿宋" w:hAnsi="仿宋" w:eastAsia="仿宋"/>
                <w:bCs/>
                <w:color w:val="auto"/>
                <w:sz w:val="28"/>
                <w:szCs w:val="28"/>
                <w:highlight w:val="none"/>
                <w:lang w:eastAsia="zh-CN"/>
              </w:rPr>
            </w:pPr>
            <w:r>
              <w:rPr>
                <w:rFonts w:ascii="Times New Roman" w:hAnsi="Times New Roman" w:eastAsia="仿宋" w:cs="Times New Roman"/>
                <w:bCs/>
                <w:color w:val="auto"/>
                <w:sz w:val="28"/>
                <w:szCs w:val="28"/>
                <w:highlight w:val="none"/>
              </w:rPr>
              <w:t>地址：</w:t>
            </w:r>
            <w:r>
              <w:rPr>
                <w:rFonts w:hint="eastAsia" w:eastAsia="仿宋" w:cs="Times New Roman"/>
                <w:bCs/>
                <w:color w:val="auto"/>
                <w:sz w:val="28"/>
                <w:szCs w:val="28"/>
                <w:highlight w:val="none"/>
                <w:lang w:eastAsia="zh-CN"/>
              </w:rPr>
              <w:t>武汉市江岸区江大路26号1-3层4625室</w:t>
            </w:r>
          </w:p>
        </w:tc>
        <w:tc>
          <w:tcPr>
            <w:tcW w:w="4441" w:type="dxa"/>
            <w:vAlign w:val="top"/>
          </w:tcPr>
          <w:p w14:paraId="752C985C">
            <w:pPr>
              <w:adjustRightInd/>
              <w:snapToGrid/>
              <w:rPr>
                <w:rFonts w:ascii="Times New Roman" w:hAnsi="Times New Roman" w:eastAsia="仿宋" w:cs="Times New Roman"/>
                <w:bCs/>
                <w:color w:val="auto"/>
                <w:sz w:val="28"/>
                <w:szCs w:val="28"/>
                <w:highlight w:val="none"/>
              </w:rPr>
            </w:pPr>
            <w:r>
              <w:rPr>
                <w:rFonts w:ascii="Times New Roman" w:hAnsi="Times New Roman" w:eastAsia="仿宋" w:cs="Times New Roman"/>
                <w:bCs/>
                <w:color w:val="auto"/>
                <w:sz w:val="28"/>
                <w:szCs w:val="28"/>
                <w:highlight w:val="none"/>
              </w:rPr>
              <w:t>编制单位</w:t>
            </w:r>
            <w:r>
              <w:rPr>
                <w:rFonts w:hint="eastAsia" w:ascii="Times New Roman" w:hAnsi="Times New Roman" w:eastAsia="仿宋" w:cs="Times New Roman"/>
                <w:bCs/>
                <w:color w:val="auto"/>
                <w:sz w:val="28"/>
                <w:szCs w:val="28"/>
                <w:highlight w:val="none"/>
              </w:rPr>
              <w:t>：</w:t>
            </w:r>
          </w:p>
          <w:p w14:paraId="3B32CFF2">
            <w:pPr>
              <w:adjustRightInd/>
              <w:snapToGrid/>
              <w:rPr>
                <w:rFonts w:hint="eastAsia" w:ascii="Times New Roman" w:hAnsi="Times New Roman" w:eastAsia="仿宋" w:cs="Times New Roman"/>
                <w:bCs/>
                <w:color w:val="auto"/>
                <w:sz w:val="28"/>
                <w:szCs w:val="28"/>
                <w:highlight w:val="none"/>
              </w:rPr>
            </w:pPr>
            <w:r>
              <w:rPr>
                <w:rFonts w:hint="eastAsia" w:ascii="Times New Roman" w:hAnsi="Times New Roman" w:eastAsia="仿宋" w:cs="Times New Roman"/>
                <w:bCs/>
                <w:color w:val="auto"/>
                <w:sz w:val="28"/>
                <w:szCs w:val="28"/>
                <w:highlight w:val="none"/>
              </w:rPr>
              <w:t>武汉智汇元环保科技有限公司</w:t>
            </w:r>
          </w:p>
          <w:p w14:paraId="47EF41E9">
            <w:pPr>
              <w:adjustRightInd/>
              <w:snapToGrid/>
              <w:rPr>
                <w:rFonts w:ascii="Times New Roman" w:hAnsi="Times New Roman" w:eastAsia="仿宋" w:cs="Times New Roman"/>
                <w:bCs/>
                <w:color w:val="auto"/>
                <w:sz w:val="28"/>
                <w:szCs w:val="28"/>
                <w:highlight w:val="none"/>
              </w:rPr>
            </w:pPr>
            <w:r>
              <w:rPr>
                <w:rFonts w:ascii="Times New Roman" w:hAnsi="Times New Roman" w:eastAsia="仿宋" w:cs="Times New Roman"/>
                <w:bCs/>
                <w:color w:val="auto"/>
                <w:sz w:val="28"/>
                <w:szCs w:val="28"/>
                <w:highlight w:val="none"/>
              </w:rPr>
              <w:t>邮编：4300</w:t>
            </w:r>
            <w:r>
              <w:rPr>
                <w:rFonts w:hint="eastAsia" w:ascii="Times New Roman" w:hAnsi="Times New Roman" w:eastAsia="仿宋" w:cs="Times New Roman"/>
                <w:bCs/>
                <w:color w:val="auto"/>
                <w:sz w:val="28"/>
                <w:szCs w:val="28"/>
                <w:highlight w:val="none"/>
              </w:rPr>
              <w:t>00</w:t>
            </w:r>
          </w:p>
          <w:p w14:paraId="7031EF29">
            <w:pPr>
              <w:adjustRightInd/>
              <w:snapToGrid/>
              <w:rPr>
                <w:rFonts w:ascii="仿宋" w:hAnsi="仿宋" w:eastAsia="仿宋"/>
                <w:bCs/>
                <w:color w:val="auto"/>
                <w:sz w:val="24"/>
                <w:szCs w:val="24"/>
                <w:highlight w:val="none"/>
              </w:rPr>
            </w:pPr>
            <w:r>
              <w:rPr>
                <w:rFonts w:ascii="Times New Roman" w:hAnsi="Times New Roman" w:eastAsia="仿宋" w:cs="Times New Roman"/>
                <w:bCs/>
                <w:color w:val="auto"/>
                <w:sz w:val="28"/>
                <w:szCs w:val="28"/>
                <w:highlight w:val="none"/>
              </w:rPr>
              <w:t>地址：</w:t>
            </w:r>
            <w:r>
              <w:rPr>
                <w:rFonts w:hint="eastAsia" w:ascii="Times New Roman" w:hAnsi="Times New Roman" w:eastAsia="仿宋" w:cs="Times New Roman"/>
                <w:bCs/>
                <w:color w:val="auto"/>
                <w:sz w:val="28"/>
                <w:szCs w:val="28"/>
                <w:highlight w:val="none"/>
              </w:rPr>
              <w:t>武汉市洪山区珞喻路281号融科·珞瑜中心T1写字楼2楼</w:t>
            </w:r>
          </w:p>
        </w:tc>
      </w:tr>
    </w:tbl>
    <w:p w14:paraId="2B595768">
      <w:pPr>
        <w:pStyle w:val="28"/>
        <w:adjustRightInd/>
        <w:snapToGrid/>
        <w:ind w:left="0" w:leftChars="0" w:firstLine="0" w:firstLineChars="0"/>
        <w:rPr>
          <w:color w:val="auto"/>
          <w:highlight w:val="none"/>
          <w:lang w:val="zh-CN"/>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5D196373">
      <w:pPr>
        <w:pStyle w:val="28"/>
        <w:adjustRightInd/>
        <w:snapToGrid/>
        <w:ind w:left="0" w:leftChars="0" w:firstLine="0" w:firstLineChars="0"/>
        <w:rPr>
          <w:color w:val="auto"/>
          <w:highlight w:val="none"/>
          <w:lang w:val="zh-CN"/>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452201EF">
      <w:pPr>
        <w:pStyle w:val="65"/>
        <w:adjustRightInd/>
        <w:snapToGrid/>
        <w:spacing w:before="0" w:after="312" w:afterLines="100" w:line="360" w:lineRule="auto"/>
        <w:jc w:val="center"/>
        <w:rPr>
          <w:rFonts w:ascii="Times New Roman" w:hAnsi="Times New Roman"/>
          <w:color w:val="auto"/>
          <w:sz w:val="32"/>
          <w:highlight w:val="none"/>
        </w:rPr>
      </w:pPr>
      <w:r>
        <w:rPr>
          <w:rFonts w:ascii="Times New Roman" w:hAnsi="Times New Roman"/>
          <w:color w:val="auto"/>
          <w:sz w:val="32"/>
          <w:highlight w:val="none"/>
          <w:lang w:val="zh-CN"/>
        </w:rPr>
        <w:t>目录</w:t>
      </w:r>
    </w:p>
    <w:p w14:paraId="6458899F">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highlight w:val="none"/>
        </w:rPr>
        <w:fldChar w:fldCharType="begin"/>
      </w:r>
      <w:r>
        <w:rPr>
          <w:color w:val="auto"/>
          <w:sz w:val="24"/>
          <w:highlight w:val="none"/>
        </w:rPr>
        <w:instrText xml:space="preserve"> TOC \o "1-3" \h \z \u </w:instrText>
      </w:r>
      <w:r>
        <w:rPr>
          <w:color w:val="auto"/>
          <w:sz w:val="24"/>
          <w:highlight w:val="none"/>
        </w:rPr>
        <w:fldChar w:fldCharType="separate"/>
      </w:r>
      <w:r>
        <w:rPr>
          <w:color w:val="auto"/>
          <w:sz w:val="24"/>
          <w:szCs w:val="24"/>
          <w:highlight w:val="none"/>
        </w:rPr>
        <w:fldChar w:fldCharType="begin"/>
      </w:r>
      <w:r>
        <w:rPr>
          <w:sz w:val="24"/>
          <w:szCs w:val="24"/>
          <w:highlight w:val="none"/>
        </w:rPr>
        <w:instrText xml:space="preserve"> HYPERLINK \l _Toc31820 </w:instrText>
      </w:r>
      <w:r>
        <w:rPr>
          <w:sz w:val="24"/>
          <w:szCs w:val="24"/>
          <w:highlight w:val="none"/>
        </w:rPr>
        <w:fldChar w:fldCharType="separate"/>
      </w:r>
      <w:r>
        <w:rPr>
          <w:sz w:val="24"/>
          <w:szCs w:val="24"/>
          <w:highlight w:val="none"/>
        </w:rPr>
        <w:t>表一基本情况及验收监测依据</w:t>
      </w:r>
      <w:r>
        <w:rPr>
          <w:sz w:val="24"/>
          <w:szCs w:val="24"/>
        </w:rPr>
        <w:tab/>
      </w:r>
      <w:r>
        <w:rPr>
          <w:sz w:val="24"/>
          <w:szCs w:val="24"/>
        </w:rPr>
        <w:fldChar w:fldCharType="begin"/>
      </w:r>
      <w:r>
        <w:rPr>
          <w:sz w:val="24"/>
          <w:szCs w:val="24"/>
        </w:rPr>
        <w:instrText xml:space="preserve"> PAGEREF _Toc31820 \h </w:instrText>
      </w:r>
      <w:r>
        <w:rPr>
          <w:sz w:val="24"/>
          <w:szCs w:val="24"/>
        </w:rPr>
        <w:fldChar w:fldCharType="separate"/>
      </w:r>
      <w:r>
        <w:rPr>
          <w:sz w:val="24"/>
          <w:szCs w:val="24"/>
        </w:rPr>
        <w:t>1</w:t>
      </w:r>
      <w:r>
        <w:rPr>
          <w:sz w:val="24"/>
          <w:szCs w:val="24"/>
        </w:rPr>
        <w:fldChar w:fldCharType="end"/>
      </w:r>
      <w:r>
        <w:rPr>
          <w:color w:val="auto"/>
          <w:sz w:val="24"/>
          <w:szCs w:val="24"/>
          <w:highlight w:val="none"/>
        </w:rPr>
        <w:fldChar w:fldCharType="end"/>
      </w:r>
    </w:p>
    <w:p w14:paraId="510EADF6">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_Toc24149 </w:instrText>
      </w:r>
      <w:r>
        <w:rPr>
          <w:sz w:val="24"/>
          <w:szCs w:val="24"/>
          <w:highlight w:val="none"/>
        </w:rPr>
        <w:fldChar w:fldCharType="separate"/>
      </w:r>
      <w:r>
        <w:rPr>
          <w:sz w:val="24"/>
          <w:szCs w:val="24"/>
          <w:highlight w:val="none"/>
        </w:rPr>
        <w:t>表</w:t>
      </w:r>
      <w:r>
        <w:rPr>
          <w:rFonts w:hint="eastAsia"/>
          <w:sz w:val="24"/>
          <w:szCs w:val="24"/>
          <w:highlight w:val="none"/>
        </w:rPr>
        <w:t>二</w:t>
      </w:r>
      <w:r>
        <w:rPr>
          <w:sz w:val="24"/>
          <w:szCs w:val="24"/>
          <w:highlight w:val="none"/>
        </w:rPr>
        <w:t>验收项目基本情况</w:t>
      </w:r>
      <w:r>
        <w:rPr>
          <w:sz w:val="24"/>
          <w:szCs w:val="24"/>
        </w:rPr>
        <w:tab/>
      </w:r>
      <w:r>
        <w:rPr>
          <w:sz w:val="24"/>
          <w:szCs w:val="24"/>
        </w:rPr>
        <w:fldChar w:fldCharType="begin"/>
      </w:r>
      <w:r>
        <w:rPr>
          <w:sz w:val="24"/>
          <w:szCs w:val="24"/>
        </w:rPr>
        <w:instrText xml:space="preserve"> PAGEREF _Toc24149 \h </w:instrText>
      </w:r>
      <w:r>
        <w:rPr>
          <w:sz w:val="24"/>
          <w:szCs w:val="24"/>
        </w:rPr>
        <w:fldChar w:fldCharType="separate"/>
      </w:r>
      <w:r>
        <w:rPr>
          <w:sz w:val="24"/>
          <w:szCs w:val="24"/>
        </w:rPr>
        <w:t>4</w:t>
      </w:r>
      <w:r>
        <w:rPr>
          <w:sz w:val="24"/>
          <w:szCs w:val="24"/>
        </w:rPr>
        <w:fldChar w:fldCharType="end"/>
      </w:r>
      <w:r>
        <w:rPr>
          <w:color w:val="auto"/>
          <w:sz w:val="24"/>
          <w:szCs w:val="24"/>
          <w:highlight w:val="none"/>
        </w:rPr>
        <w:fldChar w:fldCharType="end"/>
      </w:r>
    </w:p>
    <w:p w14:paraId="6B02DC3E">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_Toc10444 </w:instrText>
      </w:r>
      <w:r>
        <w:rPr>
          <w:sz w:val="24"/>
          <w:szCs w:val="24"/>
          <w:highlight w:val="none"/>
        </w:rPr>
        <w:fldChar w:fldCharType="separate"/>
      </w:r>
      <w:r>
        <w:rPr>
          <w:sz w:val="24"/>
          <w:szCs w:val="24"/>
          <w:highlight w:val="none"/>
        </w:rPr>
        <w:t>表</w:t>
      </w:r>
      <w:r>
        <w:rPr>
          <w:rFonts w:hint="eastAsia"/>
          <w:sz w:val="24"/>
          <w:szCs w:val="24"/>
          <w:highlight w:val="none"/>
        </w:rPr>
        <w:t>三</w:t>
      </w:r>
      <w:r>
        <w:rPr>
          <w:sz w:val="24"/>
          <w:szCs w:val="24"/>
          <w:highlight w:val="none"/>
        </w:rPr>
        <w:t>主要污染物</w:t>
      </w:r>
      <w:r>
        <w:rPr>
          <w:rFonts w:hint="eastAsia"/>
          <w:sz w:val="24"/>
          <w:szCs w:val="24"/>
          <w:highlight w:val="none"/>
        </w:rPr>
        <w:t>处理设施</w:t>
      </w:r>
      <w:r>
        <w:rPr>
          <w:sz w:val="24"/>
          <w:szCs w:val="24"/>
          <w:highlight w:val="none"/>
        </w:rPr>
        <w:t>及排放情况</w:t>
      </w:r>
      <w:r>
        <w:rPr>
          <w:sz w:val="24"/>
          <w:szCs w:val="24"/>
        </w:rPr>
        <w:tab/>
      </w:r>
      <w:r>
        <w:rPr>
          <w:sz w:val="24"/>
          <w:szCs w:val="24"/>
        </w:rPr>
        <w:fldChar w:fldCharType="begin"/>
      </w:r>
      <w:r>
        <w:rPr>
          <w:sz w:val="24"/>
          <w:szCs w:val="24"/>
        </w:rPr>
        <w:instrText xml:space="preserve"> PAGEREF _Toc10444 \h </w:instrText>
      </w:r>
      <w:r>
        <w:rPr>
          <w:sz w:val="24"/>
          <w:szCs w:val="24"/>
        </w:rPr>
        <w:fldChar w:fldCharType="separate"/>
      </w:r>
      <w:r>
        <w:rPr>
          <w:sz w:val="24"/>
          <w:szCs w:val="24"/>
        </w:rPr>
        <w:t>30</w:t>
      </w:r>
      <w:r>
        <w:rPr>
          <w:sz w:val="24"/>
          <w:szCs w:val="24"/>
        </w:rPr>
        <w:fldChar w:fldCharType="end"/>
      </w:r>
      <w:r>
        <w:rPr>
          <w:color w:val="auto"/>
          <w:sz w:val="24"/>
          <w:szCs w:val="24"/>
          <w:highlight w:val="none"/>
        </w:rPr>
        <w:fldChar w:fldCharType="end"/>
      </w:r>
    </w:p>
    <w:p w14:paraId="722E9086">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_Toc10275 </w:instrText>
      </w:r>
      <w:r>
        <w:rPr>
          <w:sz w:val="24"/>
          <w:szCs w:val="24"/>
          <w:highlight w:val="none"/>
        </w:rPr>
        <w:fldChar w:fldCharType="separate"/>
      </w:r>
      <w:r>
        <w:rPr>
          <w:rFonts w:hint="eastAsia"/>
          <w:sz w:val="24"/>
          <w:szCs w:val="24"/>
          <w:highlight w:val="none"/>
        </w:rPr>
        <w:t>表四环评报告表的主要结论与环评批复要求</w:t>
      </w:r>
      <w:r>
        <w:rPr>
          <w:sz w:val="24"/>
          <w:szCs w:val="24"/>
        </w:rPr>
        <w:tab/>
      </w:r>
      <w:r>
        <w:rPr>
          <w:sz w:val="24"/>
          <w:szCs w:val="24"/>
        </w:rPr>
        <w:fldChar w:fldCharType="begin"/>
      </w:r>
      <w:r>
        <w:rPr>
          <w:sz w:val="24"/>
          <w:szCs w:val="24"/>
        </w:rPr>
        <w:instrText xml:space="preserve"> PAGEREF _Toc10275 \h </w:instrText>
      </w:r>
      <w:r>
        <w:rPr>
          <w:sz w:val="24"/>
          <w:szCs w:val="24"/>
        </w:rPr>
        <w:fldChar w:fldCharType="separate"/>
      </w:r>
      <w:r>
        <w:rPr>
          <w:sz w:val="24"/>
          <w:szCs w:val="24"/>
        </w:rPr>
        <w:t>40</w:t>
      </w:r>
      <w:r>
        <w:rPr>
          <w:sz w:val="24"/>
          <w:szCs w:val="24"/>
        </w:rPr>
        <w:fldChar w:fldCharType="end"/>
      </w:r>
      <w:r>
        <w:rPr>
          <w:color w:val="auto"/>
          <w:sz w:val="24"/>
          <w:szCs w:val="24"/>
          <w:highlight w:val="none"/>
        </w:rPr>
        <w:fldChar w:fldCharType="end"/>
      </w:r>
    </w:p>
    <w:p w14:paraId="65F51BBC">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_Toc15513 </w:instrText>
      </w:r>
      <w:r>
        <w:rPr>
          <w:sz w:val="24"/>
          <w:szCs w:val="24"/>
          <w:highlight w:val="none"/>
        </w:rPr>
        <w:fldChar w:fldCharType="separate"/>
      </w:r>
      <w:r>
        <w:rPr>
          <w:rFonts w:hint="eastAsia"/>
          <w:sz w:val="24"/>
          <w:szCs w:val="24"/>
          <w:highlight w:val="none"/>
        </w:rPr>
        <w:t>表五验收监测质量保证及质量控制</w:t>
      </w:r>
      <w:r>
        <w:rPr>
          <w:sz w:val="24"/>
          <w:szCs w:val="24"/>
        </w:rPr>
        <w:tab/>
      </w:r>
      <w:r>
        <w:rPr>
          <w:sz w:val="24"/>
          <w:szCs w:val="24"/>
        </w:rPr>
        <w:fldChar w:fldCharType="begin"/>
      </w:r>
      <w:r>
        <w:rPr>
          <w:sz w:val="24"/>
          <w:szCs w:val="24"/>
        </w:rPr>
        <w:instrText xml:space="preserve"> PAGEREF _Toc15513 \h </w:instrText>
      </w:r>
      <w:r>
        <w:rPr>
          <w:sz w:val="24"/>
          <w:szCs w:val="24"/>
        </w:rPr>
        <w:fldChar w:fldCharType="separate"/>
      </w:r>
      <w:r>
        <w:rPr>
          <w:sz w:val="24"/>
          <w:szCs w:val="24"/>
        </w:rPr>
        <w:t>42</w:t>
      </w:r>
      <w:r>
        <w:rPr>
          <w:sz w:val="24"/>
          <w:szCs w:val="24"/>
        </w:rPr>
        <w:fldChar w:fldCharType="end"/>
      </w:r>
      <w:r>
        <w:rPr>
          <w:color w:val="auto"/>
          <w:sz w:val="24"/>
          <w:szCs w:val="24"/>
          <w:highlight w:val="none"/>
        </w:rPr>
        <w:fldChar w:fldCharType="end"/>
      </w:r>
    </w:p>
    <w:p w14:paraId="6601A4F7">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_Toc31668 </w:instrText>
      </w:r>
      <w:r>
        <w:rPr>
          <w:sz w:val="24"/>
          <w:szCs w:val="24"/>
          <w:highlight w:val="none"/>
        </w:rPr>
        <w:fldChar w:fldCharType="separate"/>
      </w:r>
      <w:r>
        <w:rPr>
          <w:rFonts w:hint="eastAsia"/>
          <w:sz w:val="24"/>
          <w:szCs w:val="24"/>
          <w:highlight w:val="none"/>
        </w:rPr>
        <w:t>表六验收监测内容</w:t>
      </w:r>
      <w:r>
        <w:rPr>
          <w:sz w:val="24"/>
          <w:szCs w:val="24"/>
        </w:rPr>
        <w:tab/>
      </w:r>
      <w:r>
        <w:rPr>
          <w:sz w:val="24"/>
          <w:szCs w:val="24"/>
        </w:rPr>
        <w:fldChar w:fldCharType="begin"/>
      </w:r>
      <w:r>
        <w:rPr>
          <w:sz w:val="24"/>
          <w:szCs w:val="24"/>
        </w:rPr>
        <w:instrText xml:space="preserve"> PAGEREF _Toc31668 \h </w:instrText>
      </w:r>
      <w:r>
        <w:rPr>
          <w:sz w:val="24"/>
          <w:szCs w:val="24"/>
        </w:rPr>
        <w:fldChar w:fldCharType="separate"/>
      </w:r>
      <w:r>
        <w:rPr>
          <w:sz w:val="24"/>
          <w:szCs w:val="24"/>
        </w:rPr>
        <w:t>45</w:t>
      </w:r>
      <w:r>
        <w:rPr>
          <w:sz w:val="24"/>
          <w:szCs w:val="24"/>
        </w:rPr>
        <w:fldChar w:fldCharType="end"/>
      </w:r>
      <w:r>
        <w:rPr>
          <w:color w:val="auto"/>
          <w:sz w:val="24"/>
          <w:szCs w:val="24"/>
          <w:highlight w:val="none"/>
        </w:rPr>
        <w:fldChar w:fldCharType="end"/>
      </w:r>
    </w:p>
    <w:p w14:paraId="0AFF9449">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_Toc27937 </w:instrText>
      </w:r>
      <w:r>
        <w:rPr>
          <w:sz w:val="24"/>
          <w:szCs w:val="24"/>
          <w:highlight w:val="none"/>
        </w:rPr>
        <w:fldChar w:fldCharType="separate"/>
      </w:r>
      <w:r>
        <w:rPr>
          <w:rFonts w:hint="eastAsia"/>
          <w:sz w:val="24"/>
          <w:szCs w:val="24"/>
          <w:highlight w:val="none"/>
        </w:rPr>
        <w:t>表七验收监测结果</w:t>
      </w:r>
      <w:r>
        <w:rPr>
          <w:sz w:val="24"/>
          <w:szCs w:val="24"/>
        </w:rPr>
        <w:tab/>
      </w:r>
      <w:r>
        <w:rPr>
          <w:sz w:val="24"/>
          <w:szCs w:val="24"/>
        </w:rPr>
        <w:fldChar w:fldCharType="begin"/>
      </w:r>
      <w:r>
        <w:rPr>
          <w:sz w:val="24"/>
          <w:szCs w:val="24"/>
        </w:rPr>
        <w:instrText xml:space="preserve"> PAGEREF _Toc27937 \h </w:instrText>
      </w:r>
      <w:r>
        <w:rPr>
          <w:sz w:val="24"/>
          <w:szCs w:val="24"/>
        </w:rPr>
        <w:fldChar w:fldCharType="separate"/>
      </w:r>
      <w:r>
        <w:rPr>
          <w:sz w:val="24"/>
          <w:szCs w:val="24"/>
        </w:rPr>
        <w:t>47</w:t>
      </w:r>
      <w:r>
        <w:rPr>
          <w:sz w:val="24"/>
          <w:szCs w:val="24"/>
        </w:rPr>
        <w:fldChar w:fldCharType="end"/>
      </w:r>
      <w:r>
        <w:rPr>
          <w:color w:val="auto"/>
          <w:sz w:val="24"/>
          <w:szCs w:val="24"/>
          <w:highlight w:val="none"/>
        </w:rPr>
        <w:fldChar w:fldCharType="end"/>
      </w:r>
    </w:p>
    <w:p w14:paraId="6A116525">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_Toc24591 </w:instrText>
      </w:r>
      <w:r>
        <w:rPr>
          <w:sz w:val="24"/>
          <w:szCs w:val="24"/>
          <w:highlight w:val="none"/>
        </w:rPr>
        <w:fldChar w:fldCharType="separate"/>
      </w:r>
      <w:r>
        <w:rPr>
          <w:rFonts w:hint="eastAsia"/>
          <w:sz w:val="24"/>
          <w:szCs w:val="24"/>
          <w:highlight w:val="none"/>
        </w:rPr>
        <w:t>表八环境管理检查结果</w:t>
      </w:r>
      <w:r>
        <w:rPr>
          <w:sz w:val="24"/>
          <w:szCs w:val="24"/>
        </w:rPr>
        <w:tab/>
      </w:r>
      <w:r>
        <w:rPr>
          <w:sz w:val="24"/>
          <w:szCs w:val="24"/>
        </w:rPr>
        <w:fldChar w:fldCharType="begin"/>
      </w:r>
      <w:r>
        <w:rPr>
          <w:sz w:val="24"/>
          <w:szCs w:val="24"/>
        </w:rPr>
        <w:instrText xml:space="preserve"> PAGEREF _Toc24591 \h </w:instrText>
      </w:r>
      <w:r>
        <w:rPr>
          <w:sz w:val="24"/>
          <w:szCs w:val="24"/>
        </w:rPr>
        <w:fldChar w:fldCharType="separate"/>
      </w:r>
      <w:r>
        <w:rPr>
          <w:sz w:val="24"/>
          <w:szCs w:val="24"/>
        </w:rPr>
        <w:t>55</w:t>
      </w:r>
      <w:r>
        <w:rPr>
          <w:sz w:val="24"/>
          <w:szCs w:val="24"/>
        </w:rPr>
        <w:fldChar w:fldCharType="end"/>
      </w:r>
      <w:r>
        <w:rPr>
          <w:color w:val="auto"/>
          <w:sz w:val="24"/>
          <w:szCs w:val="24"/>
          <w:highlight w:val="none"/>
        </w:rPr>
        <w:fldChar w:fldCharType="end"/>
      </w:r>
    </w:p>
    <w:p w14:paraId="74F6EA51">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rPr>
          <w:sz w:val="24"/>
          <w:szCs w:val="24"/>
        </w:rPr>
      </w:pPr>
      <w:r>
        <w:rPr>
          <w:color w:val="auto"/>
          <w:sz w:val="24"/>
          <w:szCs w:val="24"/>
          <w:highlight w:val="none"/>
        </w:rPr>
        <w:fldChar w:fldCharType="begin"/>
      </w:r>
      <w:r>
        <w:rPr>
          <w:sz w:val="24"/>
          <w:szCs w:val="24"/>
          <w:highlight w:val="none"/>
        </w:rPr>
        <w:instrText xml:space="preserve"> HYPERLINK \l _Toc30547 </w:instrText>
      </w:r>
      <w:r>
        <w:rPr>
          <w:sz w:val="24"/>
          <w:szCs w:val="24"/>
          <w:highlight w:val="none"/>
        </w:rPr>
        <w:fldChar w:fldCharType="separate"/>
      </w:r>
      <w:r>
        <w:rPr>
          <w:rFonts w:hint="eastAsia"/>
          <w:sz w:val="24"/>
          <w:szCs w:val="24"/>
          <w:highlight w:val="none"/>
        </w:rPr>
        <w:t>表九验收监测结论及建议</w:t>
      </w:r>
      <w:r>
        <w:rPr>
          <w:sz w:val="24"/>
          <w:szCs w:val="24"/>
        </w:rPr>
        <w:tab/>
      </w:r>
      <w:r>
        <w:rPr>
          <w:sz w:val="24"/>
          <w:szCs w:val="24"/>
        </w:rPr>
        <w:fldChar w:fldCharType="begin"/>
      </w:r>
      <w:r>
        <w:rPr>
          <w:sz w:val="24"/>
          <w:szCs w:val="24"/>
        </w:rPr>
        <w:instrText xml:space="preserve"> PAGEREF _Toc30547 \h </w:instrText>
      </w:r>
      <w:r>
        <w:rPr>
          <w:sz w:val="24"/>
          <w:szCs w:val="24"/>
        </w:rPr>
        <w:fldChar w:fldCharType="separate"/>
      </w:r>
      <w:r>
        <w:rPr>
          <w:sz w:val="24"/>
          <w:szCs w:val="24"/>
        </w:rPr>
        <w:t>56</w:t>
      </w:r>
      <w:r>
        <w:rPr>
          <w:sz w:val="24"/>
          <w:szCs w:val="24"/>
        </w:rPr>
        <w:fldChar w:fldCharType="end"/>
      </w:r>
      <w:r>
        <w:rPr>
          <w:color w:val="auto"/>
          <w:sz w:val="24"/>
          <w:szCs w:val="24"/>
          <w:highlight w:val="none"/>
        </w:rPr>
        <w:fldChar w:fldCharType="end"/>
      </w:r>
    </w:p>
    <w:p w14:paraId="080D52B1">
      <w:pPr>
        <w:pStyle w:val="24"/>
        <w:keepNext w:val="0"/>
        <w:keepLines w:val="0"/>
        <w:pageBreakBefore w:val="0"/>
        <w:widowControl w:val="0"/>
        <w:tabs>
          <w:tab w:val="right" w:leader="dot" w:pos="9070"/>
        </w:tabs>
        <w:kinsoku/>
        <w:wordWrap/>
        <w:overflowPunct/>
        <w:topLinePunct w:val="0"/>
        <w:autoSpaceDE/>
        <w:autoSpaceDN/>
        <w:bidi w:val="0"/>
        <w:adjustRightInd w:val="0"/>
        <w:snapToGrid w:val="0"/>
        <w:spacing w:line="300" w:lineRule="auto"/>
        <w:textAlignment w:val="auto"/>
      </w:pPr>
      <w:r>
        <w:rPr>
          <w:color w:val="auto"/>
          <w:sz w:val="24"/>
          <w:szCs w:val="24"/>
          <w:highlight w:val="none"/>
        </w:rPr>
        <w:fldChar w:fldCharType="begin"/>
      </w:r>
      <w:r>
        <w:rPr>
          <w:sz w:val="24"/>
          <w:szCs w:val="24"/>
          <w:highlight w:val="none"/>
        </w:rPr>
        <w:instrText xml:space="preserve"> HYPERLINK \l _Toc20555 </w:instrText>
      </w:r>
      <w:r>
        <w:rPr>
          <w:sz w:val="24"/>
          <w:szCs w:val="24"/>
          <w:highlight w:val="none"/>
        </w:rPr>
        <w:fldChar w:fldCharType="separate"/>
      </w:r>
      <w:r>
        <w:rPr>
          <w:rFonts w:ascii="Times New Roman" w:hAnsi="Times New Roman"/>
          <w:sz w:val="24"/>
          <w:szCs w:val="24"/>
          <w:highlight w:val="none"/>
        </w:rPr>
        <w:t>建设项目</w:t>
      </w:r>
      <w:r>
        <w:rPr>
          <w:rFonts w:hint="eastAsia" w:ascii="Times New Roman" w:hAnsi="Times New Roman"/>
          <w:sz w:val="24"/>
          <w:szCs w:val="24"/>
          <w:highlight w:val="none"/>
        </w:rPr>
        <w:t>工程竣工</w:t>
      </w:r>
      <w:r>
        <w:rPr>
          <w:rFonts w:ascii="Times New Roman" w:hAnsi="Times New Roman"/>
          <w:sz w:val="24"/>
          <w:szCs w:val="24"/>
          <w:highlight w:val="none"/>
        </w:rPr>
        <w:t>环境保护“三同时”验收登记表</w:t>
      </w:r>
      <w:r>
        <w:rPr>
          <w:sz w:val="24"/>
          <w:szCs w:val="24"/>
        </w:rPr>
        <w:tab/>
      </w:r>
      <w:r>
        <w:rPr>
          <w:sz w:val="24"/>
          <w:szCs w:val="24"/>
        </w:rPr>
        <w:fldChar w:fldCharType="begin"/>
      </w:r>
      <w:r>
        <w:rPr>
          <w:sz w:val="24"/>
          <w:szCs w:val="24"/>
        </w:rPr>
        <w:instrText xml:space="preserve"> PAGEREF _Toc20555 \h </w:instrText>
      </w:r>
      <w:r>
        <w:rPr>
          <w:sz w:val="24"/>
          <w:szCs w:val="24"/>
        </w:rPr>
        <w:fldChar w:fldCharType="separate"/>
      </w:r>
      <w:r>
        <w:rPr>
          <w:sz w:val="24"/>
          <w:szCs w:val="24"/>
        </w:rPr>
        <w:t>58</w:t>
      </w:r>
      <w:r>
        <w:rPr>
          <w:sz w:val="24"/>
          <w:szCs w:val="24"/>
        </w:rPr>
        <w:fldChar w:fldCharType="end"/>
      </w:r>
      <w:r>
        <w:rPr>
          <w:color w:val="auto"/>
          <w:sz w:val="24"/>
          <w:szCs w:val="24"/>
          <w:highlight w:val="none"/>
        </w:rPr>
        <w:fldChar w:fldCharType="end"/>
      </w:r>
    </w:p>
    <w:p w14:paraId="1FFD2D9F">
      <w:pPr>
        <w:adjustRightInd/>
        <w:snapToGrid/>
        <w:spacing w:line="360" w:lineRule="auto"/>
        <w:rPr>
          <w:color w:val="auto"/>
          <w:sz w:val="24"/>
          <w:highlight w:val="none"/>
        </w:rPr>
      </w:pPr>
      <w:r>
        <w:rPr>
          <w:color w:val="auto"/>
          <w:highlight w:val="none"/>
        </w:rPr>
        <w:fldChar w:fldCharType="end"/>
      </w:r>
    </w:p>
    <w:p w14:paraId="16CFCEE9">
      <w:pPr>
        <w:rPr>
          <w:color w:val="auto"/>
          <w:sz w:val="24"/>
          <w:highlight w:val="none"/>
        </w:rPr>
      </w:pPr>
      <w:r>
        <w:rPr>
          <w:color w:val="auto"/>
          <w:sz w:val="24"/>
          <w:highlight w:val="none"/>
        </w:rPr>
        <w:br w:type="page"/>
      </w:r>
    </w:p>
    <w:p w14:paraId="16D892DE">
      <w:pPr>
        <w:pStyle w:val="2"/>
        <w:rPr>
          <w:color w:val="auto"/>
          <w:highlight w:val="none"/>
        </w:rPr>
      </w:pPr>
    </w:p>
    <w:p w14:paraId="0C06AF62">
      <w:pPr>
        <w:adjustRightInd/>
        <w:snapToGrid/>
        <w:rPr>
          <w:rFonts w:eastAsia="黑体"/>
          <w:color w:val="auto"/>
          <w:sz w:val="30"/>
          <w:szCs w:val="30"/>
          <w:highlight w:val="none"/>
        </w:rPr>
      </w:pPr>
      <w:r>
        <w:rPr>
          <w:rFonts w:eastAsia="黑体"/>
          <w:color w:val="auto"/>
          <w:sz w:val="30"/>
          <w:szCs w:val="30"/>
          <w:highlight w:val="none"/>
        </w:rPr>
        <w:br w:type="page"/>
      </w:r>
    </w:p>
    <w:p w14:paraId="6135333D">
      <w:pPr>
        <w:adjustRightInd/>
        <w:snapToGrid/>
        <w:spacing w:line="360" w:lineRule="auto"/>
        <w:rPr>
          <w:color w:val="auto"/>
          <w:sz w:val="24"/>
          <w:szCs w:val="24"/>
          <w:highlight w:val="none"/>
        </w:rPr>
      </w:pPr>
      <w:r>
        <w:rPr>
          <w:color w:val="auto"/>
          <w:sz w:val="24"/>
          <w:szCs w:val="24"/>
          <w:highlight w:val="none"/>
        </w:rPr>
        <w:t>附件：</w:t>
      </w:r>
    </w:p>
    <w:p w14:paraId="3B6C15DC">
      <w:pPr>
        <w:adjustRightInd/>
        <w:snapToGrid/>
        <w:spacing w:line="360" w:lineRule="auto"/>
        <w:ind w:firstLine="480" w:firstLineChars="200"/>
        <w:rPr>
          <w:color w:val="auto"/>
          <w:sz w:val="24"/>
          <w:szCs w:val="24"/>
          <w:highlight w:val="none"/>
        </w:rPr>
      </w:pPr>
      <w:r>
        <w:rPr>
          <w:color w:val="auto"/>
          <w:sz w:val="24"/>
          <w:szCs w:val="24"/>
          <w:highlight w:val="none"/>
        </w:rPr>
        <w:t>附件1</w:t>
      </w:r>
      <w:r>
        <w:rPr>
          <w:rFonts w:hint="eastAsia"/>
          <w:color w:val="auto"/>
          <w:sz w:val="24"/>
          <w:szCs w:val="24"/>
          <w:highlight w:val="none"/>
          <w:lang w:val="en-US" w:eastAsia="zh-CN"/>
        </w:rPr>
        <w:t xml:space="preserve">   </w:t>
      </w:r>
      <w:r>
        <w:rPr>
          <w:color w:val="auto"/>
          <w:sz w:val="24"/>
          <w:szCs w:val="24"/>
          <w:highlight w:val="none"/>
        </w:rPr>
        <w:t>竣工环境保护验收委托书</w:t>
      </w:r>
    </w:p>
    <w:p w14:paraId="5F2C8CBE">
      <w:pPr>
        <w:adjustRightInd/>
        <w:snapToGrid/>
        <w:spacing w:line="360" w:lineRule="auto"/>
        <w:ind w:firstLine="480" w:firstLineChars="200"/>
        <w:rPr>
          <w:color w:val="auto"/>
          <w:sz w:val="24"/>
          <w:szCs w:val="24"/>
          <w:highlight w:val="none"/>
        </w:rPr>
      </w:pPr>
      <w:r>
        <w:rPr>
          <w:color w:val="auto"/>
          <w:sz w:val="24"/>
          <w:szCs w:val="24"/>
          <w:highlight w:val="none"/>
        </w:rPr>
        <w:t>附件2</w:t>
      </w:r>
      <w:r>
        <w:rPr>
          <w:rFonts w:hint="eastAsia"/>
          <w:color w:val="auto"/>
          <w:sz w:val="24"/>
          <w:szCs w:val="24"/>
          <w:highlight w:val="none"/>
          <w:lang w:val="en-US" w:eastAsia="zh-CN"/>
        </w:rPr>
        <w:t xml:space="preserve">   </w:t>
      </w:r>
      <w:r>
        <w:rPr>
          <w:rFonts w:hint="eastAsia"/>
          <w:color w:val="auto"/>
          <w:sz w:val="24"/>
          <w:szCs w:val="24"/>
          <w:highlight w:val="none"/>
          <w:lang w:eastAsia="zh-CN"/>
        </w:rPr>
        <w:t>续建工程（二期）</w:t>
      </w:r>
      <w:r>
        <w:rPr>
          <w:color w:val="auto"/>
          <w:sz w:val="24"/>
          <w:szCs w:val="24"/>
          <w:highlight w:val="none"/>
        </w:rPr>
        <w:t>环评批复</w:t>
      </w:r>
    </w:p>
    <w:p w14:paraId="2F145E68">
      <w:pPr>
        <w:adjustRightInd/>
        <w:snapToGrid/>
        <w:spacing w:line="360" w:lineRule="auto"/>
        <w:ind w:firstLine="480" w:firstLineChars="200"/>
        <w:rPr>
          <w:rFonts w:hint="eastAsia" w:eastAsiaTheme="minorEastAsia"/>
          <w:color w:val="auto"/>
          <w:sz w:val="24"/>
          <w:highlight w:val="none"/>
          <w:lang w:eastAsia="zh-CN"/>
        </w:rPr>
      </w:pPr>
      <w:r>
        <w:rPr>
          <w:color w:val="auto"/>
          <w:sz w:val="24"/>
          <w:szCs w:val="24"/>
          <w:highlight w:val="none"/>
        </w:rPr>
        <w:t>附件3</w:t>
      </w:r>
      <w:r>
        <w:rPr>
          <w:rFonts w:hint="eastAsia"/>
          <w:color w:val="auto"/>
          <w:sz w:val="24"/>
          <w:szCs w:val="24"/>
          <w:highlight w:val="none"/>
          <w:lang w:val="en-US" w:eastAsia="zh-CN"/>
        </w:rPr>
        <w:t xml:space="preserve">   </w:t>
      </w:r>
      <w:r>
        <w:rPr>
          <w:rFonts w:hint="eastAsia" w:eastAsiaTheme="minorEastAsia"/>
          <w:color w:val="auto"/>
          <w:sz w:val="24"/>
          <w:highlight w:val="none"/>
        </w:rPr>
        <w:t>排污许可证</w:t>
      </w:r>
      <w:r>
        <w:rPr>
          <w:rFonts w:hint="eastAsia" w:eastAsiaTheme="minorEastAsia"/>
          <w:color w:val="auto"/>
          <w:sz w:val="24"/>
          <w:highlight w:val="none"/>
          <w:lang w:eastAsia="zh-CN"/>
        </w:rPr>
        <w:t>正本</w:t>
      </w:r>
    </w:p>
    <w:p w14:paraId="393B43C9">
      <w:pPr>
        <w:adjustRightInd/>
        <w:snapToGrid/>
        <w:spacing w:line="360" w:lineRule="auto"/>
        <w:ind w:firstLine="480" w:firstLineChars="200"/>
        <w:rPr>
          <w:rFonts w:hint="eastAsia" w:eastAsiaTheme="minorEastAsia"/>
          <w:color w:val="auto"/>
          <w:sz w:val="24"/>
          <w:szCs w:val="24"/>
          <w:highlight w:val="none"/>
          <w:lang w:eastAsia="zh-CN"/>
        </w:rPr>
      </w:pPr>
      <w:r>
        <w:rPr>
          <w:color w:val="auto"/>
          <w:sz w:val="24"/>
          <w:szCs w:val="24"/>
          <w:highlight w:val="none"/>
        </w:rPr>
        <w:t>附件</w:t>
      </w:r>
      <w:r>
        <w:rPr>
          <w:rFonts w:hint="eastAsia"/>
          <w:color w:val="auto"/>
          <w:sz w:val="24"/>
          <w:szCs w:val="24"/>
          <w:highlight w:val="none"/>
          <w:lang w:val="en-US" w:eastAsia="zh-CN"/>
        </w:rPr>
        <w:t xml:space="preserve">4   </w:t>
      </w:r>
      <w:r>
        <w:rPr>
          <w:rFonts w:hint="eastAsia" w:eastAsiaTheme="minorEastAsia"/>
          <w:color w:val="auto"/>
          <w:sz w:val="24"/>
          <w:highlight w:val="none"/>
        </w:rPr>
        <w:t>竣工环境保护验收情况说明</w:t>
      </w:r>
    </w:p>
    <w:p w14:paraId="1E275469">
      <w:pPr>
        <w:adjustRightInd/>
        <w:snapToGrid/>
        <w:spacing w:line="360" w:lineRule="auto"/>
        <w:ind w:firstLine="480" w:firstLineChars="200"/>
        <w:rPr>
          <w:rFonts w:hint="eastAsia" w:eastAsia="宋体"/>
          <w:color w:val="auto"/>
          <w:sz w:val="24"/>
          <w:szCs w:val="24"/>
          <w:highlight w:val="none"/>
          <w:lang w:eastAsia="zh-CN"/>
        </w:rPr>
      </w:pPr>
      <w:r>
        <w:rPr>
          <w:color w:val="auto"/>
          <w:sz w:val="24"/>
          <w:szCs w:val="24"/>
          <w:highlight w:val="none"/>
        </w:rPr>
        <w:t>附件</w:t>
      </w:r>
      <w:r>
        <w:rPr>
          <w:rFonts w:hint="eastAsia"/>
          <w:color w:val="auto"/>
          <w:sz w:val="24"/>
          <w:szCs w:val="24"/>
          <w:highlight w:val="none"/>
          <w:lang w:val="en-US" w:eastAsia="zh-CN"/>
        </w:rPr>
        <w:t xml:space="preserve">5   </w:t>
      </w:r>
      <w:r>
        <w:rPr>
          <w:rFonts w:hint="eastAsia" w:eastAsiaTheme="minorEastAsia"/>
          <w:color w:val="auto"/>
          <w:sz w:val="24"/>
          <w:highlight w:val="none"/>
        </w:rPr>
        <w:t>危险废物</w:t>
      </w:r>
      <w:r>
        <w:rPr>
          <w:rFonts w:hint="eastAsia"/>
          <w:color w:val="auto"/>
          <w:sz w:val="24"/>
          <w:szCs w:val="24"/>
          <w:highlight w:val="none"/>
        </w:rPr>
        <w:t>处置协议</w:t>
      </w:r>
      <w:r>
        <w:rPr>
          <w:rFonts w:hint="eastAsia"/>
          <w:color w:val="auto"/>
          <w:sz w:val="24"/>
          <w:szCs w:val="24"/>
          <w:highlight w:val="none"/>
          <w:lang w:eastAsia="zh-CN"/>
        </w:rPr>
        <w:t>及资质</w:t>
      </w:r>
    </w:p>
    <w:p w14:paraId="62CBC2FC">
      <w:pPr>
        <w:adjustRightInd/>
        <w:snapToGrid/>
        <w:spacing w:line="360" w:lineRule="auto"/>
        <w:ind w:firstLine="480" w:firstLineChars="200"/>
        <w:rPr>
          <w:rFonts w:hint="eastAsia" w:eastAsiaTheme="minorEastAsia"/>
          <w:color w:val="auto"/>
          <w:sz w:val="24"/>
          <w:highlight w:val="none"/>
        </w:rPr>
      </w:pPr>
      <w:r>
        <w:rPr>
          <w:color w:val="auto"/>
          <w:sz w:val="24"/>
          <w:szCs w:val="24"/>
          <w:highlight w:val="none"/>
        </w:rPr>
        <w:t>附件</w:t>
      </w:r>
      <w:r>
        <w:rPr>
          <w:rFonts w:hint="eastAsia"/>
          <w:color w:val="auto"/>
          <w:sz w:val="24"/>
          <w:szCs w:val="24"/>
          <w:highlight w:val="none"/>
          <w:lang w:val="en-US" w:eastAsia="zh-CN"/>
        </w:rPr>
        <w:t xml:space="preserve">6   </w:t>
      </w:r>
      <w:r>
        <w:rPr>
          <w:rFonts w:hint="eastAsia" w:eastAsiaTheme="minorEastAsia"/>
          <w:color w:val="auto"/>
          <w:sz w:val="24"/>
          <w:highlight w:val="none"/>
        </w:rPr>
        <w:t>危险废物转移联单</w:t>
      </w:r>
    </w:p>
    <w:p w14:paraId="5A595A8B">
      <w:pPr>
        <w:adjustRightInd/>
        <w:snapToGrid/>
        <w:spacing w:line="360" w:lineRule="auto"/>
        <w:ind w:firstLine="480" w:firstLineChars="200"/>
        <w:rPr>
          <w:rFonts w:hint="eastAsia" w:eastAsiaTheme="minorEastAsia"/>
          <w:color w:val="auto"/>
          <w:sz w:val="24"/>
          <w:highlight w:val="none"/>
        </w:rPr>
      </w:pPr>
      <w:r>
        <w:rPr>
          <w:color w:val="auto"/>
          <w:sz w:val="24"/>
          <w:szCs w:val="24"/>
          <w:highlight w:val="none"/>
        </w:rPr>
        <w:t>附件</w:t>
      </w:r>
      <w:r>
        <w:rPr>
          <w:rFonts w:hint="eastAsia"/>
          <w:color w:val="auto"/>
          <w:sz w:val="24"/>
          <w:szCs w:val="24"/>
          <w:highlight w:val="none"/>
          <w:lang w:val="en-US" w:eastAsia="zh-CN"/>
        </w:rPr>
        <w:t xml:space="preserve">7   </w:t>
      </w:r>
      <w:r>
        <w:rPr>
          <w:rFonts w:hint="eastAsia"/>
          <w:color w:val="auto"/>
          <w:sz w:val="24"/>
          <w:szCs w:val="24"/>
          <w:highlight w:val="none"/>
        </w:rPr>
        <w:t>环境保护管理制度</w:t>
      </w:r>
    </w:p>
    <w:p w14:paraId="5BC39B58">
      <w:pPr>
        <w:adjustRightInd/>
        <w:snapToGrid/>
        <w:spacing w:line="360" w:lineRule="auto"/>
        <w:ind w:firstLine="480" w:firstLineChars="200"/>
        <w:rPr>
          <w:color w:val="auto"/>
          <w:sz w:val="24"/>
          <w:szCs w:val="24"/>
          <w:highlight w:val="none"/>
        </w:rPr>
      </w:pPr>
      <w:r>
        <w:rPr>
          <w:color w:val="auto"/>
          <w:sz w:val="24"/>
          <w:szCs w:val="24"/>
          <w:highlight w:val="none"/>
        </w:rPr>
        <w:t>附件</w:t>
      </w:r>
      <w:r>
        <w:rPr>
          <w:rFonts w:hint="eastAsia"/>
          <w:color w:val="auto"/>
          <w:sz w:val="24"/>
          <w:szCs w:val="24"/>
          <w:highlight w:val="none"/>
          <w:lang w:val="en-US" w:eastAsia="zh-CN"/>
        </w:rPr>
        <w:t xml:space="preserve">8   </w:t>
      </w:r>
      <w:r>
        <w:rPr>
          <w:rFonts w:hint="eastAsia" w:eastAsiaTheme="minorEastAsia"/>
          <w:color w:val="auto"/>
          <w:sz w:val="24"/>
          <w:highlight w:val="none"/>
        </w:rPr>
        <w:t>工况证明</w:t>
      </w:r>
    </w:p>
    <w:p w14:paraId="266AEAE6">
      <w:pPr>
        <w:adjustRightInd/>
        <w:snapToGrid/>
        <w:spacing w:line="360" w:lineRule="auto"/>
        <w:ind w:firstLine="480" w:firstLineChars="200"/>
        <w:rPr>
          <w:rFonts w:hint="eastAsia" w:eastAsiaTheme="minorEastAsia"/>
          <w:color w:val="auto"/>
          <w:sz w:val="24"/>
          <w:szCs w:val="24"/>
          <w:highlight w:val="none"/>
          <w:lang w:val="en-US" w:eastAsia="zh-CN"/>
        </w:rPr>
      </w:pPr>
      <w:r>
        <w:rPr>
          <w:color w:val="auto"/>
          <w:sz w:val="24"/>
          <w:szCs w:val="24"/>
          <w:highlight w:val="none"/>
        </w:rPr>
        <w:t>附件</w:t>
      </w:r>
      <w:r>
        <w:rPr>
          <w:rFonts w:hint="eastAsia"/>
          <w:color w:val="auto"/>
          <w:sz w:val="24"/>
          <w:szCs w:val="24"/>
          <w:highlight w:val="none"/>
          <w:lang w:val="en-US" w:eastAsia="zh-CN"/>
        </w:rPr>
        <w:t xml:space="preserve">9   </w:t>
      </w:r>
      <w:r>
        <w:rPr>
          <w:rFonts w:hint="eastAsia" w:ascii="Times New Roman" w:hAnsi="Times New Roman" w:cs="Times New Roman" w:eastAsiaTheme="minorEastAsia"/>
          <w:color w:val="auto"/>
          <w:sz w:val="24"/>
          <w:highlight w:val="none"/>
        </w:rPr>
        <w:t>验收监测数据报告</w:t>
      </w:r>
    </w:p>
    <w:p w14:paraId="18C918C4">
      <w:pPr>
        <w:adjustRightInd/>
        <w:snapToGrid/>
        <w:spacing w:line="360" w:lineRule="auto"/>
        <w:ind w:firstLine="480" w:firstLineChars="200"/>
        <w:rPr>
          <w:rFonts w:hint="eastAsia" w:ascii="Times New Roman" w:hAnsi="Times New Roman" w:cs="Times New Roman" w:eastAsiaTheme="minorEastAsia"/>
          <w:color w:val="auto"/>
          <w:sz w:val="24"/>
          <w:highlight w:val="none"/>
          <w:lang w:val="en-US" w:eastAsia="zh-CN"/>
        </w:rPr>
      </w:pPr>
      <w:r>
        <w:rPr>
          <w:rFonts w:hint="eastAsia" w:ascii="Times New Roman" w:hAnsi="Times New Roman" w:cs="Times New Roman" w:eastAsiaTheme="minorEastAsia"/>
          <w:color w:val="auto"/>
          <w:sz w:val="24"/>
          <w:highlight w:val="none"/>
        </w:rPr>
        <w:t>附件</w:t>
      </w:r>
      <w:r>
        <w:rPr>
          <w:rFonts w:hint="eastAsia" w:ascii="Times New Roman" w:hAnsi="Times New Roman" w:cs="Times New Roman" w:eastAsiaTheme="minorEastAsia"/>
          <w:color w:val="auto"/>
          <w:sz w:val="24"/>
          <w:highlight w:val="none"/>
          <w:lang w:val="en-US" w:eastAsia="zh-CN"/>
        </w:rPr>
        <w:t>10</w:t>
      </w:r>
      <w:r>
        <w:rPr>
          <w:rFonts w:hint="eastAsia" w:cs="Times New Roman" w:eastAsiaTheme="minorEastAsia"/>
          <w:color w:val="auto"/>
          <w:sz w:val="24"/>
          <w:highlight w:val="none"/>
          <w:lang w:val="en-US" w:eastAsia="zh-CN"/>
        </w:rPr>
        <w:t xml:space="preserve">  </w:t>
      </w:r>
      <w:r>
        <w:rPr>
          <w:rFonts w:hint="eastAsia" w:ascii="Times New Roman" w:hAnsi="Times New Roman" w:cs="Times New Roman" w:eastAsiaTheme="minorEastAsia"/>
          <w:color w:val="auto"/>
          <w:sz w:val="24"/>
          <w:highlight w:val="none"/>
          <w:lang w:val="en-US" w:eastAsia="zh-CN"/>
        </w:rPr>
        <w:t>长山口垃圾填埋场废水监测</w:t>
      </w:r>
      <w:r>
        <w:rPr>
          <w:rFonts w:hint="eastAsia" w:cs="Times New Roman" w:eastAsiaTheme="minorEastAsia"/>
          <w:color w:val="auto"/>
          <w:sz w:val="24"/>
          <w:highlight w:val="none"/>
          <w:lang w:val="en-US" w:eastAsia="zh-CN"/>
        </w:rPr>
        <w:t>报告</w:t>
      </w:r>
      <w:r>
        <w:rPr>
          <w:rFonts w:hint="eastAsia" w:cs="Times New Roman" w:eastAsiaTheme="minorEastAsia"/>
          <w:color w:val="auto"/>
          <w:sz w:val="24"/>
          <w:highlight w:val="none"/>
          <w:lang w:eastAsia="zh-CN"/>
        </w:rPr>
        <w:t>（</w:t>
      </w:r>
      <w:r>
        <w:rPr>
          <w:rFonts w:hint="eastAsia" w:ascii="Times New Roman" w:hAnsi="Times New Roman" w:cs="Times New Roman" w:eastAsiaTheme="minorEastAsia"/>
          <w:color w:val="auto"/>
          <w:sz w:val="24"/>
          <w:highlight w:val="none"/>
          <w:lang w:val="en-US" w:eastAsia="zh-CN"/>
        </w:rPr>
        <w:t>智惠（检）字【2024】第1223-10号）</w:t>
      </w:r>
    </w:p>
    <w:p w14:paraId="7F802652">
      <w:pPr>
        <w:rPr>
          <w:color w:val="auto"/>
          <w:sz w:val="24"/>
          <w:szCs w:val="24"/>
          <w:highlight w:val="none"/>
        </w:rPr>
      </w:pPr>
    </w:p>
    <w:p w14:paraId="1490D2A3">
      <w:pPr>
        <w:rPr>
          <w:color w:val="auto"/>
          <w:sz w:val="24"/>
          <w:szCs w:val="24"/>
          <w:highlight w:val="none"/>
        </w:rPr>
      </w:pPr>
    </w:p>
    <w:p w14:paraId="39900875">
      <w:pPr>
        <w:rPr>
          <w:color w:val="auto"/>
          <w:sz w:val="24"/>
          <w:szCs w:val="24"/>
          <w:highlight w:val="none"/>
        </w:rPr>
      </w:pPr>
    </w:p>
    <w:p w14:paraId="33681099">
      <w:pPr>
        <w:adjustRightInd/>
        <w:snapToGrid/>
        <w:spacing w:line="360" w:lineRule="auto"/>
        <w:rPr>
          <w:color w:val="auto"/>
          <w:sz w:val="24"/>
          <w:szCs w:val="24"/>
          <w:highlight w:val="none"/>
        </w:rPr>
      </w:pPr>
      <w:r>
        <w:rPr>
          <w:color w:val="auto"/>
          <w:sz w:val="24"/>
          <w:szCs w:val="24"/>
          <w:highlight w:val="none"/>
        </w:rPr>
        <w:t>附图：</w:t>
      </w:r>
    </w:p>
    <w:p w14:paraId="1258BE43">
      <w:pPr>
        <w:adjustRightInd/>
        <w:snapToGrid/>
        <w:spacing w:line="360" w:lineRule="auto"/>
        <w:ind w:firstLine="480" w:firstLineChars="200"/>
        <w:rPr>
          <w:color w:val="auto"/>
          <w:sz w:val="24"/>
          <w:szCs w:val="24"/>
          <w:highlight w:val="none"/>
        </w:rPr>
      </w:pPr>
      <w:r>
        <w:rPr>
          <w:color w:val="auto"/>
          <w:sz w:val="24"/>
          <w:szCs w:val="24"/>
          <w:highlight w:val="none"/>
        </w:rPr>
        <w:t>附图1</w:t>
      </w:r>
      <w:r>
        <w:rPr>
          <w:rFonts w:hint="eastAsia"/>
          <w:color w:val="auto"/>
          <w:sz w:val="24"/>
          <w:szCs w:val="24"/>
          <w:highlight w:val="none"/>
          <w:lang w:val="en-US" w:eastAsia="zh-CN"/>
        </w:rPr>
        <w:t xml:space="preserve">   </w:t>
      </w:r>
      <w:r>
        <w:rPr>
          <w:color w:val="auto"/>
          <w:sz w:val="24"/>
          <w:szCs w:val="24"/>
          <w:highlight w:val="none"/>
        </w:rPr>
        <w:t>项目地理位置示意图</w:t>
      </w:r>
    </w:p>
    <w:p w14:paraId="1CC834AE">
      <w:pPr>
        <w:adjustRightInd/>
        <w:snapToGrid/>
        <w:spacing w:line="360" w:lineRule="auto"/>
        <w:ind w:firstLine="480" w:firstLineChars="200"/>
        <w:rPr>
          <w:color w:val="auto"/>
          <w:sz w:val="24"/>
          <w:szCs w:val="24"/>
          <w:highlight w:val="none"/>
        </w:rPr>
      </w:pPr>
      <w:r>
        <w:rPr>
          <w:color w:val="auto"/>
          <w:sz w:val="24"/>
          <w:szCs w:val="24"/>
          <w:highlight w:val="none"/>
        </w:rPr>
        <w:t>附图2</w:t>
      </w:r>
      <w:r>
        <w:rPr>
          <w:rFonts w:hint="eastAsia"/>
          <w:color w:val="auto"/>
          <w:sz w:val="24"/>
          <w:szCs w:val="24"/>
          <w:highlight w:val="none"/>
          <w:lang w:val="en-US" w:eastAsia="zh-CN"/>
        </w:rPr>
        <w:t xml:space="preserve">   </w:t>
      </w:r>
      <w:r>
        <w:rPr>
          <w:color w:val="auto"/>
          <w:sz w:val="24"/>
          <w:szCs w:val="24"/>
          <w:highlight w:val="none"/>
        </w:rPr>
        <w:t>项目周边环境示意图</w:t>
      </w:r>
    </w:p>
    <w:p w14:paraId="2DC2889F">
      <w:pPr>
        <w:adjustRightInd/>
        <w:snapToGrid/>
        <w:spacing w:line="360" w:lineRule="auto"/>
        <w:ind w:firstLine="480" w:firstLineChars="200"/>
        <w:rPr>
          <w:color w:val="auto"/>
          <w:sz w:val="24"/>
          <w:szCs w:val="24"/>
          <w:highlight w:val="none"/>
        </w:rPr>
      </w:pPr>
      <w:r>
        <w:rPr>
          <w:color w:val="auto"/>
          <w:sz w:val="24"/>
          <w:szCs w:val="24"/>
          <w:highlight w:val="none"/>
        </w:rPr>
        <w:t>附图</w:t>
      </w:r>
      <w:r>
        <w:rPr>
          <w:rFonts w:hint="eastAsia"/>
          <w:color w:val="auto"/>
          <w:sz w:val="24"/>
          <w:szCs w:val="24"/>
          <w:highlight w:val="none"/>
          <w:lang w:val="en-US" w:eastAsia="zh-CN"/>
        </w:rPr>
        <w:t xml:space="preserve">3   </w:t>
      </w:r>
      <w:r>
        <w:rPr>
          <w:rFonts w:hint="eastAsia"/>
          <w:color w:val="auto"/>
          <w:sz w:val="24"/>
          <w:szCs w:val="24"/>
          <w:highlight w:val="none"/>
          <w:lang w:eastAsia="zh-CN"/>
        </w:rPr>
        <w:t>长山口卫生填埋场</w:t>
      </w:r>
      <w:r>
        <w:rPr>
          <w:color w:val="auto"/>
          <w:sz w:val="24"/>
          <w:szCs w:val="24"/>
          <w:highlight w:val="none"/>
        </w:rPr>
        <w:t>平面布置</w:t>
      </w:r>
      <w:r>
        <w:rPr>
          <w:rFonts w:hint="eastAsia"/>
          <w:color w:val="auto"/>
          <w:sz w:val="24"/>
          <w:szCs w:val="24"/>
          <w:highlight w:val="none"/>
          <w:lang w:eastAsia="zh-CN"/>
        </w:rPr>
        <w:t>及环保设施分布</w:t>
      </w:r>
      <w:r>
        <w:rPr>
          <w:color w:val="auto"/>
          <w:sz w:val="24"/>
          <w:szCs w:val="24"/>
          <w:highlight w:val="none"/>
        </w:rPr>
        <w:t>图</w:t>
      </w:r>
    </w:p>
    <w:p w14:paraId="17138365">
      <w:pPr>
        <w:adjustRightInd/>
        <w:snapToGrid/>
        <w:spacing w:line="360" w:lineRule="auto"/>
        <w:ind w:firstLine="480" w:firstLineChars="200"/>
        <w:rPr>
          <w:color w:val="auto"/>
          <w:sz w:val="24"/>
          <w:szCs w:val="24"/>
          <w:highlight w:val="none"/>
        </w:rPr>
      </w:pPr>
      <w:r>
        <w:rPr>
          <w:color w:val="auto"/>
          <w:sz w:val="24"/>
          <w:szCs w:val="24"/>
          <w:highlight w:val="none"/>
        </w:rPr>
        <w:t>附图4</w:t>
      </w:r>
      <w:r>
        <w:rPr>
          <w:rFonts w:hint="eastAsia"/>
          <w:color w:val="auto"/>
          <w:sz w:val="24"/>
          <w:szCs w:val="24"/>
          <w:highlight w:val="none"/>
          <w:lang w:val="en-US" w:eastAsia="zh-CN"/>
        </w:rPr>
        <w:t xml:space="preserve">   </w:t>
      </w:r>
      <w:r>
        <w:rPr>
          <w:rFonts w:hint="eastAsia"/>
          <w:color w:val="auto"/>
          <w:sz w:val="24"/>
          <w:szCs w:val="24"/>
          <w:highlight w:val="none"/>
          <w:lang w:eastAsia="zh-CN"/>
        </w:rPr>
        <w:t>本项目所在厂区</w:t>
      </w:r>
      <w:r>
        <w:rPr>
          <w:color w:val="auto"/>
          <w:sz w:val="24"/>
          <w:szCs w:val="24"/>
          <w:highlight w:val="none"/>
        </w:rPr>
        <w:t>平面布置</w:t>
      </w:r>
      <w:r>
        <w:rPr>
          <w:rFonts w:hint="eastAsia"/>
          <w:color w:val="auto"/>
          <w:sz w:val="24"/>
          <w:szCs w:val="24"/>
          <w:highlight w:val="none"/>
          <w:lang w:eastAsia="zh-CN"/>
        </w:rPr>
        <w:t>及环保设施分布</w:t>
      </w:r>
      <w:r>
        <w:rPr>
          <w:color w:val="auto"/>
          <w:sz w:val="24"/>
          <w:szCs w:val="24"/>
          <w:highlight w:val="none"/>
        </w:rPr>
        <w:t>图</w:t>
      </w:r>
      <w:r>
        <w:rPr>
          <w:rFonts w:hint="eastAsia"/>
          <w:color w:val="auto"/>
          <w:sz w:val="24"/>
          <w:szCs w:val="24"/>
          <w:highlight w:val="none"/>
        </w:rPr>
        <w:t>图</w:t>
      </w:r>
    </w:p>
    <w:p w14:paraId="03ED74A1">
      <w:pPr>
        <w:adjustRightInd/>
        <w:snapToGrid/>
        <w:spacing w:line="360" w:lineRule="auto"/>
        <w:ind w:firstLine="480" w:firstLineChars="200"/>
        <w:rPr>
          <w:color w:val="auto"/>
          <w:sz w:val="24"/>
          <w:szCs w:val="24"/>
          <w:highlight w:val="none"/>
        </w:rPr>
      </w:pPr>
      <w:r>
        <w:rPr>
          <w:color w:val="auto"/>
          <w:sz w:val="24"/>
          <w:szCs w:val="24"/>
          <w:highlight w:val="none"/>
        </w:rPr>
        <w:t>附图5</w:t>
      </w:r>
      <w:r>
        <w:rPr>
          <w:rFonts w:hint="eastAsia"/>
          <w:color w:val="auto"/>
          <w:sz w:val="24"/>
          <w:szCs w:val="24"/>
          <w:highlight w:val="none"/>
          <w:lang w:val="en-US" w:eastAsia="zh-CN"/>
        </w:rPr>
        <w:t xml:space="preserve">   </w:t>
      </w:r>
      <w:r>
        <w:rPr>
          <w:rFonts w:hint="eastAsia"/>
          <w:color w:val="auto"/>
          <w:sz w:val="24"/>
          <w:szCs w:val="24"/>
          <w:highlight w:val="none"/>
          <w:lang w:eastAsia="zh-CN"/>
        </w:rPr>
        <w:t>本项目所在厂区污水排放路径图</w:t>
      </w:r>
    </w:p>
    <w:p w14:paraId="6B413B65">
      <w:pPr>
        <w:adjustRightInd/>
        <w:snapToGrid/>
        <w:spacing w:line="360" w:lineRule="auto"/>
        <w:ind w:firstLine="480" w:firstLineChars="200"/>
        <w:rPr>
          <w:color w:val="auto"/>
          <w:sz w:val="24"/>
          <w:szCs w:val="24"/>
          <w:highlight w:val="none"/>
        </w:rPr>
      </w:pPr>
      <w:r>
        <w:rPr>
          <w:color w:val="auto"/>
          <w:sz w:val="24"/>
          <w:szCs w:val="24"/>
          <w:highlight w:val="none"/>
        </w:rPr>
        <w:t>附图</w:t>
      </w:r>
      <w:r>
        <w:rPr>
          <w:rFonts w:hint="eastAsia"/>
          <w:color w:val="auto"/>
          <w:sz w:val="24"/>
          <w:szCs w:val="24"/>
          <w:highlight w:val="none"/>
        </w:rPr>
        <w:t>6</w:t>
      </w:r>
      <w:r>
        <w:rPr>
          <w:rFonts w:hint="eastAsia"/>
          <w:color w:val="auto"/>
          <w:sz w:val="24"/>
          <w:szCs w:val="24"/>
          <w:highlight w:val="none"/>
          <w:lang w:val="en-US" w:eastAsia="zh-CN"/>
        </w:rPr>
        <w:t xml:space="preserve">   废气噪声</w:t>
      </w:r>
      <w:r>
        <w:rPr>
          <w:color w:val="auto"/>
          <w:sz w:val="24"/>
          <w:szCs w:val="24"/>
          <w:highlight w:val="none"/>
        </w:rPr>
        <w:t>验收监测点位示意图</w:t>
      </w:r>
    </w:p>
    <w:p w14:paraId="7678A815">
      <w:pPr>
        <w:adjustRightInd/>
        <w:snapToGrid/>
        <w:spacing w:line="360" w:lineRule="auto"/>
        <w:ind w:firstLine="480" w:firstLineChars="200"/>
        <w:rPr>
          <w:color w:val="auto"/>
          <w:sz w:val="24"/>
          <w:szCs w:val="24"/>
          <w:highlight w:val="none"/>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r>
        <w:rPr>
          <w:color w:val="auto"/>
          <w:sz w:val="24"/>
          <w:szCs w:val="24"/>
          <w:highlight w:val="none"/>
        </w:rPr>
        <w:t>附图</w:t>
      </w:r>
      <w:r>
        <w:rPr>
          <w:rFonts w:hint="eastAsia"/>
          <w:color w:val="auto"/>
          <w:sz w:val="24"/>
          <w:szCs w:val="24"/>
          <w:highlight w:val="none"/>
          <w:lang w:val="en-US" w:eastAsia="zh-CN"/>
        </w:rPr>
        <w:t>7   废水</w:t>
      </w:r>
      <w:r>
        <w:rPr>
          <w:color w:val="auto"/>
          <w:sz w:val="24"/>
          <w:szCs w:val="24"/>
          <w:highlight w:val="none"/>
        </w:rPr>
        <w:t>验收监测点位示意图</w:t>
      </w:r>
    </w:p>
    <w:p w14:paraId="1725B53D">
      <w:pPr>
        <w:pStyle w:val="2"/>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0AB44501">
      <w:pPr>
        <w:pStyle w:val="12"/>
      </w:pPr>
    </w:p>
    <w:p w14:paraId="3D760AA7">
      <w:pPr>
        <w:adjustRightInd/>
        <w:snapToGrid/>
        <w:spacing w:line="360" w:lineRule="auto"/>
        <w:ind w:firstLine="480" w:firstLineChars="200"/>
        <w:rPr>
          <w:rFonts w:hint="eastAsia" w:eastAsia="宋体"/>
          <w:color w:val="auto"/>
          <w:sz w:val="24"/>
          <w:szCs w:val="24"/>
          <w:highlight w:val="none"/>
          <w:lang w:eastAsia="zh-CN"/>
        </w:rPr>
      </w:pPr>
    </w:p>
    <w:p w14:paraId="29F49E05">
      <w:pPr>
        <w:spacing w:line="360" w:lineRule="auto"/>
        <w:ind w:firstLine="480" w:firstLineChars="200"/>
        <w:rPr>
          <w:color w:val="auto"/>
          <w:sz w:val="24"/>
          <w:szCs w:val="24"/>
          <w:highlight w:val="none"/>
        </w:rPr>
        <w:sectPr>
          <w:pgSz w:w="11906" w:h="16838"/>
          <w:pgMar w:top="1418" w:right="1418" w:bottom="1418" w:left="1418" w:header="851" w:footer="992" w:gutter="0"/>
          <w:pgBorders>
            <w:top w:val="none" w:sz="0" w:space="0"/>
            <w:left w:val="none" w:sz="0" w:space="0"/>
            <w:bottom w:val="none" w:sz="0" w:space="0"/>
            <w:right w:val="none" w:sz="0" w:space="0"/>
          </w:pgBorders>
          <w:cols w:space="720" w:num="1"/>
          <w:docGrid w:type="lines" w:linePitch="312" w:charSpace="0"/>
        </w:sectPr>
      </w:pPr>
    </w:p>
    <w:p w14:paraId="182B8272">
      <w:pPr>
        <w:pStyle w:val="4"/>
        <w:adjustRightInd/>
        <w:snapToGrid/>
        <w:rPr>
          <w:color w:val="auto"/>
          <w:highlight w:val="none"/>
        </w:rPr>
      </w:pPr>
      <w:bookmarkStart w:id="0" w:name="_Toc31820"/>
      <w:r>
        <w:rPr>
          <w:color w:val="auto"/>
          <w:highlight w:val="none"/>
        </w:rPr>
        <w:t>表一基本情况及验收监测依据</w:t>
      </w:r>
      <w:bookmarkEnd w:id="0"/>
    </w:p>
    <w:tbl>
      <w:tblPr>
        <w:tblStyle w:val="2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2159"/>
        <w:gridCol w:w="2309"/>
        <w:gridCol w:w="2176"/>
        <w:gridCol w:w="832"/>
        <w:gridCol w:w="838"/>
        <w:gridCol w:w="870"/>
      </w:tblGrid>
      <w:tr w14:paraId="770C50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25A268D9">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建设项目名称</w:t>
            </w:r>
          </w:p>
        </w:tc>
        <w:tc>
          <w:tcPr>
            <w:tcW w:w="7025" w:type="dxa"/>
            <w:gridSpan w:val="5"/>
            <w:tcBorders>
              <w:bottom w:val="single" w:color="auto" w:sz="4" w:space="0"/>
            </w:tcBorders>
            <w:vAlign w:val="center"/>
          </w:tcPr>
          <w:p w14:paraId="37AE8E9F">
            <w:pPr>
              <w:widowControl/>
              <w:adjustRightInd/>
              <w:snapToGrid/>
              <w:jc w:val="center"/>
              <w:rPr>
                <w:rFonts w:hint="eastAsia" w:eastAsiaTheme="minorEastAsia"/>
                <w:color w:val="auto"/>
                <w:kern w:val="0"/>
                <w:sz w:val="24"/>
                <w:szCs w:val="24"/>
                <w:highlight w:val="none"/>
                <w:lang w:eastAsia="zh-CN"/>
              </w:rPr>
            </w:pPr>
            <w:r>
              <w:rPr>
                <w:rFonts w:hint="eastAsia" w:eastAsiaTheme="minorEastAsia"/>
                <w:color w:val="auto"/>
                <w:kern w:val="0"/>
                <w:sz w:val="24"/>
                <w:szCs w:val="24"/>
                <w:highlight w:val="none"/>
                <w:lang w:eastAsia="zh-CN"/>
              </w:rPr>
              <w:t>武汉市江夏长山口生活垃圾卫生填埋场填埋气利用发电项目（续建工程）</w:t>
            </w:r>
          </w:p>
        </w:tc>
      </w:tr>
      <w:tr w14:paraId="6BAF02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768E3160">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建设单位名称</w:t>
            </w:r>
          </w:p>
        </w:tc>
        <w:tc>
          <w:tcPr>
            <w:tcW w:w="7025" w:type="dxa"/>
            <w:gridSpan w:val="5"/>
            <w:tcBorders>
              <w:top w:val="single" w:color="auto" w:sz="4" w:space="0"/>
              <w:bottom w:val="single" w:color="auto" w:sz="4" w:space="0"/>
            </w:tcBorders>
            <w:vAlign w:val="center"/>
          </w:tcPr>
          <w:p w14:paraId="55F6F731">
            <w:pPr>
              <w:widowControl/>
              <w:adjustRightInd/>
              <w:snapToGrid/>
              <w:jc w:val="center"/>
              <w:rPr>
                <w:rFonts w:hint="eastAsia" w:eastAsiaTheme="minorEastAsia"/>
                <w:color w:val="auto"/>
                <w:kern w:val="0"/>
                <w:sz w:val="24"/>
                <w:szCs w:val="24"/>
                <w:highlight w:val="none"/>
                <w:lang w:eastAsia="zh-CN"/>
              </w:rPr>
            </w:pPr>
            <w:r>
              <w:rPr>
                <w:rFonts w:hint="eastAsia" w:eastAsiaTheme="minorEastAsia"/>
                <w:color w:val="auto"/>
                <w:kern w:val="0"/>
                <w:sz w:val="24"/>
                <w:szCs w:val="24"/>
                <w:highlight w:val="none"/>
                <w:lang w:eastAsia="zh-CN"/>
              </w:rPr>
              <w:t>武汉环投环境科技有限公司</w:t>
            </w:r>
          </w:p>
        </w:tc>
      </w:tr>
      <w:tr w14:paraId="7BF111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0CE52912">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建设项目性质</w:t>
            </w:r>
          </w:p>
        </w:tc>
        <w:tc>
          <w:tcPr>
            <w:tcW w:w="7025" w:type="dxa"/>
            <w:gridSpan w:val="5"/>
          </w:tcPr>
          <w:p w14:paraId="1DBB61BB">
            <w:pPr>
              <w:adjustRightInd/>
              <w:snapToGrid/>
              <w:contextualSpacing/>
              <w:jc w:val="center"/>
              <w:rPr>
                <w:rFonts w:hint="eastAsia" w:eastAsiaTheme="minorEastAsia"/>
                <w:color w:val="auto"/>
                <w:sz w:val="24"/>
                <w:szCs w:val="24"/>
                <w:highlight w:val="none"/>
                <w:lang w:eastAsia="zh-CN"/>
              </w:rPr>
            </w:pPr>
            <w:r>
              <w:rPr>
                <w:rFonts w:eastAsiaTheme="minorEastAsia"/>
                <w:color w:val="auto"/>
                <w:sz w:val="24"/>
                <w:szCs w:val="24"/>
                <w:highlight w:val="none"/>
              </w:rPr>
              <w:t>新建</w:t>
            </w:r>
            <w:r>
              <w:rPr>
                <w:rFonts w:hint="eastAsia" w:eastAsiaTheme="minorEastAsia"/>
                <w:color w:val="auto"/>
                <w:sz w:val="24"/>
                <w:szCs w:val="24"/>
                <w:highlight w:val="none"/>
              </w:rPr>
              <w:sym w:font="Wingdings 2" w:char="00A3"/>
            </w:r>
            <w:r>
              <w:rPr>
                <w:rFonts w:eastAsiaTheme="minorEastAsia"/>
                <w:color w:val="auto"/>
                <w:sz w:val="24"/>
                <w:szCs w:val="24"/>
                <w:highlight w:val="none"/>
              </w:rPr>
              <w:t>改扩建</w:t>
            </w:r>
            <w:r>
              <w:rPr>
                <w:rFonts w:hint="eastAsia" w:eastAsiaTheme="minorEastAsia"/>
                <w:color w:val="auto"/>
                <w:sz w:val="24"/>
                <w:szCs w:val="24"/>
                <w:highlight w:val="none"/>
              </w:rPr>
              <w:sym w:font="Wingdings 2" w:char="0052"/>
            </w:r>
            <w:r>
              <w:rPr>
                <w:rFonts w:eastAsiaTheme="minorEastAsia"/>
                <w:color w:val="auto"/>
                <w:sz w:val="24"/>
                <w:szCs w:val="24"/>
                <w:highlight w:val="none"/>
              </w:rPr>
              <w:t>技改</w:t>
            </w:r>
            <w:r>
              <w:rPr>
                <w:rFonts w:hint="eastAsia" w:eastAsiaTheme="minorEastAsia"/>
                <w:color w:val="auto"/>
                <w:sz w:val="24"/>
                <w:szCs w:val="24"/>
                <w:highlight w:val="none"/>
              </w:rPr>
              <w:sym w:font="Wingdings 2" w:char="00A3"/>
            </w:r>
            <w:r>
              <w:rPr>
                <w:rFonts w:eastAsiaTheme="minorEastAsia"/>
                <w:color w:val="auto"/>
                <w:sz w:val="24"/>
                <w:szCs w:val="24"/>
                <w:highlight w:val="none"/>
              </w:rPr>
              <w:t>迁建</w:t>
            </w:r>
            <w:r>
              <w:rPr>
                <w:rFonts w:hint="eastAsia" w:eastAsiaTheme="minorEastAsia"/>
                <w:color w:val="auto"/>
                <w:sz w:val="24"/>
                <w:szCs w:val="24"/>
                <w:highlight w:val="none"/>
              </w:rPr>
              <w:sym w:font="Wingdings 2" w:char="00A3"/>
            </w:r>
          </w:p>
        </w:tc>
      </w:tr>
      <w:tr w14:paraId="72654E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710F0021">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建设地点</w:t>
            </w:r>
          </w:p>
        </w:tc>
        <w:tc>
          <w:tcPr>
            <w:tcW w:w="7025" w:type="dxa"/>
            <w:gridSpan w:val="5"/>
          </w:tcPr>
          <w:p w14:paraId="382FEF12">
            <w:pPr>
              <w:adjustRightInd/>
              <w:snapToGrid/>
              <w:contextualSpacing/>
              <w:jc w:val="center"/>
              <w:rPr>
                <w:rFonts w:hint="eastAsia" w:eastAsiaTheme="minorEastAsia"/>
                <w:color w:val="auto"/>
                <w:sz w:val="24"/>
                <w:szCs w:val="24"/>
                <w:highlight w:val="none"/>
                <w:lang w:eastAsia="zh-CN"/>
              </w:rPr>
            </w:pPr>
            <w:r>
              <w:rPr>
                <w:rFonts w:hint="eastAsia" w:eastAsiaTheme="minorEastAsia"/>
                <w:color w:val="auto"/>
                <w:sz w:val="24"/>
                <w:szCs w:val="24"/>
                <w:highlight w:val="none"/>
                <w:lang w:eastAsia="zh-CN"/>
              </w:rPr>
              <w:t>武汉市江岸区江大路26号1-3层4625室</w:t>
            </w:r>
          </w:p>
        </w:tc>
      </w:tr>
      <w:tr w14:paraId="1193D9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3891B038">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主要产品名称</w:t>
            </w:r>
          </w:p>
        </w:tc>
        <w:tc>
          <w:tcPr>
            <w:tcW w:w="7025" w:type="dxa"/>
            <w:gridSpan w:val="5"/>
          </w:tcPr>
          <w:p w14:paraId="63C095BA">
            <w:pPr>
              <w:adjustRightInd/>
              <w:snapToGrid/>
              <w:contextualSpacing/>
              <w:jc w:val="center"/>
              <w:rPr>
                <w:rFonts w:hint="eastAsia" w:eastAsia="宋体"/>
                <w:color w:val="auto"/>
                <w:sz w:val="24"/>
                <w:szCs w:val="24"/>
                <w:highlight w:val="none"/>
                <w:lang w:eastAsia="zh-CN"/>
              </w:rPr>
            </w:pPr>
            <w:r>
              <w:rPr>
                <w:rFonts w:hint="eastAsia"/>
                <w:color w:val="auto"/>
                <w:sz w:val="24"/>
                <w:szCs w:val="24"/>
                <w:highlight w:val="none"/>
              </w:rPr>
              <w:t>电量</w:t>
            </w:r>
          </w:p>
        </w:tc>
      </w:tr>
      <w:tr w14:paraId="0E20CD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1E97F4DD">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设计生产能力</w:t>
            </w:r>
          </w:p>
        </w:tc>
        <w:tc>
          <w:tcPr>
            <w:tcW w:w="7025" w:type="dxa"/>
            <w:gridSpan w:val="5"/>
          </w:tcPr>
          <w:p w14:paraId="14C05099">
            <w:pPr>
              <w:adjustRightInd/>
              <w:snapToGrid/>
              <w:contextualSpacing/>
              <w:jc w:val="center"/>
              <w:rPr>
                <w:color w:val="auto"/>
                <w:sz w:val="24"/>
                <w:szCs w:val="24"/>
                <w:highlight w:val="none"/>
              </w:rPr>
            </w:pPr>
            <w:r>
              <w:rPr>
                <w:rFonts w:hint="eastAsia"/>
                <w:color w:val="auto"/>
                <w:sz w:val="24"/>
                <w:szCs w:val="24"/>
                <w:highlight w:val="none"/>
              </w:rPr>
              <w:t>发电量3407万度/年</w:t>
            </w:r>
          </w:p>
        </w:tc>
      </w:tr>
      <w:tr w14:paraId="34AA3E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400D27E7">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实际生产能力</w:t>
            </w:r>
          </w:p>
        </w:tc>
        <w:tc>
          <w:tcPr>
            <w:tcW w:w="7025" w:type="dxa"/>
            <w:gridSpan w:val="5"/>
          </w:tcPr>
          <w:p w14:paraId="73543C7B">
            <w:pPr>
              <w:adjustRightInd/>
              <w:snapToGrid/>
              <w:contextualSpacing/>
              <w:jc w:val="center"/>
              <w:rPr>
                <w:rFonts w:eastAsiaTheme="minorEastAsia"/>
                <w:color w:val="auto"/>
                <w:sz w:val="24"/>
                <w:szCs w:val="24"/>
                <w:highlight w:val="none"/>
              </w:rPr>
            </w:pPr>
            <w:r>
              <w:rPr>
                <w:rFonts w:hint="eastAsia"/>
                <w:color w:val="auto"/>
                <w:sz w:val="24"/>
                <w:szCs w:val="24"/>
                <w:highlight w:val="none"/>
              </w:rPr>
              <w:t>发电量3407万度/年</w:t>
            </w:r>
          </w:p>
        </w:tc>
      </w:tr>
      <w:tr w14:paraId="2D0EC6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28075830">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建设项目环评时间</w:t>
            </w:r>
          </w:p>
        </w:tc>
        <w:tc>
          <w:tcPr>
            <w:tcW w:w="2309" w:type="dxa"/>
            <w:vAlign w:val="center"/>
          </w:tcPr>
          <w:p w14:paraId="1CEECF06">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20</w:t>
            </w:r>
            <w:r>
              <w:rPr>
                <w:rFonts w:hint="eastAsia" w:eastAsiaTheme="minorEastAsia"/>
                <w:color w:val="auto"/>
                <w:sz w:val="24"/>
                <w:szCs w:val="24"/>
                <w:highlight w:val="none"/>
                <w:lang w:val="en-US" w:eastAsia="zh-CN"/>
              </w:rPr>
              <w:t>23</w:t>
            </w:r>
            <w:r>
              <w:rPr>
                <w:rFonts w:eastAsiaTheme="minorEastAsia"/>
                <w:color w:val="auto"/>
                <w:sz w:val="24"/>
                <w:szCs w:val="24"/>
                <w:highlight w:val="none"/>
              </w:rPr>
              <w:t>年</w:t>
            </w:r>
            <w:r>
              <w:rPr>
                <w:rFonts w:hint="eastAsia" w:eastAsiaTheme="minorEastAsia"/>
                <w:color w:val="auto"/>
                <w:sz w:val="24"/>
                <w:szCs w:val="24"/>
                <w:highlight w:val="none"/>
                <w:lang w:val="en-US" w:eastAsia="zh-CN"/>
              </w:rPr>
              <w:t>9</w:t>
            </w:r>
            <w:r>
              <w:rPr>
                <w:rFonts w:eastAsiaTheme="minorEastAsia"/>
                <w:color w:val="auto"/>
                <w:sz w:val="24"/>
                <w:szCs w:val="24"/>
                <w:highlight w:val="none"/>
              </w:rPr>
              <w:t>月</w:t>
            </w:r>
          </w:p>
        </w:tc>
        <w:tc>
          <w:tcPr>
            <w:tcW w:w="2176" w:type="dxa"/>
            <w:vAlign w:val="center"/>
          </w:tcPr>
          <w:p w14:paraId="4D4591EB">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开工建设时间</w:t>
            </w:r>
          </w:p>
        </w:tc>
        <w:tc>
          <w:tcPr>
            <w:tcW w:w="2540" w:type="dxa"/>
            <w:gridSpan w:val="3"/>
            <w:vAlign w:val="center"/>
          </w:tcPr>
          <w:p w14:paraId="0E7293AB">
            <w:pPr>
              <w:adjustRightInd/>
              <w:snapToGrid/>
              <w:contextualSpacing/>
              <w:jc w:val="center"/>
              <w:rPr>
                <w:rFonts w:hint="default" w:eastAsiaTheme="minorEastAsia"/>
                <w:color w:val="auto"/>
                <w:sz w:val="24"/>
                <w:szCs w:val="24"/>
                <w:highlight w:val="none"/>
                <w:lang w:val="en-US" w:eastAsia="zh-CN"/>
              </w:rPr>
            </w:pPr>
            <w:r>
              <w:rPr>
                <w:rFonts w:hint="eastAsia" w:eastAsiaTheme="minorEastAsia"/>
                <w:color w:val="auto"/>
                <w:sz w:val="24"/>
                <w:szCs w:val="24"/>
                <w:highlight w:val="none"/>
                <w:lang w:val="en-US" w:eastAsia="zh-CN"/>
              </w:rPr>
              <w:t>2022年11月</w:t>
            </w:r>
          </w:p>
        </w:tc>
      </w:tr>
      <w:tr w14:paraId="609D8A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348712B6">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调试时间</w:t>
            </w:r>
          </w:p>
        </w:tc>
        <w:tc>
          <w:tcPr>
            <w:tcW w:w="2309" w:type="dxa"/>
            <w:vAlign w:val="center"/>
          </w:tcPr>
          <w:p w14:paraId="2DBE127A">
            <w:pPr>
              <w:adjustRightInd/>
              <w:snapToGrid/>
              <w:contextualSpacing/>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2023年9月-10月</w:t>
            </w:r>
          </w:p>
        </w:tc>
        <w:tc>
          <w:tcPr>
            <w:tcW w:w="2176" w:type="dxa"/>
            <w:vAlign w:val="center"/>
          </w:tcPr>
          <w:p w14:paraId="256DC899">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验收现场监测时间</w:t>
            </w:r>
          </w:p>
        </w:tc>
        <w:tc>
          <w:tcPr>
            <w:tcW w:w="2540" w:type="dxa"/>
            <w:gridSpan w:val="3"/>
            <w:vAlign w:val="center"/>
          </w:tcPr>
          <w:p w14:paraId="0E7BE15B">
            <w:pPr>
              <w:adjustRightInd/>
              <w:snapToGrid/>
              <w:contextualSpacing/>
              <w:jc w:val="center"/>
              <w:rPr>
                <w:rFonts w:hint="eastAsia" w:eastAsiaTheme="minorEastAsia"/>
                <w:color w:val="auto"/>
                <w:sz w:val="24"/>
                <w:szCs w:val="24"/>
                <w:highlight w:val="none"/>
                <w:lang w:val="en-US" w:eastAsia="zh-CN"/>
              </w:rPr>
            </w:pPr>
            <w:r>
              <w:rPr>
                <w:rFonts w:hint="eastAsia" w:eastAsiaTheme="minorEastAsia"/>
                <w:color w:val="auto"/>
                <w:sz w:val="24"/>
                <w:szCs w:val="24"/>
                <w:highlight w:val="none"/>
                <w:lang w:val="en-US" w:eastAsia="zh-CN"/>
              </w:rPr>
              <w:t>2024年12月10日、</w:t>
            </w:r>
          </w:p>
          <w:p w14:paraId="0536DE30">
            <w:pPr>
              <w:adjustRightInd/>
              <w:snapToGrid/>
              <w:contextualSpacing/>
              <w:jc w:val="center"/>
              <w:rPr>
                <w:rFonts w:hint="default" w:eastAsiaTheme="minorEastAsia"/>
                <w:color w:val="auto"/>
                <w:sz w:val="24"/>
                <w:szCs w:val="24"/>
                <w:highlight w:val="none"/>
                <w:lang w:val="en-US" w:eastAsia="zh-CN"/>
              </w:rPr>
            </w:pPr>
            <w:r>
              <w:rPr>
                <w:rFonts w:hint="eastAsia" w:eastAsiaTheme="minorEastAsia"/>
                <w:color w:val="auto"/>
                <w:sz w:val="24"/>
                <w:szCs w:val="24"/>
                <w:highlight w:val="none"/>
                <w:lang w:val="en-US" w:eastAsia="zh-CN"/>
              </w:rPr>
              <w:t>2024年12月11日</w:t>
            </w:r>
          </w:p>
        </w:tc>
      </w:tr>
      <w:tr w14:paraId="6DC08B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54FD2CFD">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环评报告表</w:t>
            </w:r>
          </w:p>
          <w:p w14:paraId="7C3130D1">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审批部门</w:t>
            </w:r>
          </w:p>
        </w:tc>
        <w:tc>
          <w:tcPr>
            <w:tcW w:w="2309" w:type="dxa"/>
            <w:vAlign w:val="center"/>
          </w:tcPr>
          <w:p w14:paraId="61D1D6BD">
            <w:pPr>
              <w:adjustRightInd/>
              <w:snapToGrid/>
              <w:contextualSpacing/>
              <w:jc w:val="center"/>
              <w:rPr>
                <w:rFonts w:hint="eastAsia" w:eastAsiaTheme="minorEastAsia"/>
                <w:color w:val="auto"/>
                <w:sz w:val="24"/>
                <w:szCs w:val="24"/>
                <w:highlight w:val="none"/>
                <w:lang w:eastAsia="zh-CN"/>
              </w:rPr>
            </w:pPr>
            <w:r>
              <w:rPr>
                <w:rFonts w:hint="eastAsia" w:eastAsiaTheme="minorEastAsia"/>
                <w:color w:val="auto"/>
                <w:sz w:val="24"/>
                <w:szCs w:val="24"/>
                <w:highlight w:val="none"/>
              </w:rPr>
              <w:t>武汉市</w:t>
            </w:r>
            <w:r>
              <w:rPr>
                <w:rFonts w:hint="eastAsia" w:eastAsiaTheme="minorEastAsia"/>
                <w:color w:val="auto"/>
                <w:sz w:val="24"/>
                <w:szCs w:val="24"/>
                <w:highlight w:val="none"/>
                <w:lang w:eastAsia="zh-CN"/>
              </w:rPr>
              <w:t>生态环境局江夏区分局</w:t>
            </w:r>
          </w:p>
        </w:tc>
        <w:tc>
          <w:tcPr>
            <w:tcW w:w="2176" w:type="dxa"/>
            <w:vAlign w:val="center"/>
          </w:tcPr>
          <w:p w14:paraId="07226564">
            <w:pPr>
              <w:widowControl/>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环评报告表</w:t>
            </w:r>
          </w:p>
          <w:p w14:paraId="3FCE06E5">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编制单位</w:t>
            </w:r>
          </w:p>
        </w:tc>
        <w:tc>
          <w:tcPr>
            <w:tcW w:w="2540" w:type="dxa"/>
            <w:gridSpan w:val="3"/>
            <w:vAlign w:val="center"/>
          </w:tcPr>
          <w:p w14:paraId="700C3225">
            <w:pPr>
              <w:adjustRightInd/>
              <w:snapToGrid/>
              <w:contextualSpacing/>
              <w:jc w:val="center"/>
              <w:rPr>
                <w:rFonts w:eastAsiaTheme="minorEastAsia"/>
                <w:color w:val="auto"/>
                <w:sz w:val="24"/>
                <w:szCs w:val="24"/>
                <w:highlight w:val="none"/>
              </w:rPr>
            </w:pPr>
            <w:r>
              <w:rPr>
                <w:rFonts w:hint="eastAsia" w:hAnsi="宋体"/>
                <w:color w:val="auto"/>
                <w:kern w:val="0"/>
                <w:sz w:val="24"/>
                <w:szCs w:val="24"/>
                <w:highlight w:val="none"/>
              </w:rPr>
              <w:t>武汉智汇元环保科技有限公司</w:t>
            </w:r>
          </w:p>
        </w:tc>
      </w:tr>
      <w:tr w14:paraId="5364EC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40C3BEB8">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环保设施设计单位</w:t>
            </w:r>
          </w:p>
        </w:tc>
        <w:tc>
          <w:tcPr>
            <w:tcW w:w="2309" w:type="dxa"/>
            <w:shd w:val="clear" w:color="auto" w:fill="auto"/>
            <w:vAlign w:val="center"/>
          </w:tcPr>
          <w:p w14:paraId="247A8DA3">
            <w:pPr>
              <w:widowControl/>
              <w:adjustRightInd/>
              <w:snapToGrid/>
              <w:contextualSpacing/>
              <w:jc w:val="center"/>
              <w:rPr>
                <w:rFonts w:ascii="Times New Roman" w:hAnsi="Times New Roman" w:cs="Times New Roman" w:eastAsiaTheme="minorEastAsia"/>
                <w:color w:val="auto"/>
                <w:kern w:val="2"/>
                <w:sz w:val="24"/>
                <w:szCs w:val="24"/>
                <w:highlight w:val="none"/>
                <w:lang w:val="en-US" w:eastAsia="zh-CN" w:bidi="ar-SA"/>
              </w:rPr>
            </w:pPr>
            <w:r>
              <w:rPr>
                <w:rFonts w:hint="eastAsia" w:eastAsiaTheme="minorEastAsia"/>
                <w:color w:val="auto"/>
                <w:sz w:val="24"/>
                <w:szCs w:val="24"/>
                <w:highlight w:val="none"/>
              </w:rPr>
              <w:t>中国市政工程中南设计研究总院有限公司</w:t>
            </w:r>
          </w:p>
        </w:tc>
        <w:tc>
          <w:tcPr>
            <w:tcW w:w="2176" w:type="dxa"/>
            <w:shd w:val="clear" w:color="auto" w:fill="auto"/>
            <w:vAlign w:val="center"/>
          </w:tcPr>
          <w:p w14:paraId="1B69EFE4">
            <w:pPr>
              <w:widowControl/>
              <w:adjustRightInd/>
              <w:snapToGrid/>
              <w:contextualSpacing/>
              <w:jc w:val="center"/>
              <w:rPr>
                <w:rFonts w:ascii="Times New Roman" w:hAnsi="Times New Roman" w:cs="Times New Roman" w:eastAsiaTheme="minorEastAsia"/>
                <w:color w:val="auto"/>
                <w:kern w:val="2"/>
                <w:sz w:val="24"/>
                <w:szCs w:val="24"/>
                <w:highlight w:val="none"/>
                <w:lang w:val="en-US" w:eastAsia="zh-CN" w:bidi="ar-SA"/>
              </w:rPr>
            </w:pPr>
            <w:r>
              <w:rPr>
                <w:rFonts w:eastAsiaTheme="minorEastAsia"/>
                <w:color w:val="auto"/>
                <w:sz w:val="24"/>
                <w:szCs w:val="24"/>
                <w:highlight w:val="none"/>
              </w:rPr>
              <w:t>环保设施施工单位</w:t>
            </w:r>
          </w:p>
        </w:tc>
        <w:tc>
          <w:tcPr>
            <w:tcW w:w="2540" w:type="dxa"/>
            <w:gridSpan w:val="3"/>
            <w:shd w:val="clear" w:color="auto" w:fill="auto"/>
            <w:vAlign w:val="center"/>
          </w:tcPr>
          <w:p w14:paraId="30B6CA0F">
            <w:pPr>
              <w:widowControl/>
              <w:adjustRightInd/>
              <w:snapToGrid/>
              <w:contextualSpacing/>
              <w:jc w:val="center"/>
              <w:rPr>
                <w:rFonts w:ascii="Times New Roman" w:hAnsi="Times New Roman" w:cs="Times New Roman" w:eastAsiaTheme="minorEastAsia"/>
                <w:color w:val="auto"/>
                <w:kern w:val="2"/>
                <w:sz w:val="24"/>
                <w:szCs w:val="24"/>
                <w:highlight w:val="none"/>
                <w:lang w:val="en-US" w:eastAsia="zh-CN" w:bidi="ar-SA"/>
              </w:rPr>
            </w:pPr>
            <w:r>
              <w:rPr>
                <w:rFonts w:hint="eastAsia" w:eastAsiaTheme="minorEastAsia"/>
                <w:color w:val="auto"/>
                <w:sz w:val="24"/>
                <w:szCs w:val="24"/>
                <w:highlight w:val="none"/>
              </w:rPr>
              <w:t>广州市深发机电实业发展有限公司</w:t>
            </w:r>
          </w:p>
        </w:tc>
      </w:tr>
      <w:tr w14:paraId="41E22F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65575529">
            <w:pPr>
              <w:adjustRightInd/>
              <w:snapToGrid/>
              <w:jc w:val="center"/>
              <w:rPr>
                <w:color w:val="auto"/>
                <w:sz w:val="24"/>
                <w:szCs w:val="24"/>
                <w:highlight w:val="none"/>
              </w:rPr>
            </w:pPr>
            <w:r>
              <w:rPr>
                <w:color w:val="auto"/>
                <w:sz w:val="24"/>
                <w:szCs w:val="24"/>
                <w:highlight w:val="none"/>
              </w:rPr>
              <w:t>投资总概算</w:t>
            </w:r>
          </w:p>
          <w:p w14:paraId="3A6EF3EF">
            <w:pPr>
              <w:adjustRightInd/>
              <w:snapToGrid/>
              <w:jc w:val="center"/>
              <w:rPr>
                <w:rFonts w:eastAsiaTheme="minorEastAsia"/>
                <w:color w:val="auto"/>
                <w:sz w:val="24"/>
                <w:szCs w:val="24"/>
                <w:highlight w:val="none"/>
              </w:rPr>
            </w:pPr>
            <w:r>
              <w:rPr>
                <w:color w:val="auto"/>
                <w:sz w:val="24"/>
                <w:szCs w:val="24"/>
                <w:highlight w:val="none"/>
              </w:rPr>
              <w:t>（万元）</w:t>
            </w:r>
          </w:p>
        </w:tc>
        <w:tc>
          <w:tcPr>
            <w:tcW w:w="2309" w:type="dxa"/>
            <w:vAlign w:val="center"/>
          </w:tcPr>
          <w:p w14:paraId="5AEB3418">
            <w:pPr>
              <w:adjustRightInd/>
              <w:snapToGrid/>
              <w:jc w:val="center"/>
              <w:rPr>
                <w:rFonts w:eastAsiaTheme="minorEastAsia"/>
                <w:color w:val="auto"/>
                <w:sz w:val="24"/>
                <w:szCs w:val="24"/>
                <w:highlight w:val="none"/>
              </w:rPr>
            </w:pPr>
            <w:r>
              <w:rPr>
                <w:rFonts w:hint="eastAsia" w:eastAsiaTheme="minorEastAsia"/>
                <w:color w:val="auto"/>
                <w:sz w:val="24"/>
                <w:szCs w:val="24"/>
                <w:highlight w:val="none"/>
              </w:rPr>
              <w:t>6042.16</w:t>
            </w:r>
          </w:p>
        </w:tc>
        <w:tc>
          <w:tcPr>
            <w:tcW w:w="2176" w:type="dxa"/>
            <w:vAlign w:val="center"/>
          </w:tcPr>
          <w:p w14:paraId="2A5705CC">
            <w:pPr>
              <w:adjustRightInd/>
              <w:snapToGrid/>
              <w:jc w:val="center"/>
              <w:rPr>
                <w:color w:val="auto"/>
                <w:sz w:val="24"/>
                <w:szCs w:val="24"/>
                <w:highlight w:val="none"/>
              </w:rPr>
            </w:pPr>
            <w:r>
              <w:rPr>
                <w:color w:val="auto"/>
                <w:sz w:val="24"/>
                <w:szCs w:val="24"/>
                <w:highlight w:val="none"/>
              </w:rPr>
              <w:t>环保投资总概算</w:t>
            </w:r>
          </w:p>
          <w:p w14:paraId="4A1BCDB6">
            <w:pPr>
              <w:adjustRightInd/>
              <w:snapToGrid/>
              <w:jc w:val="center"/>
              <w:rPr>
                <w:rFonts w:eastAsiaTheme="minorEastAsia"/>
                <w:color w:val="auto"/>
                <w:sz w:val="24"/>
                <w:szCs w:val="24"/>
                <w:highlight w:val="none"/>
              </w:rPr>
            </w:pPr>
            <w:r>
              <w:rPr>
                <w:color w:val="auto"/>
                <w:sz w:val="24"/>
                <w:szCs w:val="24"/>
                <w:highlight w:val="none"/>
              </w:rPr>
              <w:t>（万元）</w:t>
            </w:r>
          </w:p>
        </w:tc>
        <w:tc>
          <w:tcPr>
            <w:tcW w:w="832" w:type="dxa"/>
            <w:vAlign w:val="center"/>
          </w:tcPr>
          <w:p w14:paraId="19EF2B9C">
            <w:pPr>
              <w:adjustRightInd/>
              <w:snapToGrid/>
              <w:jc w:val="center"/>
              <w:rPr>
                <w:rFonts w:eastAsiaTheme="minorEastAsia"/>
                <w:color w:val="auto"/>
                <w:sz w:val="24"/>
                <w:szCs w:val="24"/>
                <w:highlight w:val="none"/>
              </w:rPr>
            </w:pPr>
            <w:r>
              <w:rPr>
                <w:rFonts w:hint="eastAsia" w:eastAsiaTheme="minorEastAsia"/>
                <w:color w:val="auto"/>
                <w:sz w:val="24"/>
                <w:szCs w:val="24"/>
                <w:highlight w:val="none"/>
              </w:rPr>
              <w:t>135</w:t>
            </w:r>
          </w:p>
        </w:tc>
        <w:tc>
          <w:tcPr>
            <w:tcW w:w="838" w:type="dxa"/>
            <w:vAlign w:val="center"/>
          </w:tcPr>
          <w:p w14:paraId="004F277D">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比例</w:t>
            </w:r>
          </w:p>
        </w:tc>
        <w:tc>
          <w:tcPr>
            <w:tcW w:w="870" w:type="dxa"/>
            <w:vAlign w:val="center"/>
          </w:tcPr>
          <w:p w14:paraId="1639F681">
            <w:pPr>
              <w:adjustRightInd/>
              <w:snapToGrid/>
              <w:contextualSpacing/>
              <w:jc w:val="center"/>
              <w:rPr>
                <w:rFonts w:eastAsiaTheme="minorEastAsia"/>
                <w:color w:val="auto"/>
                <w:sz w:val="24"/>
                <w:szCs w:val="24"/>
                <w:highlight w:val="none"/>
              </w:rPr>
            </w:pPr>
            <w:r>
              <w:rPr>
                <w:rFonts w:hint="eastAsia" w:eastAsiaTheme="minorEastAsia"/>
                <w:color w:val="auto"/>
                <w:sz w:val="24"/>
                <w:szCs w:val="24"/>
                <w:highlight w:val="none"/>
                <w:lang w:val="en-US" w:eastAsia="zh-CN"/>
              </w:rPr>
              <w:t>2.23</w:t>
            </w:r>
            <w:r>
              <w:rPr>
                <w:rFonts w:eastAsiaTheme="minorEastAsia"/>
                <w:color w:val="auto"/>
                <w:sz w:val="24"/>
                <w:szCs w:val="24"/>
                <w:highlight w:val="none"/>
              </w:rPr>
              <w:t>%</w:t>
            </w:r>
          </w:p>
        </w:tc>
      </w:tr>
      <w:tr w14:paraId="539E64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jc w:val="center"/>
        </w:trPr>
        <w:tc>
          <w:tcPr>
            <w:tcW w:w="2159" w:type="dxa"/>
            <w:vAlign w:val="center"/>
          </w:tcPr>
          <w:p w14:paraId="23871D21">
            <w:pPr>
              <w:adjustRightInd/>
              <w:snapToGrid/>
              <w:jc w:val="center"/>
              <w:rPr>
                <w:color w:val="auto"/>
                <w:sz w:val="24"/>
                <w:szCs w:val="24"/>
                <w:highlight w:val="none"/>
              </w:rPr>
            </w:pPr>
            <w:r>
              <w:rPr>
                <w:color w:val="auto"/>
                <w:sz w:val="24"/>
                <w:szCs w:val="24"/>
                <w:highlight w:val="none"/>
              </w:rPr>
              <w:t>实际总概算</w:t>
            </w:r>
          </w:p>
          <w:p w14:paraId="67C6670B">
            <w:pPr>
              <w:adjustRightInd/>
              <w:snapToGrid/>
              <w:jc w:val="center"/>
              <w:rPr>
                <w:rFonts w:eastAsiaTheme="minorEastAsia"/>
                <w:color w:val="auto"/>
                <w:sz w:val="24"/>
                <w:szCs w:val="24"/>
                <w:highlight w:val="none"/>
              </w:rPr>
            </w:pPr>
            <w:r>
              <w:rPr>
                <w:color w:val="auto"/>
                <w:sz w:val="24"/>
                <w:szCs w:val="24"/>
                <w:highlight w:val="none"/>
              </w:rPr>
              <w:t>（万元）</w:t>
            </w:r>
          </w:p>
        </w:tc>
        <w:tc>
          <w:tcPr>
            <w:tcW w:w="2309" w:type="dxa"/>
            <w:vAlign w:val="center"/>
          </w:tcPr>
          <w:p w14:paraId="18C0353B">
            <w:pPr>
              <w:adjustRightInd/>
              <w:snapToGrid/>
              <w:jc w:val="center"/>
              <w:rPr>
                <w:rFonts w:hint="default" w:eastAsiaTheme="minorEastAsia"/>
                <w:color w:val="auto"/>
                <w:sz w:val="24"/>
                <w:szCs w:val="24"/>
                <w:highlight w:val="none"/>
                <w:lang w:val="en-US"/>
              </w:rPr>
            </w:pPr>
            <w:r>
              <w:rPr>
                <w:rFonts w:hint="eastAsia" w:eastAsiaTheme="minorEastAsia"/>
                <w:color w:val="auto"/>
                <w:sz w:val="24"/>
                <w:szCs w:val="24"/>
                <w:highlight w:val="none"/>
                <w:lang w:val="en-US" w:eastAsia="zh-CN"/>
              </w:rPr>
              <w:t>6000</w:t>
            </w:r>
          </w:p>
        </w:tc>
        <w:tc>
          <w:tcPr>
            <w:tcW w:w="2176" w:type="dxa"/>
            <w:vAlign w:val="center"/>
          </w:tcPr>
          <w:p w14:paraId="3069D7F2">
            <w:pPr>
              <w:adjustRightInd/>
              <w:snapToGrid/>
              <w:jc w:val="center"/>
              <w:rPr>
                <w:color w:val="auto"/>
                <w:sz w:val="24"/>
                <w:szCs w:val="24"/>
                <w:highlight w:val="none"/>
              </w:rPr>
            </w:pPr>
            <w:r>
              <w:rPr>
                <w:color w:val="auto"/>
                <w:sz w:val="24"/>
                <w:szCs w:val="24"/>
                <w:highlight w:val="none"/>
              </w:rPr>
              <w:t>环保投资</w:t>
            </w:r>
          </w:p>
          <w:p w14:paraId="2E5BD232">
            <w:pPr>
              <w:adjustRightInd/>
              <w:snapToGrid/>
              <w:jc w:val="center"/>
              <w:rPr>
                <w:rFonts w:eastAsiaTheme="minorEastAsia"/>
                <w:color w:val="auto"/>
                <w:sz w:val="24"/>
                <w:szCs w:val="24"/>
                <w:highlight w:val="none"/>
              </w:rPr>
            </w:pPr>
            <w:r>
              <w:rPr>
                <w:color w:val="auto"/>
                <w:sz w:val="24"/>
                <w:szCs w:val="24"/>
                <w:highlight w:val="none"/>
              </w:rPr>
              <w:t>（万元）</w:t>
            </w:r>
          </w:p>
        </w:tc>
        <w:tc>
          <w:tcPr>
            <w:tcW w:w="832" w:type="dxa"/>
            <w:vAlign w:val="center"/>
          </w:tcPr>
          <w:p w14:paraId="6F63A2E5">
            <w:pPr>
              <w:adjustRightInd/>
              <w:snapToGrid/>
              <w:jc w:val="center"/>
              <w:rPr>
                <w:rFonts w:hint="default" w:eastAsiaTheme="minorEastAsia"/>
                <w:color w:val="auto"/>
                <w:sz w:val="24"/>
                <w:szCs w:val="24"/>
                <w:highlight w:val="none"/>
                <w:lang w:val="en-US" w:eastAsia="zh-CN"/>
              </w:rPr>
            </w:pPr>
            <w:r>
              <w:rPr>
                <w:rFonts w:hint="eastAsia" w:eastAsiaTheme="minorEastAsia"/>
                <w:color w:val="auto"/>
                <w:sz w:val="24"/>
                <w:szCs w:val="24"/>
                <w:highlight w:val="none"/>
                <w:lang w:val="en-US" w:eastAsia="zh-CN"/>
              </w:rPr>
              <w:t>132</w:t>
            </w:r>
          </w:p>
        </w:tc>
        <w:tc>
          <w:tcPr>
            <w:tcW w:w="838" w:type="dxa"/>
            <w:vAlign w:val="center"/>
          </w:tcPr>
          <w:p w14:paraId="0E521489">
            <w:pPr>
              <w:adjustRightInd/>
              <w:snapToGrid/>
              <w:contextualSpacing/>
              <w:jc w:val="center"/>
              <w:rPr>
                <w:rFonts w:eastAsiaTheme="minorEastAsia"/>
                <w:color w:val="auto"/>
                <w:sz w:val="24"/>
                <w:szCs w:val="24"/>
                <w:highlight w:val="none"/>
              </w:rPr>
            </w:pPr>
            <w:r>
              <w:rPr>
                <w:rFonts w:eastAsiaTheme="minorEastAsia"/>
                <w:color w:val="auto"/>
                <w:sz w:val="24"/>
                <w:szCs w:val="24"/>
                <w:highlight w:val="none"/>
              </w:rPr>
              <w:t>比例</w:t>
            </w:r>
          </w:p>
        </w:tc>
        <w:tc>
          <w:tcPr>
            <w:tcW w:w="870" w:type="dxa"/>
            <w:vAlign w:val="center"/>
          </w:tcPr>
          <w:p w14:paraId="7E93A767">
            <w:pPr>
              <w:adjustRightInd/>
              <w:snapToGrid/>
              <w:contextualSpacing/>
              <w:jc w:val="center"/>
              <w:rPr>
                <w:rFonts w:eastAsiaTheme="minorEastAsia"/>
                <w:color w:val="auto"/>
                <w:sz w:val="24"/>
                <w:szCs w:val="24"/>
                <w:highlight w:val="none"/>
              </w:rPr>
            </w:pPr>
            <w:r>
              <w:rPr>
                <w:rFonts w:hint="eastAsia" w:eastAsiaTheme="minorEastAsia"/>
                <w:color w:val="auto"/>
                <w:sz w:val="24"/>
                <w:szCs w:val="24"/>
                <w:highlight w:val="none"/>
                <w:lang w:val="en-US" w:eastAsia="zh-CN"/>
              </w:rPr>
              <w:t>2.20</w:t>
            </w:r>
            <w:r>
              <w:rPr>
                <w:rFonts w:eastAsiaTheme="minorEastAsia"/>
                <w:color w:val="auto"/>
                <w:sz w:val="24"/>
                <w:szCs w:val="24"/>
                <w:highlight w:val="none"/>
              </w:rPr>
              <w:t>%</w:t>
            </w:r>
          </w:p>
        </w:tc>
      </w:tr>
      <w:tr w14:paraId="7E53DA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949" w:hRule="atLeast"/>
          <w:jc w:val="center"/>
        </w:trPr>
        <w:tc>
          <w:tcPr>
            <w:tcW w:w="2159" w:type="dxa"/>
            <w:vAlign w:val="center"/>
          </w:tcPr>
          <w:p w14:paraId="783F7F74">
            <w:pPr>
              <w:adjustRightInd/>
              <w:snapToGrid/>
              <w:contextualSpacing/>
              <w:jc w:val="center"/>
              <w:rPr>
                <w:color w:val="auto"/>
                <w:sz w:val="24"/>
                <w:highlight w:val="none"/>
              </w:rPr>
            </w:pPr>
            <w:r>
              <w:rPr>
                <w:color w:val="auto"/>
                <w:sz w:val="24"/>
                <w:highlight w:val="none"/>
              </w:rPr>
              <w:t>验收监测依据</w:t>
            </w:r>
          </w:p>
        </w:tc>
        <w:tc>
          <w:tcPr>
            <w:tcW w:w="7025" w:type="dxa"/>
            <w:gridSpan w:val="5"/>
          </w:tcPr>
          <w:p w14:paraId="4A85C23F">
            <w:pPr>
              <w:keepNext w:val="0"/>
              <w:keepLines w:val="0"/>
              <w:pageBreakBefore w:val="0"/>
              <w:widowControl/>
              <w:numPr>
                <w:ilvl w:val="0"/>
                <w:numId w:val="4"/>
              </w:numPr>
              <w:tabs>
                <w:tab w:val="left" w:pos="-114"/>
                <w:tab w:val="left" w:pos="137"/>
              </w:tabs>
              <w:kinsoku/>
              <w:wordWrap/>
              <w:overflowPunct/>
              <w:topLinePunct w:val="0"/>
              <w:autoSpaceDE/>
              <w:autoSpaceDN/>
              <w:bidi w:val="0"/>
              <w:adjustRightInd/>
              <w:snapToGrid/>
              <w:spacing w:line="360" w:lineRule="auto"/>
              <w:textAlignment w:val="auto"/>
              <w:rPr>
                <w:rFonts w:eastAsiaTheme="minorEastAsia"/>
                <w:color w:val="auto"/>
                <w:kern w:val="0"/>
                <w:sz w:val="24"/>
                <w:highlight w:val="none"/>
              </w:rPr>
            </w:pPr>
            <w:r>
              <w:rPr>
                <w:rFonts w:eastAsiaTheme="minorEastAsia"/>
                <w:color w:val="auto"/>
                <w:kern w:val="0"/>
                <w:sz w:val="24"/>
                <w:highlight w:val="none"/>
              </w:rPr>
              <w:t>《中华人民共和国环境保护法》，</w:t>
            </w:r>
            <w:r>
              <w:rPr>
                <w:rFonts w:eastAsiaTheme="minorEastAsia"/>
                <w:color w:val="auto"/>
                <w:sz w:val="24"/>
                <w:highlight w:val="none"/>
              </w:rPr>
              <w:t>2015年1月1日实施</w:t>
            </w:r>
            <w:r>
              <w:rPr>
                <w:rFonts w:eastAsiaTheme="minorEastAsia"/>
                <w:color w:val="auto"/>
                <w:kern w:val="0"/>
                <w:sz w:val="24"/>
                <w:highlight w:val="none"/>
              </w:rPr>
              <w:t>；</w:t>
            </w:r>
          </w:p>
          <w:p w14:paraId="0DA355BC">
            <w:pPr>
              <w:pStyle w:val="103"/>
              <w:keepNext w:val="0"/>
              <w:keepLines w:val="0"/>
              <w:pageBreakBefore w:val="0"/>
              <w:tabs>
                <w:tab w:val="left" w:pos="-114"/>
                <w:tab w:val="left" w:pos="137"/>
              </w:tabs>
              <w:kinsoku/>
              <w:wordWrap/>
              <w:overflowPunct/>
              <w:topLinePunct w:val="0"/>
              <w:autoSpaceDE/>
              <w:autoSpaceDN/>
              <w:bidi w:val="0"/>
              <w:adjustRightInd/>
              <w:snapToGrid/>
              <w:spacing w:line="360" w:lineRule="auto"/>
              <w:ind w:firstLine="0" w:firstLineChars="0"/>
              <w:textAlignment w:val="auto"/>
              <w:rPr>
                <w:rFonts w:eastAsiaTheme="minorEastAsia"/>
                <w:color w:val="auto"/>
                <w:highlight w:val="none"/>
              </w:rPr>
            </w:pPr>
            <w:r>
              <w:rPr>
                <w:rFonts w:hint="eastAsia" w:eastAsiaTheme="minorEastAsia"/>
                <w:color w:val="auto"/>
                <w:highlight w:val="none"/>
              </w:rPr>
              <w:t>（2）</w:t>
            </w:r>
            <w:r>
              <w:rPr>
                <w:rFonts w:eastAsiaTheme="minorEastAsia"/>
                <w:color w:val="auto"/>
                <w:highlight w:val="none"/>
              </w:rPr>
              <w:t>《国务院关于修改〈建设项目环境保护管理条例〉的决定》（国务院第682号令），2017年10月1日起施行；</w:t>
            </w:r>
          </w:p>
          <w:p w14:paraId="24314B1C">
            <w:pPr>
              <w:keepNext w:val="0"/>
              <w:keepLines w:val="0"/>
              <w:pageBreakBefore w:val="0"/>
              <w:widowControl/>
              <w:tabs>
                <w:tab w:val="left" w:pos="-114"/>
                <w:tab w:val="left" w:pos="137"/>
              </w:tabs>
              <w:kinsoku/>
              <w:wordWrap/>
              <w:overflowPunct/>
              <w:topLinePunct w:val="0"/>
              <w:autoSpaceDE/>
              <w:autoSpaceDN/>
              <w:bidi w:val="0"/>
              <w:adjustRightInd/>
              <w:snapToGrid/>
              <w:spacing w:line="360" w:lineRule="auto"/>
              <w:textAlignment w:val="auto"/>
              <w:rPr>
                <w:rFonts w:eastAsiaTheme="minorEastAsia"/>
                <w:color w:val="auto"/>
                <w:kern w:val="0"/>
                <w:sz w:val="24"/>
                <w:highlight w:val="none"/>
              </w:rPr>
            </w:pPr>
            <w:r>
              <w:rPr>
                <w:rFonts w:hint="eastAsia" w:eastAsiaTheme="minorEastAsia"/>
                <w:color w:val="auto"/>
                <w:sz w:val="24"/>
                <w:highlight w:val="none"/>
              </w:rPr>
              <w:t>（3）</w:t>
            </w:r>
            <w:r>
              <w:rPr>
                <w:rFonts w:eastAsiaTheme="minorEastAsia"/>
                <w:color w:val="auto"/>
                <w:sz w:val="24"/>
                <w:highlight w:val="none"/>
              </w:rPr>
              <w:t>《建设项目竣工环境保护验收暂行办法》（国环规环评[2017]4号文），2017年11月20日发布施行；</w:t>
            </w:r>
          </w:p>
          <w:p w14:paraId="1A6682CC">
            <w:pPr>
              <w:keepNext w:val="0"/>
              <w:keepLines w:val="0"/>
              <w:pageBreakBefore w:val="0"/>
              <w:widowControl/>
              <w:tabs>
                <w:tab w:val="left" w:pos="-114"/>
                <w:tab w:val="left" w:pos="137"/>
              </w:tabs>
              <w:kinsoku/>
              <w:wordWrap/>
              <w:overflowPunct/>
              <w:topLinePunct w:val="0"/>
              <w:autoSpaceDE/>
              <w:autoSpaceDN/>
              <w:bidi w:val="0"/>
              <w:adjustRightInd/>
              <w:snapToGrid/>
              <w:spacing w:line="360" w:lineRule="auto"/>
              <w:textAlignment w:val="auto"/>
              <w:rPr>
                <w:rFonts w:eastAsiaTheme="minorEastAsia"/>
                <w:color w:val="auto"/>
                <w:kern w:val="0"/>
                <w:sz w:val="24"/>
                <w:highlight w:val="none"/>
              </w:rPr>
            </w:pPr>
            <w:r>
              <w:rPr>
                <w:rFonts w:hint="eastAsia" w:eastAsiaTheme="minorEastAsia"/>
                <w:color w:val="auto"/>
                <w:kern w:val="0"/>
                <w:sz w:val="24"/>
                <w:highlight w:val="none"/>
              </w:rPr>
              <w:t>（4）</w:t>
            </w:r>
            <w:r>
              <w:rPr>
                <w:rFonts w:eastAsiaTheme="minorEastAsia"/>
                <w:color w:val="auto"/>
                <w:kern w:val="0"/>
                <w:sz w:val="24"/>
                <w:highlight w:val="none"/>
              </w:rPr>
              <w:t>《建设项目竣工环境保护验收技术指南污染影响类》（生态环境部公告2018年第9号），2018年5月16日印发</w:t>
            </w:r>
            <w:r>
              <w:rPr>
                <w:rFonts w:hint="eastAsia" w:eastAsiaTheme="minorEastAsia"/>
                <w:color w:val="auto"/>
                <w:kern w:val="0"/>
                <w:sz w:val="24"/>
                <w:highlight w:val="none"/>
              </w:rPr>
              <w:t>；</w:t>
            </w:r>
          </w:p>
          <w:p w14:paraId="3D8812CC">
            <w:pPr>
              <w:keepNext w:val="0"/>
              <w:keepLines w:val="0"/>
              <w:pageBreakBefore w:val="0"/>
              <w:widowControl/>
              <w:tabs>
                <w:tab w:val="left" w:pos="-114"/>
                <w:tab w:val="left" w:pos="137"/>
              </w:tabs>
              <w:kinsoku/>
              <w:wordWrap/>
              <w:overflowPunct/>
              <w:topLinePunct w:val="0"/>
              <w:autoSpaceDE/>
              <w:autoSpaceDN/>
              <w:bidi w:val="0"/>
              <w:adjustRightInd/>
              <w:snapToGrid/>
              <w:spacing w:line="360" w:lineRule="auto"/>
              <w:textAlignment w:val="auto"/>
              <w:rPr>
                <w:color w:val="auto"/>
                <w:kern w:val="0"/>
                <w:sz w:val="24"/>
                <w:highlight w:val="none"/>
              </w:rPr>
            </w:pPr>
            <w:r>
              <w:rPr>
                <w:rFonts w:hint="eastAsia"/>
                <w:color w:val="auto"/>
                <w:kern w:val="0"/>
                <w:sz w:val="24"/>
                <w:szCs w:val="20"/>
                <w:highlight w:val="none"/>
              </w:rPr>
              <w:t>（5）《污染影响类建设项目重大变动清单（试行）》（环办环评函〔2020〕688号）；</w:t>
            </w:r>
          </w:p>
          <w:p w14:paraId="3C248299">
            <w:pPr>
              <w:keepNext w:val="0"/>
              <w:keepLines w:val="0"/>
              <w:pageBreakBefore w:val="0"/>
              <w:tabs>
                <w:tab w:val="left" w:pos="-114"/>
                <w:tab w:val="left" w:pos="137"/>
              </w:tabs>
              <w:kinsoku/>
              <w:wordWrap/>
              <w:overflowPunct/>
              <w:topLinePunct w:val="0"/>
              <w:autoSpaceDE/>
              <w:autoSpaceDN/>
              <w:bidi w:val="0"/>
              <w:adjustRightInd/>
              <w:snapToGrid/>
              <w:spacing w:line="360" w:lineRule="auto"/>
              <w:contextualSpacing/>
              <w:textAlignment w:val="auto"/>
              <w:rPr>
                <w:rFonts w:eastAsiaTheme="minorEastAsia"/>
                <w:color w:val="auto"/>
                <w:sz w:val="24"/>
                <w:highlight w:val="none"/>
              </w:rPr>
            </w:pPr>
            <w:r>
              <w:rPr>
                <w:rFonts w:hint="eastAsia" w:eastAsiaTheme="minorEastAsia"/>
                <w:bCs/>
                <w:color w:val="auto"/>
                <w:sz w:val="24"/>
                <w:highlight w:val="none"/>
              </w:rPr>
              <w:t>（6）</w:t>
            </w:r>
            <w:r>
              <w:rPr>
                <w:rFonts w:hint="eastAsia" w:eastAsiaTheme="minorEastAsia"/>
                <w:color w:val="auto"/>
                <w:kern w:val="0"/>
                <w:sz w:val="24"/>
                <w:szCs w:val="24"/>
                <w:highlight w:val="none"/>
                <w:lang w:eastAsia="zh-CN"/>
              </w:rPr>
              <w:t>武汉环投环境科技有限公司</w:t>
            </w:r>
            <w:r>
              <w:rPr>
                <w:rFonts w:eastAsiaTheme="minorEastAsia"/>
                <w:color w:val="auto"/>
                <w:kern w:val="0"/>
                <w:sz w:val="24"/>
                <w:szCs w:val="20"/>
                <w:highlight w:val="none"/>
              </w:rPr>
              <w:t>关</w:t>
            </w:r>
            <w:r>
              <w:rPr>
                <w:rFonts w:hint="eastAsia" w:ascii="宋体" w:hAnsi="宋体" w:cs="宋体"/>
                <w:color w:val="auto"/>
                <w:kern w:val="0"/>
                <w:sz w:val="24"/>
                <w:szCs w:val="20"/>
                <w:highlight w:val="none"/>
              </w:rPr>
              <w:t>于“</w:t>
            </w:r>
            <w:r>
              <w:rPr>
                <w:rFonts w:hint="eastAsia" w:eastAsiaTheme="minorEastAsia"/>
                <w:color w:val="auto"/>
                <w:kern w:val="0"/>
                <w:sz w:val="24"/>
                <w:szCs w:val="24"/>
                <w:highlight w:val="none"/>
                <w:lang w:eastAsia="zh-CN"/>
              </w:rPr>
              <w:t>武汉市江夏长山口生活垃圾卫生填埋场填埋气利用发电项目（续建工程）</w:t>
            </w:r>
            <w:r>
              <w:rPr>
                <w:rFonts w:hint="eastAsia" w:ascii="宋体" w:hAnsi="宋体" w:cs="宋体"/>
                <w:color w:val="auto"/>
                <w:kern w:val="0"/>
                <w:sz w:val="24"/>
                <w:szCs w:val="20"/>
                <w:highlight w:val="none"/>
              </w:rPr>
              <w:t>”</w:t>
            </w:r>
            <w:r>
              <w:rPr>
                <w:rFonts w:eastAsiaTheme="minorEastAsia"/>
                <w:color w:val="auto"/>
                <w:kern w:val="0"/>
                <w:sz w:val="24"/>
                <w:szCs w:val="20"/>
                <w:highlight w:val="none"/>
              </w:rPr>
              <w:t>竣工</w:t>
            </w:r>
            <w:r>
              <w:rPr>
                <w:rFonts w:hint="eastAsia" w:eastAsiaTheme="minorEastAsia"/>
                <w:color w:val="auto"/>
                <w:kern w:val="0"/>
                <w:sz w:val="24"/>
                <w:szCs w:val="20"/>
                <w:highlight w:val="none"/>
              </w:rPr>
              <w:t>环境保护</w:t>
            </w:r>
            <w:r>
              <w:rPr>
                <w:rFonts w:eastAsiaTheme="minorEastAsia"/>
                <w:color w:val="auto"/>
                <w:kern w:val="0"/>
                <w:sz w:val="24"/>
                <w:szCs w:val="20"/>
                <w:highlight w:val="none"/>
              </w:rPr>
              <w:t>验收委托书，附件1；</w:t>
            </w:r>
          </w:p>
          <w:p w14:paraId="26CA0A61">
            <w:pPr>
              <w:keepNext w:val="0"/>
              <w:keepLines w:val="0"/>
              <w:pageBreakBefore w:val="0"/>
              <w:widowControl/>
              <w:tabs>
                <w:tab w:val="left" w:pos="-114"/>
                <w:tab w:val="left" w:pos="137"/>
              </w:tabs>
              <w:kinsoku/>
              <w:wordWrap/>
              <w:overflowPunct/>
              <w:topLinePunct w:val="0"/>
              <w:autoSpaceDE/>
              <w:autoSpaceDN/>
              <w:bidi w:val="0"/>
              <w:adjustRightInd/>
              <w:snapToGrid/>
              <w:spacing w:line="360" w:lineRule="auto"/>
              <w:textAlignment w:val="auto"/>
              <w:rPr>
                <w:rFonts w:eastAsiaTheme="minorEastAsia"/>
                <w:color w:val="auto"/>
                <w:sz w:val="24"/>
                <w:highlight w:val="none"/>
              </w:rPr>
            </w:pPr>
            <w:r>
              <w:rPr>
                <w:rFonts w:hint="eastAsia" w:eastAsiaTheme="minorEastAsia"/>
                <w:color w:val="auto"/>
                <w:sz w:val="24"/>
                <w:highlight w:val="none"/>
              </w:rPr>
              <w:t>（7）</w:t>
            </w:r>
            <w:r>
              <w:rPr>
                <w:rFonts w:eastAsiaTheme="minorEastAsia"/>
                <w:color w:val="auto"/>
                <w:sz w:val="24"/>
                <w:highlight w:val="none"/>
              </w:rPr>
              <w:t>武汉智汇元环保科技有限公司编制完成的《</w:t>
            </w:r>
            <w:r>
              <w:rPr>
                <w:rFonts w:hint="eastAsia" w:eastAsiaTheme="minorEastAsia"/>
                <w:color w:val="auto"/>
                <w:sz w:val="24"/>
                <w:highlight w:val="none"/>
                <w:lang w:eastAsia="zh-CN"/>
              </w:rPr>
              <w:t>武汉市江夏长山口生活垃圾卫生填埋场填埋气利用发电项目（续建工程）</w:t>
            </w:r>
            <w:r>
              <w:rPr>
                <w:rFonts w:hint="eastAsia" w:eastAsiaTheme="minorEastAsia"/>
                <w:color w:val="auto"/>
                <w:sz w:val="24"/>
                <w:highlight w:val="none"/>
              </w:rPr>
              <w:t>环境影响报告表</w:t>
            </w:r>
            <w:r>
              <w:rPr>
                <w:rFonts w:eastAsiaTheme="minorEastAsia"/>
                <w:color w:val="auto"/>
                <w:sz w:val="24"/>
                <w:highlight w:val="none"/>
              </w:rPr>
              <w:t>》（</w:t>
            </w:r>
            <w:r>
              <w:rPr>
                <w:rFonts w:eastAsiaTheme="minorEastAsia"/>
                <w:color w:val="auto"/>
                <w:sz w:val="24"/>
                <w:szCs w:val="24"/>
                <w:highlight w:val="none"/>
              </w:rPr>
              <w:t>20</w:t>
            </w:r>
            <w:r>
              <w:rPr>
                <w:rFonts w:hint="eastAsia" w:eastAsiaTheme="minorEastAsia"/>
                <w:color w:val="auto"/>
                <w:sz w:val="24"/>
                <w:szCs w:val="24"/>
                <w:highlight w:val="none"/>
                <w:lang w:val="en-US" w:eastAsia="zh-CN"/>
              </w:rPr>
              <w:t>23</w:t>
            </w:r>
            <w:r>
              <w:rPr>
                <w:rFonts w:eastAsiaTheme="minorEastAsia"/>
                <w:color w:val="auto"/>
                <w:sz w:val="24"/>
                <w:szCs w:val="24"/>
                <w:highlight w:val="none"/>
              </w:rPr>
              <w:t>年</w:t>
            </w:r>
            <w:r>
              <w:rPr>
                <w:rFonts w:hint="eastAsia" w:eastAsiaTheme="minorEastAsia"/>
                <w:color w:val="auto"/>
                <w:sz w:val="24"/>
                <w:szCs w:val="24"/>
                <w:highlight w:val="none"/>
                <w:lang w:val="en-US" w:eastAsia="zh-CN"/>
              </w:rPr>
              <w:t>9</w:t>
            </w:r>
            <w:r>
              <w:rPr>
                <w:rFonts w:eastAsiaTheme="minorEastAsia"/>
                <w:color w:val="auto"/>
                <w:sz w:val="24"/>
                <w:szCs w:val="24"/>
                <w:highlight w:val="none"/>
              </w:rPr>
              <w:t>月</w:t>
            </w:r>
            <w:r>
              <w:rPr>
                <w:rFonts w:eastAsiaTheme="minorEastAsia"/>
                <w:color w:val="auto"/>
                <w:sz w:val="24"/>
                <w:highlight w:val="none"/>
              </w:rPr>
              <w:t>）；</w:t>
            </w:r>
          </w:p>
          <w:p w14:paraId="6CB9C904">
            <w:pPr>
              <w:keepNext w:val="0"/>
              <w:keepLines w:val="0"/>
              <w:pageBreakBefore w:val="0"/>
              <w:tabs>
                <w:tab w:val="left" w:pos="-114"/>
                <w:tab w:val="left" w:pos="137"/>
              </w:tabs>
              <w:kinsoku/>
              <w:wordWrap/>
              <w:overflowPunct/>
              <w:topLinePunct w:val="0"/>
              <w:autoSpaceDE/>
              <w:autoSpaceDN/>
              <w:bidi w:val="0"/>
              <w:adjustRightInd/>
              <w:snapToGrid/>
              <w:spacing w:line="360" w:lineRule="auto"/>
              <w:contextualSpacing/>
              <w:textAlignment w:val="auto"/>
              <w:rPr>
                <w:rFonts w:eastAsiaTheme="minorEastAsia"/>
                <w:color w:val="auto"/>
                <w:sz w:val="24"/>
                <w:highlight w:val="none"/>
              </w:rPr>
            </w:pPr>
            <w:r>
              <w:rPr>
                <w:rFonts w:hint="eastAsia" w:eastAsiaTheme="minorEastAsia"/>
                <w:color w:val="auto"/>
                <w:sz w:val="24"/>
                <w:highlight w:val="none"/>
              </w:rPr>
              <w:t>（8）《武汉市生态环境局江夏区分局关于</w:t>
            </w:r>
            <w:r>
              <w:rPr>
                <w:rFonts w:hint="eastAsia" w:eastAsiaTheme="minorEastAsia"/>
                <w:color w:val="auto"/>
                <w:sz w:val="24"/>
                <w:highlight w:val="none"/>
                <w:lang w:eastAsia="zh-CN"/>
              </w:rPr>
              <w:t>武汉市江夏长山口生活垃圾卫生填埋场填埋气利用发电项目（续建工程）</w:t>
            </w:r>
            <w:r>
              <w:rPr>
                <w:rFonts w:hint="eastAsia" w:eastAsiaTheme="minorEastAsia"/>
                <w:color w:val="auto"/>
                <w:sz w:val="24"/>
                <w:highlight w:val="none"/>
              </w:rPr>
              <w:t>环境影响报告表的批复》（武环江夏审(2023)63号）</w:t>
            </w:r>
            <w:r>
              <w:rPr>
                <w:rFonts w:hint="eastAsia" w:eastAsiaTheme="minorEastAsia"/>
                <w:color w:val="auto"/>
                <w:sz w:val="24"/>
                <w:highlight w:val="none"/>
                <w:lang w:eastAsia="zh-CN"/>
              </w:rPr>
              <w:t>（以下简称《报告表》）</w:t>
            </w:r>
            <w:r>
              <w:rPr>
                <w:rFonts w:eastAsiaTheme="minorEastAsia"/>
                <w:color w:val="auto"/>
                <w:kern w:val="0"/>
                <w:sz w:val="24"/>
                <w:szCs w:val="20"/>
                <w:highlight w:val="none"/>
              </w:rPr>
              <w:t>，附件2</w:t>
            </w:r>
            <w:r>
              <w:rPr>
                <w:rFonts w:eastAsiaTheme="minorEastAsia"/>
                <w:color w:val="auto"/>
                <w:sz w:val="24"/>
                <w:highlight w:val="none"/>
              </w:rPr>
              <w:t>；</w:t>
            </w:r>
          </w:p>
          <w:p w14:paraId="3EBDAD56">
            <w:pPr>
              <w:keepNext w:val="0"/>
              <w:keepLines w:val="0"/>
              <w:pageBreakBefore w:val="0"/>
              <w:tabs>
                <w:tab w:val="left" w:pos="0"/>
              </w:tabs>
              <w:kinsoku/>
              <w:wordWrap/>
              <w:overflowPunct/>
              <w:topLinePunct w:val="0"/>
              <w:autoSpaceDE/>
              <w:autoSpaceDN/>
              <w:bidi w:val="0"/>
              <w:adjustRightInd/>
              <w:snapToGrid/>
              <w:spacing w:line="360" w:lineRule="auto"/>
              <w:contextualSpacing/>
              <w:textAlignment w:val="auto"/>
              <w:rPr>
                <w:color w:val="auto"/>
                <w:sz w:val="24"/>
                <w:highlight w:val="none"/>
              </w:rPr>
            </w:pPr>
            <w:r>
              <w:rPr>
                <w:rFonts w:hint="eastAsia" w:eastAsiaTheme="minorEastAsia"/>
                <w:color w:val="auto"/>
                <w:sz w:val="24"/>
                <w:highlight w:val="none"/>
              </w:rPr>
              <w:t>（9）</w:t>
            </w:r>
            <w:r>
              <w:rPr>
                <w:rFonts w:eastAsiaTheme="minorEastAsia"/>
                <w:color w:val="auto"/>
                <w:sz w:val="24"/>
                <w:highlight w:val="none"/>
              </w:rPr>
              <w:t>企业提供的</w:t>
            </w:r>
            <w:r>
              <w:rPr>
                <w:rFonts w:hint="eastAsia" w:eastAsiaTheme="minorEastAsia"/>
                <w:color w:val="auto"/>
                <w:sz w:val="24"/>
                <w:highlight w:val="none"/>
              </w:rPr>
              <w:t>其他</w:t>
            </w:r>
            <w:r>
              <w:rPr>
                <w:rFonts w:eastAsiaTheme="minorEastAsia"/>
                <w:color w:val="auto"/>
                <w:sz w:val="24"/>
                <w:highlight w:val="none"/>
              </w:rPr>
              <w:t>相关资料等。</w:t>
            </w:r>
          </w:p>
        </w:tc>
      </w:tr>
      <w:tr w14:paraId="556DB3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7879" w:hRule="atLeast"/>
          <w:jc w:val="center"/>
        </w:trPr>
        <w:tc>
          <w:tcPr>
            <w:tcW w:w="2159" w:type="dxa"/>
            <w:vAlign w:val="center"/>
          </w:tcPr>
          <w:p w14:paraId="6B4880D6">
            <w:pPr>
              <w:adjustRightInd/>
              <w:snapToGrid/>
              <w:contextualSpacing/>
              <w:jc w:val="center"/>
              <w:rPr>
                <w:color w:val="auto"/>
                <w:sz w:val="24"/>
                <w:highlight w:val="none"/>
              </w:rPr>
            </w:pPr>
            <w:r>
              <w:rPr>
                <w:rFonts w:hint="eastAsia"/>
                <w:color w:val="auto"/>
                <w:sz w:val="24"/>
                <w:highlight w:val="none"/>
              </w:rPr>
              <w:t>验收监测评价标准、标号、级别、限值</w:t>
            </w:r>
          </w:p>
        </w:tc>
        <w:tc>
          <w:tcPr>
            <w:tcW w:w="7025" w:type="dxa"/>
            <w:gridSpan w:val="5"/>
          </w:tcPr>
          <w:p w14:paraId="50A97A60">
            <w:pPr>
              <w:adjustRightInd/>
              <w:snapToGrid/>
              <w:spacing w:line="360" w:lineRule="auto"/>
              <w:rPr>
                <w:rFonts w:eastAsia="黑体"/>
                <w:b/>
                <w:color w:val="auto"/>
                <w:sz w:val="24"/>
                <w:szCs w:val="24"/>
                <w:highlight w:val="none"/>
              </w:rPr>
            </w:pPr>
            <w:r>
              <w:rPr>
                <w:rFonts w:hint="eastAsia" w:eastAsia="黑体"/>
                <w:b/>
                <w:color w:val="auto"/>
                <w:sz w:val="24"/>
                <w:szCs w:val="24"/>
                <w:highlight w:val="none"/>
              </w:rPr>
              <w:t>1、环境质量标准</w:t>
            </w:r>
          </w:p>
          <w:p w14:paraId="00373938">
            <w:pPr>
              <w:tabs>
                <w:tab w:val="left" w:pos="-114"/>
                <w:tab w:val="left" w:pos="137"/>
              </w:tabs>
              <w:adjustRightInd/>
              <w:snapToGrid/>
              <w:spacing w:line="360" w:lineRule="auto"/>
              <w:ind w:firstLine="480" w:firstLineChars="200"/>
              <w:contextualSpacing/>
              <w:rPr>
                <w:rFonts w:hint="eastAsia" w:eastAsia="宋体"/>
                <w:color w:val="auto"/>
                <w:sz w:val="24"/>
                <w:szCs w:val="24"/>
                <w:highlight w:val="none"/>
                <w:lang w:eastAsia="zh-CN"/>
              </w:rPr>
            </w:pPr>
            <w:r>
              <w:rPr>
                <w:color w:val="auto"/>
                <w:sz w:val="24"/>
                <w:szCs w:val="24"/>
                <w:highlight w:val="none"/>
              </w:rPr>
              <w:t>（1）环境空气：</w:t>
            </w:r>
            <w:r>
              <w:rPr>
                <w:rFonts w:hint="eastAsia"/>
                <w:color w:val="auto"/>
                <w:sz w:val="24"/>
                <w:szCs w:val="24"/>
                <w:highlight w:val="none"/>
              </w:rPr>
              <w:t>项目所在地区为武汉市</w:t>
            </w:r>
            <w:r>
              <w:rPr>
                <w:rFonts w:hint="eastAsia"/>
                <w:color w:val="auto"/>
                <w:sz w:val="24"/>
                <w:szCs w:val="24"/>
                <w:highlight w:val="none"/>
                <w:lang w:eastAsia="zh-CN"/>
              </w:rPr>
              <w:t>江夏区金口街道长山口生活垃圾卫生填埋场</w:t>
            </w:r>
            <w:r>
              <w:rPr>
                <w:rFonts w:hint="eastAsia"/>
                <w:color w:val="auto"/>
                <w:sz w:val="24"/>
                <w:szCs w:val="24"/>
                <w:highlight w:val="none"/>
              </w:rPr>
              <w:t>，根据武汉市人民政府办公厅文件《市人民政府办公厅关于转发武汉市环境空气质量功能区类别规定的通知》（武政办〔2013〕129号），其环境空气质量功能区划为二类区，应执行《环境空气质量标准》（GB3095-2012）中二级标准限值</w:t>
            </w:r>
            <w:r>
              <w:rPr>
                <w:rFonts w:hint="eastAsia"/>
                <w:color w:val="auto"/>
                <w:sz w:val="24"/>
                <w:szCs w:val="24"/>
                <w:highlight w:val="none"/>
                <w:lang w:eastAsia="zh-CN"/>
              </w:rPr>
              <w:t>。</w:t>
            </w:r>
          </w:p>
          <w:p w14:paraId="6B42E540">
            <w:pPr>
              <w:tabs>
                <w:tab w:val="left" w:pos="-114"/>
                <w:tab w:val="left" w:pos="137"/>
              </w:tabs>
              <w:adjustRightInd/>
              <w:snapToGrid/>
              <w:spacing w:line="360" w:lineRule="auto"/>
              <w:ind w:firstLine="480" w:firstLineChars="200"/>
              <w:contextualSpacing/>
              <w:rPr>
                <w:rFonts w:hint="eastAsia"/>
                <w:color w:val="auto"/>
                <w:sz w:val="24"/>
                <w:szCs w:val="24"/>
                <w:highlight w:val="none"/>
              </w:rPr>
            </w:pPr>
            <w:r>
              <w:rPr>
                <w:color w:val="auto"/>
                <w:sz w:val="24"/>
                <w:szCs w:val="24"/>
                <w:highlight w:val="none"/>
              </w:rPr>
              <w:t>（2）地表水：</w:t>
            </w:r>
            <w:r>
              <w:rPr>
                <w:rFonts w:hint="eastAsia"/>
                <w:color w:val="auto"/>
                <w:sz w:val="24"/>
                <w:szCs w:val="24"/>
                <w:highlight w:val="none"/>
                <w:lang w:eastAsia="zh-CN"/>
              </w:rPr>
              <w:t>续建工程废水</w:t>
            </w:r>
            <w:r>
              <w:rPr>
                <w:rFonts w:hint="eastAsia"/>
                <w:color w:val="auto"/>
                <w:sz w:val="24"/>
                <w:szCs w:val="24"/>
                <w:highlight w:val="none"/>
              </w:rPr>
              <w:t>依托</w:t>
            </w:r>
            <w:r>
              <w:rPr>
                <w:rFonts w:hint="eastAsia"/>
                <w:color w:val="auto"/>
                <w:sz w:val="24"/>
                <w:szCs w:val="24"/>
                <w:highlight w:val="none"/>
                <w:lang w:eastAsia="zh-CN"/>
              </w:rPr>
              <w:t>长山口生活垃圾卫生</w:t>
            </w:r>
            <w:r>
              <w:rPr>
                <w:rFonts w:hint="eastAsia"/>
                <w:color w:val="auto"/>
                <w:sz w:val="24"/>
                <w:szCs w:val="24"/>
                <w:highlight w:val="none"/>
              </w:rPr>
              <w:t>填埋场污水处理站处理</w:t>
            </w:r>
            <w:r>
              <w:rPr>
                <w:rFonts w:hint="eastAsia"/>
                <w:color w:val="auto"/>
                <w:sz w:val="24"/>
                <w:szCs w:val="24"/>
                <w:highlight w:val="none"/>
                <w:lang w:eastAsia="zh-CN"/>
              </w:rPr>
              <w:t>后</w:t>
            </w:r>
            <w:r>
              <w:rPr>
                <w:rFonts w:hint="eastAsia"/>
                <w:color w:val="auto"/>
                <w:sz w:val="24"/>
                <w:szCs w:val="24"/>
                <w:highlight w:val="none"/>
              </w:rPr>
              <w:t>，经市政污水管网</w:t>
            </w:r>
            <w:r>
              <w:rPr>
                <w:color w:val="auto"/>
                <w:sz w:val="24"/>
                <w:szCs w:val="24"/>
                <w:highlight w:val="none"/>
              </w:rPr>
              <w:t>排入</w:t>
            </w:r>
            <w:r>
              <w:rPr>
                <w:rFonts w:hint="eastAsia"/>
                <w:color w:val="auto"/>
                <w:sz w:val="24"/>
                <w:szCs w:val="24"/>
                <w:highlight w:val="none"/>
                <w:lang w:eastAsia="zh-CN"/>
              </w:rPr>
              <w:t>金口污水处理厂</w:t>
            </w:r>
            <w:r>
              <w:rPr>
                <w:color w:val="auto"/>
                <w:sz w:val="24"/>
                <w:szCs w:val="24"/>
                <w:highlight w:val="none"/>
              </w:rPr>
              <w:t>做进一步处理</w:t>
            </w:r>
            <w:r>
              <w:rPr>
                <w:rFonts w:hint="eastAsia"/>
                <w:color w:val="auto"/>
                <w:sz w:val="24"/>
                <w:szCs w:val="24"/>
                <w:highlight w:val="none"/>
              </w:rPr>
              <w:t>，最终受纳水体为长江（武汉段）</w:t>
            </w:r>
            <w:r>
              <w:rPr>
                <w:color w:val="auto"/>
                <w:sz w:val="24"/>
                <w:szCs w:val="24"/>
                <w:highlight w:val="none"/>
              </w:rPr>
              <w:t>。</w:t>
            </w:r>
            <w:r>
              <w:rPr>
                <w:rFonts w:hint="eastAsia"/>
                <w:color w:val="auto"/>
                <w:sz w:val="24"/>
                <w:szCs w:val="24"/>
                <w:highlight w:val="none"/>
              </w:rPr>
              <w:t>按照湖北省人民政府办公厅文件鄂政办函〔2000〕74号《省人民政府办公厅关于武汉市地表水环境功能区类别和集中式地表水饮用水水源地保护区级别规定有关问题的批复》规定，长江（武汉段）为Ⅲ类水体，应执行《地表水环境质量标准》（GB3838-2002）中的“Ⅲ类”标准。</w:t>
            </w:r>
          </w:p>
          <w:p w14:paraId="2BDB22DE">
            <w:pPr>
              <w:tabs>
                <w:tab w:val="left" w:pos="-114"/>
                <w:tab w:val="left" w:pos="137"/>
              </w:tabs>
              <w:adjustRightInd/>
              <w:snapToGrid/>
              <w:spacing w:line="360" w:lineRule="auto"/>
              <w:ind w:firstLine="480" w:firstLineChars="200"/>
              <w:contextualSpacing/>
              <w:rPr>
                <w:rFonts w:eastAsiaTheme="minorEastAsia"/>
                <w:color w:val="auto"/>
                <w:sz w:val="24"/>
                <w:szCs w:val="24"/>
                <w:highlight w:val="none"/>
              </w:rPr>
            </w:pPr>
            <w:r>
              <w:rPr>
                <w:color w:val="auto"/>
                <w:sz w:val="24"/>
                <w:szCs w:val="24"/>
                <w:highlight w:val="none"/>
              </w:rPr>
              <w:t>（3）声环境：</w:t>
            </w:r>
            <w:r>
              <w:rPr>
                <w:rFonts w:hint="eastAsia"/>
                <w:color w:val="auto"/>
                <w:sz w:val="24"/>
                <w:szCs w:val="24"/>
                <w:highlight w:val="none"/>
              </w:rPr>
              <w:t>依据《市人民政府办公厅关于印发武汉市声环境功能区类别规定的通知》（武政办〔2019〕12号），</w:t>
            </w:r>
            <w:r>
              <w:rPr>
                <w:rFonts w:hint="eastAsia"/>
                <w:color w:val="auto"/>
                <w:sz w:val="24"/>
                <w:szCs w:val="24"/>
                <w:highlight w:val="none"/>
                <w:lang w:eastAsia="zh-CN"/>
              </w:rPr>
              <w:t>续建工程周边</w:t>
            </w:r>
            <w:r>
              <w:rPr>
                <w:rFonts w:hint="eastAsia" w:eastAsiaTheme="minorEastAsia"/>
                <w:color w:val="auto"/>
                <w:sz w:val="24"/>
                <w:highlight w:val="none"/>
              </w:rPr>
              <w:t>声环境功能区划为</w:t>
            </w:r>
            <w:r>
              <w:rPr>
                <w:rFonts w:hint="eastAsia" w:eastAsiaTheme="minorEastAsia"/>
                <w:color w:val="auto"/>
                <w:sz w:val="24"/>
                <w:highlight w:val="none"/>
                <w:lang w:val="en-US" w:eastAsia="zh-CN"/>
              </w:rPr>
              <w:t>2</w:t>
            </w:r>
            <w:r>
              <w:rPr>
                <w:rFonts w:hint="eastAsia" w:eastAsiaTheme="minorEastAsia"/>
                <w:color w:val="auto"/>
                <w:sz w:val="24"/>
                <w:highlight w:val="none"/>
              </w:rPr>
              <w:t>类区，声环境质量应</w:t>
            </w:r>
            <w:r>
              <w:rPr>
                <w:rFonts w:hint="eastAsia"/>
                <w:color w:val="auto"/>
                <w:sz w:val="24"/>
                <w:szCs w:val="24"/>
                <w:highlight w:val="none"/>
              </w:rPr>
              <w:t>执行</w:t>
            </w:r>
            <w:r>
              <w:rPr>
                <w:rFonts w:hint="eastAsia" w:eastAsiaTheme="minorEastAsia"/>
                <w:color w:val="auto"/>
                <w:sz w:val="24"/>
                <w:highlight w:val="none"/>
              </w:rPr>
              <w:t>《声环境质量标准》（GB3096-2008）中“</w:t>
            </w:r>
            <w:r>
              <w:rPr>
                <w:rFonts w:hint="eastAsia" w:eastAsiaTheme="minorEastAsia"/>
                <w:color w:val="auto"/>
                <w:sz w:val="24"/>
                <w:highlight w:val="none"/>
                <w:lang w:val="en-US" w:eastAsia="zh-CN"/>
              </w:rPr>
              <w:t>2</w:t>
            </w:r>
            <w:r>
              <w:rPr>
                <w:rFonts w:hint="eastAsia" w:eastAsiaTheme="minorEastAsia"/>
                <w:color w:val="auto"/>
                <w:sz w:val="24"/>
                <w:highlight w:val="none"/>
              </w:rPr>
              <w:t>类标准”</w:t>
            </w:r>
            <w:r>
              <w:rPr>
                <w:rFonts w:hint="eastAsia" w:eastAsiaTheme="minorEastAsia"/>
                <w:color w:val="auto"/>
                <w:sz w:val="24"/>
                <w:szCs w:val="24"/>
                <w:highlight w:val="none"/>
              </w:rPr>
              <w:t>。</w:t>
            </w:r>
          </w:p>
          <w:p w14:paraId="5C3648E5">
            <w:pPr>
              <w:adjustRightInd/>
              <w:snapToGrid/>
              <w:spacing w:line="360" w:lineRule="auto"/>
              <w:rPr>
                <w:rFonts w:eastAsia="黑体"/>
                <w:b/>
                <w:color w:val="auto"/>
                <w:sz w:val="24"/>
                <w:szCs w:val="24"/>
                <w:highlight w:val="none"/>
              </w:rPr>
            </w:pPr>
            <w:r>
              <w:rPr>
                <w:rFonts w:hint="eastAsia" w:eastAsia="黑体"/>
                <w:b/>
                <w:color w:val="auto"/>
                <w:sz w:val="24"/>
                <w:szCs w:val="24"/>
                <w:highlight w:val="none"/>
              </w:rPr>
              <w:t>2、验收监测执行标准</w:t>
            </w:r>
          </w:p>
          <w:p w14:paraId="63598546">
            <w:pPr>
              <w:adjustRightInd/>
              <w:snapToGrid/>
              <w:spacing w:line="360" w:lineRule="auto"/>
              <w:ind w:firstLine="480" w:firstLineChars="200"/>
              <w:rPr>
                <w:color w:val="auto"/>
                <w:kern w:val="0"/>
                <w:sz w:val="24"/>
                <w:szCs w:val="24"/>
                <w:highlight w:val="none"/>
              </w:rPr>
            </w:pPr>
            <w:r>
              <w:rPr>
                <w:rFonts w:hint="eastAsia"/>
                <w:color w:val="auto"/>
                <w:kern w:val="0"/>
                <w:sz w:val="24"/>
                <w:szCs w:val="24"/>
                <w:highlight w:val="none"/>
                <w:lang w:eastAsia="zh-CN"/>
              </w:rPr>
              <w:t>续建工程</w:t>
            </w:r>
            <w:r>
              <w:rPr>
                <w:color w:val="auto"/>
                <w:kern w:val="0"/>
                <w:sz w:val="24"/>
                <w:szCs w:val="24"/>
                <w:highlight w:val="none"/>
              </w:rPr>
              <w:t>污染物评价标准见</w:t>
            </w:r>
            <w:r>
              <w:rPr>
                <w:rFonts w:hint="eastAsia"/>
                <w:color w:val="auto"/>
                <w:kern w:val="0"/>
                <w:sz w:val="24"/>
                <w:szCs w:val="24"/>
                <w:highlight w:val="none"/>
                <w:lang w:eastAsia="zh-CN"/>
              </w:rPr>
              <w:t>下</w:t>
            </w:r>
            <w:r>
              <w:rPr>
                <w:color w:val="auto"/>
                <w:kern w:val="0"/>
                <w:sz w:val="24"/>
                <w:szCs w:val="24"/>
                <w:highlight w:val="none"/>
              </w:rPr>
              <w:t>表。</w:t>
            </w:r>
          </w:p>
          <w:p w14:paraId="626D959E">
            <w:pPr>
              <w:pStyle w:val="121"/>
              <w:adjustRightInd/>
              <w:snapToGrid/>
              <w:rPr>
                <w:color w:val="auto"/>
                <w:highlight w:val="none"/>
              </w:rPr>
            </w:pPr>
            <w:r>
              <w:rPr>
                <w:rFonts w:hint="eastAsia"/>
                <w:color w:val="auto"/>
                <w:sz w:val="21"/>
                <w:highlight w:val="none"/>
              </w:rPr>
              <w:t>项目污染物执行评价标准</w:t>
            </w:r>
          </w:p>
          <w:tbl>
            <w:tblPr>
              <w:tblStyle w:val="29"/>
              <w:tblW w:w="69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35"/>
              <w:gridCol w:w="2366"/>
              <w:gridCol w:w="397"/>
              <w:gridCol w:w="1146"/>
              <w:gridCol w:w="1339"/>
              <w:gridCol w:w="1234"/>
            </w:tblGrid>
            <w:tr w14:paraId="52F8A1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tcBorders>
                    <w:bottom w:val="single" w:color="auto" w:sz="12" w:space="0"/>
                  </w:tcBorders>
                  <w:vAlign w:val="center"/>
                </w:tcPr>
                <w:p w14:paraId="28216B6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类别</w:t>
                  </w:r>
                </w:p>
              </w:tc>
              <w:tc>
                <w:tcPr>
                  <w:tcW w:w="2366" w:type="dxa"/>
                  <w:tcBorders>
                    <w:bottom w:val="single" w:color="auto" w:sz="12" w:space="0"/>
                  </w:tcBorders>
                  <w:vAlign w:val="center"/>
                </w:tcPr>
                <w:p w14:paraId="0BC6260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适用标准</w:t>
                  </w:r>
                </w:p>
              </w:tc>
              <w:tc>
                <w:tcPr>
                  <w:tcW w:w="397" w:type="dxa"/>
                  <w:tcBorders>
                    <w:bottom w:val="single" w:color="auto" w:sz="12" w:space="0"/>
                  </w:tcBorders>
                  <w:vAlign w:val="center"/>
                </w:tcPr>
                <w:p w14:paraId="02B40F3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类别</w:t>
                  </w:r>
                </w:p>
              </w:tc>
              <w:tc>
                <w:tcPr>
                  <w:tcW w:w="1146" w:type="dxa"/>
                  <w:tcBorders>
                    <w:bottom w:val="single" w:color="auto" w:sz="12" w:space="0"/>
                  </w:tcBorders>
                  <w:vAlign w:val="center"/>
                </w:tcPr>
                <w:p w14:paraId="6F6A549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污染物</w:t>
                  </w:r>
                </w:p>
              </w:tc>
              <w:tc>
                <w:tcPr>
                  <w:tcW w:w="1339" w:type="dxa"/>
                  <w:tcBorders>
                    <w:bottom w:val="single" w:color="auto" w:sz="12" w:space="0"/>
                  </w:tcBorders>
                  <w:vAlign w:val="center"/>
                </w:tcPr>
                <w:p w14:paraId="55062F7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标准值</w:t>
                  </w:r>
                </w:p>
              </w:tc>
              <w:tc>
                <w:tcPr>
                  <w:tcW w:w="1234" w:type="dxa"/>
                  <w:tcBorders>
                    <w:bottom w:val="single" w:color="auto" w:sz="12" w:space="0"/>
                  </w:tcBorders>
                  <w:vAlign w:val="center"/>
                </w:tcPr>
                <w:p w14:paraId="7E8ACEC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备注</w:t>
                  </w:r>
                </w:p>
              </w:tc>
            </w:tr>
            <w:tr w14:paraId="55637F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restart"/>
                  <w:tcBorders>
                    <w:top w:val="single" w:color="auto" w:sz="12" w:space="0"/>
                  </w:tcBorders>
                  <w:vAlign w:val="center"/>
                </w:tcPr>
                <w:p w14:paraId="3AC7EBC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eastAsia="宋体"/>
                      <w:color w:val="auto"/>
                      <w:kern w:val="0"/>
                      <w:sz w:val="18"/>
                      <w:szCs w:val="18"/>
                      <w:highlight w:val="none"/>
                      <w:lang w:eastAsia="zh-CN"/>
                    </w:rPr>
                  </w:pPr>
                  <w:r>
                    <w:rPr>
                      <w:rFonts w:hint="eastAsia"/>
                      <w:color w:val="auto"/>
                      <w:kern w:val="0"/>
                      <w:sz w:val="18"/>
                      <w:szCs w:val="18"/>
                      <w:highlight w:val="none"/>
                      <w:lang w:eastAsia="zh-CN"/>
                    </w:rPr>
                    <w:t>废水</w:t>
                  </w:r>
                </w:p>
              </w:tc>
              <w:tc>
                <w:tcPr>
                  <w:tcW w:w="2366" w:type="dxa"/>
                  <w:tcBorders>
                    <w:top w:val="single" w:color="auto" w:sz="12" w:space="0"/>
                  </w:tcBorders>
                  <w:vAlign w:val="center"/>
                </w:tcPr>
                <w:p w14:paraId="53BF139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污水综合排放标准》（GB8978-1996）</w:t>
                  </w:r>
                </w:p>
              </w:tc>
              <w:tc>
                <w:tcPr>
                  <w:tcW w:w="397" w:type="dxa"/>
                  <w:tcBorders>
                    <w:top w:val="single" w:color="auto" w:sz="12" w:space="0"/>
                  </w:tcBorders>
                  <w:vAlign w:val="center"/>
                </w:tcPr>
                <w:p w14:paraId="67CBD59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eastAsia="宋体"/>
                      <w:color w:val="auto"/>
                      <w:kern w:val="0"/>
                      <w:sz w:val="18"/>
                      <w:szCs w:val="18"/>
                      <w:highlight w:val="none"/>
                      <w:lang w:eastAsia="zh-CN"/>
                    </w:rPr>
                  </w:pPr>
                  <w:r>
                    <w:rPr>
                      <w:rFonts w:hint="eastAsia"/>
                      <w:color w:val="auto"/>
                      <w:kern w:val="0"/>
                      <w:sz w:val="18"/>
                      <w:szCs w:val="18"/>
                      <w:highlight w:val="none"/>
                    </w:rPr>
                    <w:t>表</w:t>
                  </w:r>
                  <w:r>
                    <w:rPr>
                      <w:rFonts w:hint="eastAsia"/>
                      <w:color w:val="auto"/>
                      <w:kern w:val="0"/>
                      <w:sz w:val="18"/>
                      <w:szCs w:val="18"/>
                      <w:highlight w:val="none"/>
                      <w:lang w:val="en-US" w:eastAsia="zh-CN"/>
                    </w:rPr>
                    <w:t>4</w:t>
                  </w:r>
                </w:p>
              </w:tc>
              <w:tc>
                <w:tcPr>
                  <w:tcW w:w="1146" w:type="dxa"/>
                  <w:tcBorders>
                    <w:top w:val="single" w:color="auto" w:sz="12" w:space="0"/>
                    <w:bottom w:val="single" w:color="auto" w:sz="4" w:space="0"/>
                  </w:tcBorders>
                  <w:vAlign w:val="center"/>
                </w:tcPr>
                <w:p w14:paraId="6A9180D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pH</w:t>
                  </w:r>
                </w:p>
              </w:tc>
              <w:tc>
                <w:tcPr>
                  <w:tcW w:w="1339" w:type="dxa"/>
                  <w:tcBorders>
                    <w:top w:val="single" w:color="auto" w:sz="12" w:space="0"/>
                    <w:bottom w:val="single" w:color="auto" w:sz="4" w:space="0"/>
                  </w:tcBorders>
                  <w:vAlign w:val="center"/>
                </w:tcPr>
                <w:p w14:paraId="5A77D44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6-9</w:t>
                  </w:r>
                </w:p>
              </w:tc>
              <w:tc>
                <w:tcPr>
                  <w:tcW w:w="1234" w:type="dxa"/>
                  <w:vMerge w:val="restart"/>
                  <w:tcBorders>
                    <w:top w:val="single" w:color="auto" w:sz="12" w:space="0"/>
                  </w:tcBorders>
                  <w:vAlign w:val="center"/>
                </w:tcPr>
                <w:p w14:paraId="2FEF139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长山口卫生填埋场总排口</w:t>
                  </w:r>
                </w:p>
              </w:tc>
            </w:tr>
            <w:tr w14:paraId="678A81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6840BDA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restart"/>
                  <w:vAlign w:val="center"/>
                </w:tcPr>
                <w:p w14:paraId="328530B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《生活垃圾填埋场污染控制标准》GB16889-2008）</w:t>
                  </w:r>
                </w:p>
              </w:tc>
              <w:tc>
                <w:tcPr>
                  <w:tcW w:w="397" w:type="dxa"/>
                  <w:vMerge w:val="restart"/>
                  <w:vAlign w:val="center"/>
                </w:tcPr>
                <w:p w14:paraId="0C688F7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表2</w:t>
                  </w:r>
                </w:p>
              </w:tc>
              <w:tc>
                <w:tcPr>
                  <w:tcW w:w="1146" w:type="dxa"/>
                  <w:tcBorders>
                    <w:top w:val="single" w:color="auto" w:sz="4" w:space="0"/>
                    <w:bottom w:val="single" w:color="auto" w:sz="4" w:space="0"/>
                  </w:tcBorders>
                  <w:vAlign w:val="center"/>
                </w:tcPr>
                <w:p w14:paraId="244D587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COD</w:t>
                  </w:r>
                </w:p>
              </w:tc>
              <w:tc>
                <w:tcPr>
                  <w:tcW w:w="1339" w:type="dxa"/>
                  <w:tcBorders>
                    <w:top w:val="single" w:color="auto" w:sz="4" w:space="0"/>
                    <w:bottom w:val="single" w:color="auto" w:sz="4" w:space="0"/>
                  </w:tcBorders>
                  <w:vAlign w:val="center"/>
                </w:tcPr>
                <w:p w14:paraId="490014F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100</w:t>
                  </w:r>
                </w:p>
              </w:tc>
              <w:tc>
                <w:tcPr>
                  <w:tcW w:w="1234" w:type="dxa"/>
                  <w:vMerge w:val="continue"/>
                  <w:vAlign w:val="center"/>
                </w:tcPr>
                <w:p w14:paraId="08264B6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03EDA6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37EA01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20635A9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397" w:type="dxa"/>
                  <w:vMerge w:val="continue"/>
                  <w:vAlign w:val="center"/>
                </w:tcPr>
                <w:p w14:paraId="4406072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1146" w:type="dxa"/>
                  <w:tcBorders>
                    <w:top w:val="single" w:color="auto" w:sz="4" w:space="0"/>
                    <w:bottom w:val="single" w:color="auto" w:sz="4" w:space="0"/>
                  </w:tcBorders>
                  <w:vAlign w:val="center"/>
                </w:tcPr>
                <w:p w14:paraId="7276B36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BOD</w:t>
                  </w:r>
                  <w:r>
                    <w:rPr>
                      <w:rFonts w:hint="eastAsia"/>
                      <w:color w:val="auto"/>
                      <w:kern w:val="0"/>
                      <w:sz w:val="18"/>
                      <w:szCs w:val="18"/>
                      <w:highlight w:val="none"/>
                      <w:vertAlign w:val="subscript"/>
                    </w:rPr>
                    <w:t>5</w:t>
                  </w:r>
                </w:p>
              </w:tc>
              <w:tc>
                <w:tcPr>
                  <w:tcW w:w="1339" w:type="dxa"/>
                  <w:tcBorders>
                    <w:top w:val="single" w:color="auto" w:sz="4" w:space="0"/>
                    <w:bottom w:val="single" w:color="auto" w:sz="4" w:space="0"/>
                  </w:tcBorders>
                  <w:vAlign w:val="center"/>
                </w:tcPr>
                <w:p w14:paraId="4DDFA89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30</w:t>
                  </w:r>
                </w:p>
              </w:tc>
              <w:tc>
                <w:tcPr>
                  <w:tcW w:w="1234" w:type="dxa"/>
                  <w:vMerge w:val="continue"/>
                  <w:vAlign w:val="center"/>
                </w:tcPr>
                <w:p w14:paraId="3FA117F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61DAB1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3039DFE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71470A5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397" w:type="dxa"/>
                  <w:vMerge w:val="continue"/>
                  <w:vAlign w:val="center"/>
                </w:tcPr>
                <w:p w14:paraId="20778F5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1146" w:type="dxa"/>
                  <w:tcBorders>
                    <w:top w:val="single" w:color="auto" w:sz="4" w:space="0"/>
                    <w:bottom w:val="single" w:color="auto" w:sz="4" w:space="0"/>
                  </w:tcBorders>
                  <w:vAlign w:val="center"/>
                </w:tcPr>
                <w:p w14:paraId="0D71196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SS</w:t>
                  </w:r>
                </w:p>
              </w:tc>
              <w:tc>
                <w:tcPr>
                  <w:tcW w:w="1339" w:type="dxa"/>
                  <w:tcBorders>
                    <w:top w:val="single" w:color="auto" w:sz="4" w:space="0"/>
                    <w:bottom w:val="single" w:color="auto" w:sz="4" w:space="0"/>
                  </w:tcBorders>
                  <w:vAlign w:val="center"/>
                </w:tcPr>
                <w:p w14:paraId="0A3EE5C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30</w:t>
                  </w:r>
                </w:p>
              </w:tc>
              <w:tc>
                <w:tcPr>
                  <w:tcW w:w="1234" w:type="dxa"/>
                  <w:vMerge w:val="continue"/>
                  <w:vAlign w:val="center"/>
                </w:tcPr>
                <w:p w14:paraId="51EC37B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6B4CAD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11FA246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6AE6695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397" w:type="dxa"/>
                  <w:vMerge w:val="continue"/>
                  <w:vAlign w:val="center"/>
                </w:tcPr>
                <w:p w14:paraId="37F1351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1146" w:type="dxa"/>
                  <w:tcBorders>
                    <w:top w:val="single" w:color="auto" w:sz="4" w:space="0"/>
                    <w:bottom w:val="single" w:color="auto" w:sz="4" w:space="0"/>
                  </w:tcBorders>
                  <w:vAlign w:val="center"/>
                </w:tcPr>
                <w:p w14:paraId="3A6EAD0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氨氮</w:t>
                  </w:r>
                </w:p>
              </w:tc>
              <w:tc>
                <w:tcPr>
                  <w:tcW w:w="1339" w:type="dxa"/>
                  <w:tcBorders>
                    <w:top w:val="single" w:color="auto" w:sz="4" w:space="0"/>
                    <w:bottom w:val="single" w:color="auto" w:sz="4" w:space="0"/>
                  </w:tcBorders>
                  <w:vAlign w:val="center"/>
                </w:tcPr>
                <w:p w14:paraId="252BB2B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25</w:t>
                  </w:r>
                </w:p>
              </w:tc>
              <w:tc>
                <w:tcPr>
                  <w:tcW w:w="1234" w:type="dxa"/>
                  <w:vMerge w:val="continue"/>
                  <w:vAlign w:val="center"/>
                </w:tcPr>
                <w:p w14:paraId="0A31731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78DED7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A2C7A1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74BA911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397" w:type="dxa"/>
                  <w:vMerge w:val="continue"/>
                  <w:vAlign w:val="center"/>
                </w:tcPr>
                <w:p w14:paraId="36326A1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1146" w:type="dxa"/>
                  <w:tcBorders>
                    <w:top w:val="single" w:color="auto" w:sz="4" w:space="0"/>
                    <w:bottom w:val="single" w:color="auto" w:sz="4" w:space="0"/>
                  </w:tcBorders>
                  <w:vAlign w:val="center"/>
                </w:tcPr>
                <w:p w14:paraId="36CCB8D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eastAsia="宋体"/>
                      <w:color w:val="auto"/>
                      <w:kern w:val="0"/>
                      <w:sz w:val="18"/>
                      <w:szCs w:val="18"/>
                      <w:highlight w:val="none"/>
                      <w:lang w:eastAsia="zh-CN"/>
                    </w:rPr>
                  </w:pPr>
                  <w:r>
                    <w:rPr>
                      <w:rFonts w:hint="eastAsia"/>
                      <w:color w:val="auto"/>
                      <w:kern w:val="0"/>
                      <w:sz w:val="18"/>
                      <w:szCs w:val="18"/>
                      <w:highlight w:val="none"/>
                      <w:lang w:eastAsia="zh-CN"/>
                    </w:rPr>
                    <w:t>总氮</w:t>
                  </w:r>
                </w:p>
              </w:tc>
              <w:tc>
                <w:tcPr>
                  <w:tcW w:w="1339" w:type="dxa"/>
                  <w:tcBorders>
                    <w:top w:val="single" w:color="auto" w:sz="4" w:space="0"/>
                    <w:bottom w:val="single" w:color="auto" w:sz="4" w:space="0"/>
                  </w:tcBorders>
                  <w:vAlign w:val="center"/>
                </w:tcPr>
                <w:p w14:paraId="7CD125E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olor w:val="auto"/>
                      <w:kern w:val="0"/>
                      <w:sz w:val="18"/>
                      <w:szCs w:val="18"/>
                      <w:highlight w:val="none"/>
                      <w:lang w:val="en-US" w:eastAsia="zh-CN"/>
                    </w:rPr>
                  </w:pPr>
                  <w:r>
                    <w:rPr>
                      <w:rFonts w:hint="eastAsia"/>
                      <w:color w:val="auto"/>
                      <w:kern w:val="0"/>
                      <w:sz w:val="18"/>
                      <w:szCs w:val="18"/>
                      <w:highlight w:val="none"/>
                      <w:lang w:val="en-US" w:eastAsia="zh-CN"/>
                    </w:rPr>
                    <w:t>40</w:t>
                  </w:r>
                </w:p>
              </w:tc>
              <w:tc>
                <w:tcPr>
                  <w:tcW w:w="1234" w:type="dxa"/>
                  <w:vMerge w:val="continue"/>
                  <w:vAlign w:val="center"/>
                </w:tcPr>
                <w:p w14:paraId="2D652AD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561E66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tcBorders>
                    <w:bottom w:val="single" w:color="auto" w:sz="4" w:space="0"/>
                  </w:tcBorders>
                  <w:vAlign w:val="center"/>
                </w:tcPr>
                <w:p w14:paraId="40CD54B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tcBorders>
                    <w:bottom w:val="single" w:color="auto" w:sz="4" w:space="0"/>
                  </w:tcBorders>
                  <w:vAlign w:val="center"/>
                </w:tcPr>
                <w:p w14:paraId="0AC10AA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397" w:type="dxa"/>
                  <w:vMerge w:val="continue"/>
                  <w:tcBorders>
                    <w:bottom w:val="single" w:color="auto" w:sz="4" w:space="0"/>
                  </w:tcBorders>
                  <w:vAlign w:val="center"/>
                </w:tcPr>
                <w:p w14:paraId="077FD3F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1146" w:type="dxa"/>
                  <w:tcBorders>
                    <w:top w:val="single" w:color="auto" w:sz="4" w:space="0"/>
                    <w:bottom w:val="single" w:color="auto" w:sz="4" w:space="0"/>
                  </w:tcBorders>
                  <w:vAlign w:val="center"/>
                </w:tcPr>
                <w:p w14:paraId="3B9A31C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r>
                    <w:rPr>
                      <w:rFonts w:hint="eastAsia"/>
                      <w:color w:val="auto"/>
                      <w:kern w:val="0"/>
                      <w:sz w:val="18"/>
                      <w:szCs w:val="18"/>
                      <w:highlight w:val="none"/>
                    </w:rPr>
                    <w:t>总磷</w:t>
                  </w:r>
                </w:p>
              </w:tc>
              <w:tc>
                <w:tcPr>
                  <w:tcW w:w="1339" w:type="dxa"/>
                  <w:tcBorders>
                    <w:top w:val="single" w:color="auto" w:sz="4" w:space="0"/>
                    <w:bottom w:val="single" w:color="auto" w:sz="4" w:space="0"/>
                  </w:tcBorders>
                  <w:vAlign w:val="center"/>
                </w:tcPr>
                <w:p w14:paraId="1412EA0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eastAsia="宋体"/>
                      <w:color w:val="auto"/>
                      <w:kern w:val="0"/>
                      <w:sz w:val="18"/>
                      <w:szCs w:val="18"/>
                      <w:highlight w:val="none"/>
                      <w:lang w:val="en-US" w:eastAsia="zh-CN"/>
                    </w:rPr>
                  </w:pPr>
                  <w:r>
                    <w:rPr>
                      <w:rFonts w:hint="eastAsia"/>
                      <w:color w:val="auto"/>
                      <w:kern w:val="0"/>
                      <w:sz w:val="18"/>
                      <w:szCs w:val="18"/>
                      <w:highlight w:val="none"/>
                      <w:lang w:val="en-US" w:eastAsia="zh-CN"/>
                    </w:rPr>
                    <w:t>3</w:t>
                  </w:r>
                </w:p>
              </w:tc>
              <w:tc>
                <w:tcPr>
                  <w:tcW w:w="1234" w:type="dxa"/>
                  <w:vMerge w:val="continue"/>
                  <w:tcBorders>
                    <w:bottom w:val="single" w:color="auto" w:sz="4" w:space="0"/>
                  </w:tcBorders>
                  <w:vAlign w:val="center"/>
                </w:tcPr>
                <w:p w14:paraId="2673997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r>
            <w:tr w14:paraId="6921F8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restart"/>
                  <w:vAlign w:val="center"/>
                </w:tcPr>
                <w:p w14:paraId="42F6E53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废气</w:t>
                  </w:r>
                </w:p>
              </w:tc>
              <w:tc>
                <w:tcPr>
                  <w:tcW w:w="2366" w:type="dxa"/>
                  <w:vMerge w:val="restart"/>
                  <w:vAlign w:val="center"/>
                </w:tcPr>
                <w:p w14:paraId="4B033FB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hint="eastAsia" w:ascii="Times New Roman" w:hAnsi="Times New Roman"/>
                      <w:color w:val="auto"/>
                      <w:sz w:val="18"/>
                      <w:szCs w:val="18"/>
                      <w:highlight w:val="none"/>
                    </w:rPr>
                    <w:t>《锅炉大气污染物排放标准》</w:t>
                  </w:r>
                </w:p>
                <w:p w14:paraId="42300CF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（GB13271-2014）</w:t>
                  </w:r>
                </w:p>
              </w:tc>
              <w:tc>
                <w:tcPr>
                  <w:tcW w:w="397" w:type="dxa"/>
                  <w:vMerge w:val="restart"/>
                  <w:vAlign w:val="center"/>
                </w:tcPr>
                <w:p w14:paraId="37A1EB9C">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表</w:t>
                  </w:r>
                  <w:r>
                    <w:rPr>
                      <w:rFonts w:hint="eastAsia" w:ascii="Times New Roman" w:hAnsi="Times New Roman"/>
                      <w:color w:val="auto"/>
                      <w:sz w:val="18"/>
                      <w:szCs w:val="18"/>
                      <w:highlight w:val="none"/>
                      <w:lang w:val="en-US" w:eastAsia="zh-CN"/>
                    </w:rPr>
                    <w:t>3</w:t>
                  </w:r>
                  <w:r>
                    <w:rPr>
                      <w:rFonts w:hint="eastAsia" w:ascii="Times New Roman" w:hAnsi="Times New Roman"/>
                      <w:color w:val="auto"/>
                      <w:sz w:val="18"/>
                      <w:szCs w:val="18"/>
                      <w:highlight w:val="none"/>
                    </w:rPr>
                    <w:t>燃气锅炉</w:t>
                  </w:r>
                </w:p>
              </w:tc>
              <w:tc>
                <w:tcPr>
                  <w:tcW w:w="1146" w:type="dxa"/>
                  <w:vAlign w:val="center"/>
                </w:tcPr>
                <w:p w14:paraId="2C2D813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颗粒物</w:t>
                  </w:r>
                </w:p>
              </w:tc>
              <w:tc>
                <w:tcPr>
                  <w:tcW w:w="1339" w:type="dxa"/>
                  <w:vAlign w:val="center"/>
                </w:tcPr>
                <w:p w14:paraId="48020BCA">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20mg/m</w:t>
                  </w:r>
                  <w:r>
                    <w:rPr>
                      <w:rFonts w:hint="eastAsia" w:ascii="Times New Roman" w:hAnsi="Times New Roman"/>
                      <w:color w:val="auto"/>
                      <w:sz w:val="18"/>
                      <w:szCs w:val="18"/>
                      <w:highlight w:val="none"/>
                      <w:vertAlign w:val="superscript"/>
                    </w:rPr>
                    <w:t>3</w:t>
                  </w:r>
                </w:p>
              </w:tc>
              <w:tc>
                <w:tcPr>
                  <w:tcW w:w="1234" w:type="dxa"/>
                  <w:vMerge w:val="restart"/>
                  <w:vAlign w:val="center"/>
                </w:tcPr>
                <w:p w14:paraId="6AE52AC9">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auto"/>
                      <w:kern w:val="0"/>
                      <w:sz w:val="18"/>
                      <w:szCs w:val="18"/>
                      <w:highlight w:val="none"/>
                      <w:lang w:val="en-US" w:eastAsia="zh-CN"/>
                    </w:rPr>
                  </w:pPr>
                  <w:r>
                    <w:rPr>
                      <w:rFonts w:hint="eastAsia" w:ascii="Times New Roman" w:hAnsi="Times New Roman"/>
                      <w:color w:val="auto"/>
                      <w:kern w:val="0"/>
                      <w:sz w:val="18"/>
                      <w:szCs w:val="18"/>
                      <w:highlight w:val="none"/>
                      <w:lang w:eastAsia="zh-CN"/>
                    </w:rPr>
                    <w:t>有组织废气</w:t>
                  </w:r>
                  <w:r>
                    <w:rPr>
                      <w:rFonts w:hint="eastAsia" w:ascii="Times New Roman" w:hAnsi="Times New Roman"/>
                      <w:color w:val="auto"/>
                      <w:kern w:val="0"/>
                      <w:sz w:val="18"/>
                      <w:szCs w:val="18"/>
                      <w:highlight w:val="none"/>
                      <w:lang w:val="en-US" w:eastAsia="zh-CN"/>
                    </w:rPr>
                    <w:t>DA005~DA010</w:t>
                  </w:r>
                </w:p>
              </w:tc>
            </w:tr>
            <w:tr w14:paraId="77993C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35F213D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695DB1DC">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c>
                <w:tcPr>
                  <w:tcW w:w="397" w:type="dxa"/>
                  <w:vMerge w:val="continue"/>
                  <w:vAlign w:val="center"/>
                </w:tcPr>
                <w:p w14:paraId="2E448E6D">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p>
              </w:tc>
              <w:tc>
                <w:tcPr>
                  <w:tcW w:w="1146" w:type="dxa"/>
                  <w:vAlign w:val="center"/>
                </w:tcPr>
                <w:p w14:paraId="61F498FF">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SO</w:t>
                  </w:r>
                  <w:r>
                    <w:rPr>
                      <w:rFonts w:hint="eastAsia" w:ascii="Times New Roman" w:hAnsi="Times New Roman"/>
                      <w:color w:val="auto"/>
                      <w:sz w:val="18"/>
                      <w:szCs w:val="18"/>
                      <w:highlight w:val="none"/>
                      <w:vertAlign w:val="subscript"/>
                    </w:rPr>
                    <w:t>2</w:t>
                  </w:r>
                </w:p>
              </w:tc>
              <w:tc>
                <w:tcPr>
                  <w:tcW w:w="1339" w:type="dxa"/>
                  <w:vAlign w:val="center"/>
                </w:tcPr>
                <w:p w14:paraId="43980FE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50mg/m</w:t>
                  </w:r>
                  <w:r>
                    <w:rPr>
                      <w:rFonts w:hint="eastAsia" w:ascii="Times New Roman" w:hAnsi="Times New Roman"/>
                      <w:color w:val="auto"/>
                      <w:sz w:val="18"/>
                      <w:szCs w:val="18"/>
                      <w:highlight w:val="none"/>
                      <w:vertAlign w:val="superscript"/>
                    </w:rPr>
                    <w:t>3</w:t>
                  </w:r>
                </w:p>
              </w:tc>
              <w:tc>
                <w:tcPr>
                  <w:tcW w:w="1234" w:type="dxa"/>
                  <w:vMerge w:val="continue"/>
                  <w:vAlign w:val="center"/>
                </w:tcPr>
                <w:p w14:paraId="0F9A4850">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r>
            <w:tr w14:paraId="12A9F7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09A7D20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587674C9">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c>
                <w:tcPr>
                  <w:tcW w:w="397" w:type="dxa"/>
                  <w:vMerge w:val="continue"/>
                  <w:vAlign w:val="center"/>
                </w:tcPr>
                <w:p w14:paraId="58AE9C1D">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p>
              </w:tc>
              <w:tc>
                <w:tcPr>
                  <w:tcW w:w="1146" w:type="dxa"/>
                  <w:vAlign w:val="center"/>
                </w:tcPr>
                <w:p w14:paraId="0C4AC85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NO</w:t>
                  </w:r>
                  <w:r>
                    <w:rPr>
                      <w:rFonts w:hint="eastAsia" w:ascii="Times New Roman" w:hAnsi="Times New Roman"/>
                      <w:color w:val="auto"/>
                      <w:sz w:val="18"/>
                      <w:szCs w:val="18"/>
                      <w:highlight w:val="none"/>
                      <w:vertAlign w:val="subscript"/>
                    </w:rPr>
                    <w:t>X</w:t>
                  </w:r>
                </w:p>
              </w:tc>
              <w:tc>
                <w:tcPr>
                  <w:tcW w:w="1339" w:type="dxa"/>
                  <w:vAlign w:val="center"/>
                </w:tcPr>
                <w:p w14:paraId="19296236">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lang w:val="en-US" w:eastAsia="zh-CN"/>
                    </w:rPr>
                    <w:t>15</w:t>
                  </w:r>
                  <w:r>
                    <w:rPr>
                      <w:rFonts w:hint="eastAsia" w:ascii="Times New Roman" w:hAnsi="Times New Roman"/>
                      <w:color w:val="auto"/>
                      <w:sz w:val="18"/>
                      <w:szCs w:val="18"/>
                      <w:highlight w:val="none"/>
                    </w:rPr>
                    <w:t>0mg/m</w:t>
                  </w:r>
                  <w:r>
                    <w:rPr>
                      <w:rFonts w:hint="eastAsia" w:ascii="Times New Roman" w:hAnsi="Times New Roman"/>
                      <w:color w:val="auto"/>
                      <w:sz w:val="18"/>
                      <w:szCs w:val="18"/>
                      <w:highlight w:val="none"/>
                      <w:vertAlign w:val="superscript"/>
                    </w:rPr>
                    <w:t>3</w:t>
                  </w:r>
                </w:p>
              </w:tc>
              <w:tc>
                <w:tcPr>
                  <w:tcW w:w="1234" w:type="dxa"/>
                  <w:vMerge w:val="continue"/>
                  <w:vAlign w:val="center"/>
                </w:tcPr>
                <w:p w14:paraId="0FC4773E">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r>
            <w:tr w14:paraId="2831CB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2A41AE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olor w:val="auto"/>
                      <w:kern w:val="0"/>
                      <w:sz w:val="18"/>
                      <w:szCs w:val="18"/>
                      <w:highlight w:val="none"/>
                    </w:rPr>
                  </w:pPr>
                </w:p>
              </w:tc>
              <w:tc>
                <w:tcPr>
                  <w:tcW w:w="2366" w:type="dxa"/>
                  <w:vMerge w:val="continue"/>
                  <w:vAlign w:val="center"/>
                </w:tcPr>
                <w:p w14:paraId="16786F3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c>
                <w:tcPr>
                  <w:tcW w:w="397" w:type="dxa"/>
                  <w:vMerge w:val="continue"/>
                  <w:vAlign w:val="center"/>
                </w:tcPr>
                <w:p w14:paraId="69820ED2">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p>
              </w:tc>
              <w:tc>
                <w:tcPr>
                  <w:tcW w:w="1146" w:type="dxa"/>
                  <w:vAlign w:val="center"/>
                </w:tcPr>
                <w:p w14:paraId="143F6E28">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林格曼黑度</w:t>
                  </w:r>
                </w:p>
              </w:tc>
              <w:tc>
                <w:tcPr>
                  <w:tcW w:w="1339" w:type="dxa"/>
                  <w:vAlign w:val="center"/>
                </w:tcPr>
                <w:p w14:paraId="37A6067D">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rPr>
                    <w:t>≤1</w:t>
                  </w:r>
                  <w:r>
                    <w:rPr>
                      <w:rFonts w:hint="eastAsia" w:ascii="Times New Roman" w:hAnsi="Times New Roman"/>
                      <w:color w:val="auto"/>
                      <w:sz w:val="18"/>
                      <w:szCs w:val="18"/>
                      <w:highlight w:val="none"/>
                      <w:lang w:eastAsia="zh-CN"/>
                    </w:rPr>
                    <w:t>（级）</w:t>
                  </w:r>
                </w:p>
              </w:tc>
              <w:tc>
                <w:tcPr>
                  <w:tcW w:w="1234" w:type="dxa"/>
                  <w:vMerge w:val="continue"/>
                  <w:vAlign w:val="center"/>
                </w:tcPr>
                <w:p w14:paraId="1AA07B14">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r>
            <w:tr w14:paraId="6C4C15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16BFE4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p>
              </w:tc>
              <w:tc>
                <w:tcPr>
                  <w:tcW w:w="2366" w:type="dxa"/>
                  <w:vMerge w:val="restart"/>
                  <w:vAlign w:val="center"/>
                </w:tcPr>
                <w:p w14:paraId="2238A2F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ascii="Times New Roman" w:hAnsi="Times New Roman"/>
                      <w:color w:val="auto"/>
                      <w:sz w:val="18"/>
                      <w:szCs w:val="18"/>
                      <w:highlight w:val="none"/>
                    </w:rPr>
                    <w:t>《恶臭污染物排放标准》</w:t>
                  </w:r>
                  <w:r>
                    <w:rPr>
                      <w:rFonts w:hint="eastAsia" w:ascii="Times New Roman" w:hAnsi="Times New Roman"/>
                      <w:color w:val="auto"/>
                      <w:sz w:val="18"/>
                      <w:szCs w:val="18"/>
                      <w:highlight w:val="none"/>
                    </w:rPr>
                    <w:t>（</w:t>
                  </w:r>
                  <w:r>
                    <w:rPr>
                      <w:rFonts w:ascii="Times New Roman" w:hAnsi="Times New Roman"/>
                      <w:color w:val="auto"/>
                      <w:sz w:val="18"/>
                      <w:szCs w:val="18"/>
                      <w:highlight w:val="none"/>
                    </w:rPr>
                    <w:t>GB14554-93</w:t>
                  </w:r>
                  <w:r>
                    <w:rPr>
                      <w:rFonts w:hint="eastAsia" w:ascii="Times New Roman" w:hAnsi="Times New Roman"/>
                      <w:color w:val="auto"/>
                      <w:sz w:val="18"/>
                      <w:szCs w:val="18"/>
                      <w:highlight w:val="none"/>
                    </w:rPr>
                    <w:t>）</w:t>
                  </w:r>
                </w:p>
              </w:tc>
              <w:tc>
                <w:tcPr>
                  <w:tcW w:w="397" w:type="dxa"/>
                  <w:vAlign w:val="center"/>
                </w:tcPr>
                <w:p w14:paraId="2D382C5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olor w:val="auto"/>
                      <w:sz w:val="18"/>
                      <w:szCs w:val="18"/>
                      <w:highlight w:val="none"/>
                    </w:rPr>
                    <w:t>表2</w:t>
                  </w:r>
                </w:p>
              </w:tc>
              <w:tc>
                <w:tcPr>
                  <w:tcW w:w="1146" w:type="dxa"/>
                  <w:vAlign w:val="center"/>
                </w:tcPr>
                <w:p w14:paraId="173A30D8">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snapToGrid w:val="0"/>
                      <w:color w:val="auto"/>
                      <w:kern w:val="0"/>
                      <w:sz w:val="18"/>
                      <w:szCs w:val="18"/>
                      <w:highlight w:val="none"/>
                      <w:lang w:eastAsia="zh-CN"/>
                    </w:rPr>
                    <w:t>氨</w:t>
                  </w:r>
                </w:p>
              </w:tc>
              <w:tc>
                <w:tcPr>
                  <w:tcW w:w="1339" w:type="dxa"/>
                  <w:vAlign w:val="center"/>
                </w:tcPr>
                <w:p w14:paraId="6A4C8956">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color w:val="auto"/>
                      <w:sz w:val="18"/>
                      <w:szCs w:val="18"/>
                      <w:highlight w:val="none"/>
                      <w:lang w:val="en-US" w:eastAsia="zh-CN"/>
                    </w:rPr>
                    <w:t>4.9kg/h</w:t>
                  </w:r>
                </w:p>
              </w:tc>
              <w:tc>
                <w:tcPr>
                  <w:tcW w:w="1234" w:type="dxa"/>
                  <w:vMerge w:val="continue"/>
                  <w:vAlign w:val="center"/>
                </w:tcPr>
                <w:p w14:paraId="0ADC5234">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p>
              </w:tc>
            </w:tr>
            <w:tr w14:paraId="1FC081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3549312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p>
              </w:tc>
              <w:tc>
                <w:tcPr>
                  <w:tcW w:w="2366" w:type="dxa"/>
                  <w:vMerge w:val="continue"/>
                  <w:vAlign w:val="center"/>
                </w:tcPr>
                <w:p w14:paraId="6689FD2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p>
              </w:tc>
              <w:tc>
                <w:tcPr>
                  <w:tcW w:w="397" w:type="dxa"/>
                  <w:vMerge w:val="restart"/>
                  <w:vAlign w:val="center"/>
                </w:tcPr>
                <w:p w14:paraId="7BFE46B8">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olor w:val="auto"/>
                      <w:sz w:val="18"/>
                      <w:szCs w:val="18"/>
                      <w:highlight w:val="none"/>
                    </w:rPr>
                    <w:t>表1</w:t>
                  </w:r>
                </w:p>
              </w:tc>
              <w:tc>
                <w:tcPr>
                  <w:tcW w:w="1146" w:type="dxa"/>
                  <w:vAlign w:val="center"/>
                </w:tcPr>
                <w:p w14:paraId="3C065C98">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snapToGrid w:val="0"/>
                      <w:color w:val="auto"/>
                      <w:kern w:val="0"/>
                      <w:sz w:val="18"/>
                      <w:szCs w:val="18"/>
                      <w:highlight w:val="none"/>
                      <w:lang w:eastAsia="zh-CN"/>
                    </w:rPr>
                    <w:t>氨</w:t>
                  </w:r>
                </w:p>
              </w:tc>
              <w:tc>
                <w:tcPr>
                  <w:tcW w:w="1339" w:type="dxa"/>
                  <w:vAlign w:val="center"/>
                </w:tcPr>
                <w:p w14:paraId="550EB15B">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ascii="Times New Roman" w:hAnsi="Times New Roman"/>
                      <w:color w:val="auto"/>
                      <w:sz w:val="18"/>
                      <w:szCs w:val="18"/>
                      <w:highlight w:val="none"/>
                    </w:rPr>
                    <w:t>1.5mg/m</w:t>
                  </w:r>
                  <w:r>
                    <w:rPr>
                      <w:rFonts w:ascii="Times New Roman" w:hAnsi="Times New Roman"/>
                      <w:color w:val="auto"/>
                      <w:sz w:val="18"/>
                      <w:szCs w:val="18"/>
                      <w:highlight w:val="none"/>
                      <w:vertAlign w:val="superscript"/>
                    </w:rPr>
                    <w:t>3</w:t>
                  </w:r>
                </w:p>
              </w:tc>
              <w:tc>
                <w:tcPr>
                  <w:tcW w:w="1234" w:type="dxa"/>
                  <w:vMerge w:val="restart"/>
                  <w:vAlign w:val="center"/>
                </w:tcPr>
                <w:p w14:paraId="58ABA87C">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auto"/>
                      <w:kern w:val="0"/>
                      <w:sz w:val="18"/>
                      <w:szCs w:val="18"/>
                      <w:highlight w:val="none"/>
                      <w:lang w:val="en-US" w:eastAsia="zh-CN" w:bidi="ar-SA"/>
                    </w:rPr>
                  </w:pPr>
                  <w:r>
                    <w:rPr>
                      <w:rFonts w:hint="eastAsia" w:ascii="Times New Roman" w:hAnsi="Times New Roman" w:cs="Times New Roman"/>
                      <w:snapToGrid w:val="0"/>
                      <w:color w:val="auto"/>
                      <w:kern w:val="0"/>
                      <w:sz w:val="18"/>
                      <w:szCs w:val="18"/>
                      <w:highlight w:val="none"/>
                      <w:lang w:val="en-US" w:eastAsia="zh-CN" w:bidi="ar-SA"/>
                    </w:rPr>
                    <w:t>无组织废气</w:t>
                  </w:r>
                </w:p>
              </w:tc>
            </w:tr>
            <w:tr w14:paraId="6D5444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2EF990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p>
              </w:tc>
              <w:tc>
                <w:tcPr>
                  <w:tcW w:w="2366" w:type="dxa"/>
                  <w:vMerge w:val="continue"/>
                  <w:vAlign w:val="center"/>
                </w:tcPr>
                <w:p w14:paraId="68B1E12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p>
              </w:tc>
              <w:tc>
                <w:tcPr>
                  <w:tcW w:w="397" w:type="dxa"/>
                  <w:vMerge w:val="continue"/>
                  <w:vAlign w:val="center"/>
                </w:tcPr>
                <w:p w14:paraId="0E1B8C1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p>
              </w:tc>
              <w:tc>
                <w:tcPr>
                  <w:tcW w:w="1146" w:type="dxa"/>
                  <w:vAlign w:val="center"/>
                </w:tcPr>
                <w:p w14:paraId="07900D0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auto"/>
                      <w:kern w:val="0"/>
                      <w:sz w:val="18"/>
                      <w:szCs w:val="18"/>
                      <w:highlight w:val="none"/>
                      <w:lang w:val="en-US" w:eastAsia="zh-CN" w:bidi="ar-SA"/>
                    </w:rPr>
                  </w:pPr>
                  <w:r>
                    <w:rPr>
                      <w:rFonts w:hint="eastAsia" w:ascii="Times New Roman" w:hAnsi="Times New Roman"/>
                      <w:snapToGrid w:val="0"/>
                      <w:color w:val="auto"/>
                      <w:kern w:val="0"/>
                      <w:sz w:val="18"/>
                      <w:szCs w:val="18"/>
                      <w:highlight w:val="none"/>
                      <w:lang w:eastAsia="zh-CN"/>
                    </w:rPr>
                    <w:t>硫化氢</w:t>
                  </w:r>
                </w:p>
              </w:tc>
              <w:tc>
                <w:tcPr>
                  <w:tcW w:w="1339" w:type="dxa"/>
                  <w:vAlign w:val="center"/>
                </w:tcPr>
                <w:p w14:paraId="390ED6E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olor w:val="auto"/>
                      <w:sz w:val="18"/>
                      <w:szCs w:val="18"/>
                      <w:highlight w:val="none"/>
                      <w:lang w:val="en-US" w:eastAsia="zh-CN"/>
                    </w:rPr>
                  </w:pPr>
                  <w:r>
                    <w:rPr>
                      <w:rFonts w:hint="eastAsia" w:ascii="Times New Roman" w:hAnsi="Times New Roman"/>
                      <w:color w:val="auto"/>
                      <w:sz w:val="18"/>
                      <w:szCs w:val="18"/>
                      <w:highlight w:val="none"/>
                      <w:lang w:val="en-US" w:eastAsia="zh-CN"/>
                    </w:rPr>
                    <w:t>0.06</w:t>
                  </w:r>
                  <w:r>
                    <w:rPr>
                      <w:rFonts w:ascii="Times New Roman" w:hAnsi="Times New Roman"/>
                      <w:color w:val="auto"/>
                      <w:sz w:val="18"/>
                      <w:szCs w:val="18"/>
                      <w:highlight w:val="none"/>
                    </w:rPr>
                    <w:t>mg/m</w:t>
                  </w:r>
                  <w:r>
                    <w:rPr>
                      <w:rFonts w:ascii="Times New Roman" w:hAnsi="Times New Roman"/>
                      <w:color w:val="auto"/>
                      <w:sz w:val="18"/>
                      <w:szCs w:val="18"/>
                      <w:highlight w:val="none"/>
                      <w:vertAlign w:val="superscript"/>
                    </w:rPr>
                    <w:t>3</w:t>
                  </w:r>
                </w:p>
              </w:tc>
              <w:tc>
                <w:tcPr>
                  <w:tcW w:w="1234" w:type="dxa"/>
                  <w:vMerge w:val="continue"/>
                  <w:vAlign w:val="center"/>
                </w:tcPr>
                <w:p w14:paraId="5039EB9A">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auto"/>
                      <w:kern w:val="0"/>
                      <w:sz w:val="18"/>
                      <w:szCs w:val="18"/>
                      <w:highlight w:val="none"/>
                      <w:lang w:val="en-US" w:eastAsia="zh-CN" w:bidi="ar-SA"/>
                    </w:rPr>
                  </w:pPr>
                </w:p>
              </w:tc>
            </w:tr>
            <w:tr w14:paraId="6932AB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2147176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p>
              </w:tc>
              <w:tc>
                <w:tcPr>
                  <w:tcW w:w="2366" w:type="dxa"/>
                  <w:vMerge w:val="continue"/>
                  <w:vAlign w:val="center"/>
                </w:tcPr>
                <w:p w14:paraId="10888CD6">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p>
              </w:tc>
              <w:tc>
                <w:tcPr>
                  <w:tcW w:w="397" w:type="dxa"/>
                  <w:vMerge w:val="continue"/>
                  <w:vAlign w:val="center"/>
                </w:tcPr>
                <w:p w14:paraId="3F0DB53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p>
              </w:tc>
              <w:tc>
                <w:tcPr>
                  <w:tcW w:w="1146" w:type="dxa"/>
                  <w:vAlign w:val="center"/>
                </w:tcPr>
                <w:p w14:paraId="1CE8A20D">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auto"/>
                      <w:kern w:val="0"/>
                      <w:sz w:val="18"/>
                      <w:szCs w:val="18"/>
                      <w:highlight w:val="none"/>
                      <w:lang w:val="en-US" w:eastAsia="zh-CN" w:bidi="ar-SA"/>
                    </w:rPr>
                  </w:pPr>
                  <w:r>
                    <w:rPr>
                      <w:rFonts w:hint="eastAsia" w:ascii="Times New Roman" w:hAnsi="Times New Roman"/>
                      <w:snapToGrid w:val="0"/>
                      <w:color w:val="auto"/>
                      <w:kern w:val="0"/>
                      <w:sz w:val="18"/>
                      <w:szCs w:val="18"/>
                      <w:highlight w:val="none"/>
                      <w:lang w:eastAsia="zh-CN"/>
                    </w:rPr>
                    <w:t>臭气浓度</w:t>
                  </w:r>
                </w:p>
              </w:tc>
              <w:tc>
                <w:tcPr>
                  <w:tcW w:w="1339" w:type="dxa"/>
                  <w:vAlign w:val="center"/>
                </w:tcPr>
                <w:p w14:paraId="671DDDC4">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cs="Times New Roman"/>
                      <w:color w:val="auto"/>
                      <w:kern w:val="2"/>
                      <w:sz w:val="18"/>
                      <w:szCs w:val="18"/>
                      <w:highlight w:val="none"/>
                      <w:lang w:val="en-US" w:eastAsia="zh-CN" w:bidi="ar-SA"/>
                    </w:rPr>
                    <w:t>20</w:t>
                  </w:r>
                  <w:r>
                    <w:rPr>
                      <w:color w:val="auto"/>
                      <w:sz w:val="18"/>
                      <w:szCs w:val="18"/>
                      <w:highlight w:val="none"/>
                    </w:rPr>
                    <w:t>（无量纲）</w:t>
                  </w:r>
                </w:p>
              </w:tc>
              <w:tc>
                <w:tcPr>
                  <w:tcW w:w="1234" w:type="dxa"/>
                  <w:vMerge w:val="continue"/>
                  <w:vAlign w:val="center"/>
                </w:tcPr>
                <w:p w14:paraId="365F7374">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r>
            <w:tr w14:paraId="317BEC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Merge w:val="continue"/>
                  <w:vAlign w:val="center"/>
                </w:tcPr>
                <w:p w14:paraId="434E7E4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p>
              </w:tc>
              <w:tc>
                <w:tcPr>
                  <w:tcW w:w="2366" w:type="dxa"/>
                  <w:vAlign w:val="center"/>
                </w:tcPr>
                <w:p w14:paraId="1817A053">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hint="eastAsia" w:ascii="Times New Roman" w:hAnsi="Times New Roman"/>
                      <w:color w:val="auto"/>
                      <w:sz w:val="18"/>
                      <w:szCs w:val="18"/>
                      <w:highlight w:val="none"/>
                    </w:rPr>
                    <w:t>《大气污染物综合排放标准》（GB16297-1996）</w:t>
                  </w:r>
                </w:p>
              </w:tc>
              <w:tc>
                <w:tcPr>
                  <w:tcW w:w="397" w:type="dxa"/>
                  <w:vAlign w:val="center"/>
                </w:tcPr>
                <w:p w14:paraId="48F59C2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eastAsia="宋体"/>
                      <w:color w:val="auto"/>
                      <w:sz w:val="18"/>
                      <w:szCs w:val="18"/>
                      <w:highlight w:val="none"/>
                      <w:lang w:val="en-US" w:eastAsia="zh-CN"/>
                    </w:rPr>
                  </w:pPr>
                  <w:r>
                    <w:rPr>
                      <w:rFonts w:hint="eastAsia"/>
                      <w:color w:val="auto"/>
                      <w:sz w:val="18"/>
                      <w:szCs w:val="18"/>
                      <w:highlight w:val="none"/>
                      <w:lang w:val="en-US" w:eastAsia="zh-CN"/>
                    </w:rPr>
                    <w:t>表2</w:t>
                  </w:r>
                </w:p>
              </w:tc>
              <w:tc>
                <w:tcPr>
                  <w:tcW w:w="1146" w:type="dxa"/>
                  <w:vAlign w:val="center"/>
                </w:tcPr>
                <w:p w14:paraId="11976205">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snapToGrid w:val="0"/>
                      <w:color w:val="auto"/>
                      <w:kern w:val="0"/>
                      <w:sz w:val="18"/>
                      <w:szCs w:val="18"/>
                      <w:highlight w:val="none"/>
                      <w:lang w:eastAsia="zh-CN"/>
                    </w:rPr>
                  </w:pPr>
                  <w:r>
                    <w:rPr>
                      <w:rFonts w:hint="eastAsia" w:ascii="Times New Roman" w:hAnsi="Times New Roman"/>
                      <w:snapToGrid w:val="0"/>
                      <w:color w:val="auto"/>
                      <w:kern w:val="0"/>
                      <w:sz w:val="18"/>
                      <w:szCs w:val="18"/>
                      <w:highlight w:val="none"/>
                      <w:lang w:eastAsia="zh-CN"/>
                    </w:rPr>
                    <w:t>颗粒物</w:t>
                  </w:r>
                </w:p>
              </w:tc>
              <w:tc>
                <w:tcPr>
                  <w:tcW w:w="1339" w:type="dxa"/>
                  <w:vAlign w:val="center"/>
                </w:tcPr>
                <w:p w14:paraId="33516A93">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auto"/>
                      <w:sz w:val="18"/>
                      <w:szCs w:val="18"/>
                      <w:highlight w:val="none"/>
                      <w:lang w:val="en-US" w:eastAsia="zh-CN"/>
                    </w:rPr>
                  </w:pPr>
                  <w:r>
                    <w:rPr>
                      <w:rFonts w:hint="eastAsia" w:ascii="Times New Roman" w:hAnsi="Times New Roman"/>
                      <w:color w:val="auto"/>
                      <w:sz w:val="18"/>
                      <w:szCs w:val="18"/>
                      <w:highlight w:val="none"/>
                      <w:lang w:val="en-US" w:eastAsia="zh-CN"/>
                    </w:rPr>
                    <w:t>1.0</w:t>
                  </w:r>
                  <w:r>
                    <w:rPr>
                      <w:rFonts w:ascii="Times New Roman" w:hAnsi="Times New Roman"/>
                      <w:color w:val="auto"/>
                      <w:sz w:val="18"/>
                      <w:szCs w:val="18"/>
                      <w:highlight w:val="none"/>
                    </w:rPr>
                    <w:t>mg/m</w:t>
                  </w:r>
                  <w:r>
                    <w:rPr>
                      <w:rFonts w:ascii="Times New Roman" w:hAnsi="Times New Roman"/>
                      <w:color w:val="auto"/>
                      <w:sz w:val="18"/>
                      <w:szCs w:val="18"/>
                      <w:highlight w:val="none"/>
                      <w:vertAlign w:val="superscript"/>
                    </w:rPr>
                    <w:t>3</w:t>
                  </w:r>
                </w:p>
              </w:tc>
              <w:tc>
                <w:tcPr>
                  <w:tcW w:w="1234" w:type="dxa"/>
                  <w:vMerge w:val="continue"/>
                  <w:vAlign w:val="center"/>
                </w:tcPr>
                <w:p w14:paraId="28E903E7">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olor w:val="auto"/>
                      <w:sz w:val="18"/>
                      <w:szCs w:val="18"/>
                      <w:highlight w:val="none"/>
                    </w:rPr>
                  </w:pPr>
                </w:p>
              </w:tc>
            </w:tr>
            <w:tr w14:paraId="06DD8E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5" w:type="dxa"/>
                  <w:vAlign w:val="center"/>
                </w:tcPr>
                <w:p w14:paraId="0826E19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color w:val="auto"/>
                      <w:kern w:val="0"/>
                      <w:sz w:val="18"/>
                      <w:szCs w:val="18"/>
                      <w:highlight w:val="none"/>
                    </w:rPr>
                  </w:pPr>
                  <w:r>
                    <w:rPr>
                      <w:rFonts w:hint="eastAsia"/>
                      <w:color w:val="auto"/>
                      <w:kern w:val="0"/>
                      <w:sz w:val="18"/>
                      <w:szCs w:val="18"/>
                      <w:highlight w:val="none"/>
                    </w:rPr>
                    <w:t>噪声</w:t>
                  </w:r>
                </w:p>
              </w:tc>
              <w:tc>
                <w:tcPr>
                  <w:tcW w:w="2366" w:type="dxa"/>
                  <w:vAlign w:val="center"/>
                </w:tcPr>
                <w:p w14:paraId="2E69C51F">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hint="eastAsia" w:ascii="Times New Roman" w:hAnsi="Times New Roman"/>
                      <w:color w:val="auto"/>
                      <w:sz w:val="18"/>
                      <w:szCs w:val="18"/>
                      <w:highlight w:val="none"/>
                    </w:rPr>
                    <w:t>《工业企业厂界环境噪声排放标准》（GB12348-2008）</w:t>
                  </w:r>
                </w:p>
              </w:tc>
              <w:tc>
                <w:tcPr>
                  <w:tcW w:w="397" w:type="dxa"/>
                  <w:vAlign w:val="center"/>
                </w:tcPr>
                <w:p w14:paraId="3C45FAB0">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hint="eastAsia" w:ascii="Times New Roman" w:hAnsi="Times New Roman"/>
                      <w:color w:val="auto"/>
                      <w:sz w:val="18"/>
                      <w:szCs w:val="18"/>
                      <w:highlight w:val="none"/>
                      <w:lang w:val="en-US" w:eastAsia="zh-CN"/>
                    </w:rPr>
                    <w:t>2</w:t>
                  </w:r>
                  <w:r>
                    <w:rPr>
                      <w:rFonts w:hint="eastAsia" w:ascii="Times New Roman" w:hAnsi="Times New Roman"/>
                      <w:color w:val="auto"/>
                      <w:sz w:val="18"/>
                      <w:szCs w:val="18"/>
                      <w:highlight w:val="none"/>
                    </w:rPr>
                    <w:t>类</w:t>
                  </w:r>
                </w:p>
              </w:tc>
              <w:tc>
                <w:tcPr>
                  <w:tcW w:w="1146" w:type="dxa"/>
                  <w:vAlign w:val="center"/>
                </w:tcPr>
                <w:p w14:paraId="5283090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ascii="Times New Roman" w:hAnsi="Times New Roman"/>
                      <w:color w:val="auto"/>
                      <w:sz w:val="18"/>
                      <w:szCs w:val="18"/>
                      <w:highlight w:val="none"/>
                    </w:rPr>
                    <w:t>等效连续声级(Le</w:t>
                  </w:r>
                  <w:r>
                    <w:rPr>
                      <w:rFonts w:hint="eastAsia" w:ascii="Times New Roman" w:hAnsi="Times New Roman"/>
                      <w:color w:val="auto"/>
                      <w:sz w:val="18"/>
                      <w:szCs w:val="18"/>
                      <w:highlight w:val="none"/>
                    </w:rPr>
                    <w:t>q</w:t>
                  </w:r>
                  <w:r>
                    <w:rPr>
                      <w:rFonts w:ascii="Times New Roman" w:hAnsi="Times New Roman"/>
                      <w:color w:val="auto"/>
                      <w:sz w:val="18"/>
                      <w:szCs w:val="18"/>
                      <w:highlight w:val="none"/>
                    </w:rPr>
                    <w:t>)</w:t>
                  </w:r>
                </w:p>
              </w:tc>
              <w:tc>
                <w:tcPr>
                  <w:tcW w:w="1339" w:type="dxa"/>
                  <w:vAlign w:val="center"/>
                </w:tcPr>
                <w:p w14:paraId="15731062">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ascii="Times New Roman" w:hAnsi="Times New Roman"/>
                      <w:color w:val="auto"/>
                      <w:sz w:val="18"/>
                      <w:szCs w:val="18"/>
                      <w:highlight w:val="none"/>
                    </w:rPr>
                    <w:t>昼间</w:t>
                  </w:r>
                  <w:r>
                    <w:rPr>
                      <w:rFonts w:hint="eastAsia" w:ascii="Times New Roman" w:hAnsi="Times New Roman"/>
                      <w:color w:val="auto"/>
                      <w:sz w:val="18"/>
                      <w:szCs w:val="18"/>
                      <w:highlight w:val="none"/>
                      <w:lang w:val="en-US" w:eastAsia="zh-CN"/>
                    </w:rPr>
                    <w:t>60</w:t>
                  </w:r>
                  <w:r>
                    <w:rPr>
                      <w:rFonts w:ascii="Times New Roman" w:hAnsi="Times New Roman"/>
                      <w:color w:val="auto"/>
                      <w:sz w:val="18"/>
                      <w:szCs w:val="18"/>
                      <w:highlight w:val="none"/>
                    </w:rPr>
                    <w:t>dB(A)</w:t>
                  </w:r>
                </w:p>
                <w:p w14:paraId="36C2C937">
                  <w:pPr>
                    <w:pStyle w:val="13"/>
                    <w:keepNext w:val="0"/>
                    <w:keepLines w:val="0"/>
                    <w:pageBreakBefore w:val="0"/>
                    <w:kinsoku/>
                    <w:wordWrap/>
                    <w:overflowPunct/>
                    <w:topLinePunct w:val="0"/>
                    <w:autoSpaceDE/>
                    <w:autoSpaceDN/>
                    <w:bidi w:val="0"/>
                    <w:adjustRightInd w:val="0"/>
                    <w:snapToGrid w:val="0"/>
                    <w:spacing w:line="240" w:lineRule="auto"/>
                    <w:jc w:val="center"/>
                    <w:textAlignment w:val="auto"/>
                    <w:rPr>
                      <w:rFonts w:ascii="Times New Roman" w:hAnsi="Times New Roman"/>
                      <w:color w:val="auto"/>
                      <w:sz w:val="18"/>
                      <w:szCs w:val="18"/>
                      <w:highlight w:val="none"/>
                    </w:rPr>
                  </w:pPr>
                  <w:r>
                    <w:rPr>
                      <w:rFonts w:ascii="Times New Roman" w:hAnsi="Times New Roman"/>
                      <w:color w:val="auto"/>
                      <w:sz w:val="18"/>
                      <w:szCs w:val="18"/>
                      <w:highlight w:val="none"/>
                    </w:rPr>
                    <w:t>夜间</w:t>
                  </w:r>
                  <w:r>
                    <w:rPr>
                      <w:rFonts w:hint="eastAsia" w:ascii="Times New Roman" w:hAnsi="Times New Roman"/>
                      <w:color w:val="auto"/>
                      <w:sz w:val="18"/>
                      <w:szCs w:val="18"/>
                      <w:highlight w:val="none"/>
                      <w:lang w:val="en-US" w:eastAsia="zh-CN"/>
                    </w:rPr>
                    <w:t>50</w:t>
                  </w:r>
                  <w:r>
                    <w:rPr>
                      <w:rFonts w:ascii="Times New Roman" w:hAnsi="Times New Roman"/>
                      <w:color w:val="auto"/>
                      <w:sz w:val="18"/>
                      <w:szCs w:val="18"/>
                      <w:highlight w:val="none"/>
                    </w:rPr>
                    <w:t>dB(A</w:t>
                  </w:r>
                </w:p>
              </w:tc>
              <w:tc>
                <w:tcPr>
                  <w:tcW w:w="1234" w:type="dxa"/>
                  <w:vAlign w:val="center"/>
                </w:tcPr>
                <w:p w14:paraId="33FC2BF1">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rFonts w:hint="eastAsia"/>
                      <w:color w:val="auto"/>
                      <w:sz w:val="18"/>
                      <w:szCs w:val="18"/>
                      <w:highlight w:val="none"/>
                    </w:rPr>
                    <w:t>厂界</w:t>
                  </w:r>
                </w:p>
              </w:tc>
            </w:tr>
          </w:tbl>
          <w:p w14:paraId="3DD8AD79">
            <w:pPr>
              <w:adjustRightInd/>
              <w:snapToGrid/>
              <w:spacing w:line="240" w:lineRule="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备注：NH</w:t>
            </w:r>
            <w:r>
              <w:rPr>
                <w:rFonts w:hint="eastAsia" w:ascii="Times New Roman" w:hAnsi="Times New Roman" w:eastAsia="宋体" w:cs="Times New Roman"/>
                <w:color w:val="auto"/>
                <w:kern w:val="2"/>
                <w:sz w:val="18"/>
                <w:szCs w:val="18"/>
                <w:highlight w:val="none"/>
                <w:vertAlign w:val="subscript"/>
                <w:lang w:val="en-US" w:eastAsia="zh-CN" w:bidi="ar-SA"/>
              </w:rPr>
              <w:t>3</w:t>
            </w:r>
            <w:r>
              <w:rPr>
                <w:rFonts w:hint="eastAsia" w:ascii="Times New Roman" w:hAnsi="Times New Roman" w:eastAsia="宋体" w:cs="Times New Roman"/>
                <w:color w:val="auto"/>
                <w:kern w:val="2"/>
                <w:sz w:val="18"/>
                <w:szCs w:val="18"/>
                <w:highlight w:val="none"/>
                <w:lang w:val="en-US" w:eastAsia="zh-CN" w:bidi="ar-SA"/>
              </w:rPr>
              <w:t>-N参照执行</w:t>
            </w:r>
            <w:r>
              <w:rPr>
                <w:rFonts w:hint="default" w:ascii="Times New Roman" w:hAnsi="Times New Roman" w:eastAsia="宋体" w:cs="Times New Roman"/>
                <w:color w:val="auto"/>
                <w:kern w:val="2"/>
                <w:sz w:val="18"/>
                <w:szCs w:val="18"/>
                <w:highlight w:val="none"/>
                <w:lang w:val="en-US" w:eastAsia="zh-CN" w:bidi="ar-SA"/>
              </w:rPr>
              <w:t>《污水排入城镇下水道水质标准》（GB/T31962-201</w:t>
            </w:r>
            <w:r>
              <w:rPr>
                <w:rFonts w:hint="eastAsia" w:ascii="Times New Roman" w:hAnsi="Times New Roman" w:eastAsia="宋体" w:cs="Times New Roman"/>
                <w:color w:val="auto"/>
                <w:kern w:val="2"/>
                <w:sz w:val="18"/>
                <w:szCs w:val="18"/>
                <w:highlight w:val="none"/>
                <w:lang w:val="en-US" w:eastAsia="zh-CN" w:bidi="ar-SA"/>
              </w:rPr>
              <w:t>5</w:t>
            </w:r>
            <w:r>
              <w:rPr>
                <w:rFonts w:hint="default" w:ascii="Times New Roman" w:hAnsi="Times New Roman" w:eastAsia="宋体" w:cs="Times New Roman"/>
                <w:color w:val="auto"/>
                <w:kern w:val="2"/>
                <w:sz w:val="18"/>
                <w:szCs w:val="18"/>
                <w:highlight w:val="none"/>
                <w:lang w:val="en-US" w:eastAsia="zh-CN" w:bidi="ar-SA"/>
              </w:rPr>
              <w:t>）表1中B级要求</w:t>
            </w:r>
            <w:r>
              <w:rPr>
                <w:rFonts w:hint="eastAsia" w:ascii="Times New Roman" w:hAnsi="Times New Roman" w:eastAsia="宋体" w:cs="Times New Roman"/>
                <w:color w:val="auto"/>
                <w:kern w:val="2"/>
                <w:sz w:val="18"/>
                <w:szCs w:val="18"/>
                <w:highlight w:val="none"/>
                <w:lang w:val="en-US" w:eastAsia="zh-CN" w:bidi="ar-SA"/>
              </w:rPr>
              <w:t>。</w:t>
            </w:r>
          </w:p>
          <w:p w14:paraId="17D443A2">
            <w:pPr>
              <w:adjustRightInd/>
              <w:snapToGrid/>
              <w:spacing w:line="360" w:lineRule="auto"/>
              <w:rPr>
                <w:rFonts w:eastAsia="黑体"/>
                <w:b/>
                <w:color w:val="auto"/>
                <w:sz w:val="24"/>
                <w:szCs w:val="24"/>
                <w:highlight w:val="none"/>
              </w:rPr>
            </w:pPr>
            <w:r>
              <w:rPr>
                <w:rFonts w:hint="eastAsia" w:eastAsia="黑体"/>
                <w:b/>
                <w:color w:val="auto"/>
                <w:sz w:val="24"/>
                <w:szCs w:val="24"/>
                <w:highlight w:val="none"/>
              </w:rPr>
              <w:t>3、总量控制</w:t>
            </w:r>
          </w:p>
          <w:p w14:paraId="7F758986">
            <w:pPr>
              <w:tabs>
                <w:tab w:val="left" w:pos="0"/>
              </w:tabs>
              <w:adjustRightInd/>
              <w:snapToGrid/>
              <w:spacing w:line="360" w:lineRule="auto"/>
              <w:ind w:firstLine="480" w:firstLineChars="200"/>
              <w:contextualSpacing/>
              <w:rPr>
                <w:rFonts w:hint="eastAsia" w:eastAsia="宋体"/>
                <w:color w:val="auto"/>
                <w:sz w:val="24"/>
                <w:highlight w:val="none"/>
                <w:lang w:eastAsia="zh-CN"/>
              </w:rPr>
            </w:pPr>
            <w:r>
              <w:rPr>
                <w:rFonts w:hint="eastAsia"/>
                <w:color w:val="auto"/>
                <w:sz w:val="24"/>
                <w:szCs w:val="24"/>
                <w:highlight w:val="none"/>
                <w:lang w:eastAsia="zh-CN"/>
              </w:rPr>
              <w:t>根据项目环境影响报表及环评批复，续建工程</w:t>
            </w:r>
            <w:r>
              <w:rPr>
                <w:rFonts w:hint="eastAsia" w:eastAsiaTheme="minorEastAsia"/>
                <w:color w:val="auto"/>
                <w:sz w:val="24"/>
                <w:szCs w:val="24"/>
                <w:highlight w:val="none"/>
                <w:lang w:eastAsia="zh-CN"/>
              </w:rPr>
              <w:t>燃气内燃发电机组排气筒烟粉尘、二氧化硫、氮氧化物排放量应分别控制在</w:t>
            </w:r>
            <w:r>
              <w:rPr>
                <w:rFonts w:hint="eastAsia" w:eastAsiaTheme="minorEastAsia"/>
                <w:color w:val="auto"/>
                <w:sz w:val="24"/>
                <w:szCs w:val="24"/>
                <w:highlight w:val="none"/>
                <w:lang w:val="en-US" w:eastAsia="zh-CN"/>
              </w:rPr>
              <w:t>0.290</w:t>
            </w:r>
            <w:r>
              <w:rPr>
                <w:rFonts w:hint="eastAsia" w:eastAsiaTheme="minorEastAsia"/>
                <w:color w:val="auto"/>
                <w:sz w:val="24"/>
                <w:szCs w:val="24"/>
                <w:highlight w:val="none"/>
                <w:lang w:eastAsia="zh-CN"/>
              </w:rPr>
              <w:t>吨/年、</w:t>
            </w:r>
            <w:r>
              <w:rPr>
                <w:rFonts w:hint="eastAsia" w:eastAsiaTheme="minorEastAsia"/>
                <w:color w:val="auto"/>
                <w:sz w:val="24"/>
                <w:szCs w:val="24"/>
                <w:highlight w:val="none"/>
                <w:lang w:val="en-US" w:eastAsia="zh-CN"/>
              </w:rPr>
              <w:t>1.994</w:t>
            </w:r>
            <w:r>
              <w:rPr>
                <w:rFonts w:hint="eastAsia" w:eastAsiaTheme="minorEastAsia"/>
                <w:color w:val="auto"/>
                <w:sz w:val="24"/>
                <w:szCs w:val="24"/>
                <w:highlight w:val="none"/>
                <w:lang w:eastAsia="zh-CN"/>
              </w:rPr>
              <w:t>吨/年、</w:t>
            </w:r>
            <w:r>
              <w:rPr>
                <w:rFonts w:hint="eastAsia" w:eastAsiaTheme="minorEastAsia"/>
                <w:color w:val="auto"/>
                <w:sz w:val="24"/>
                <w:szCs w:val="24"/>
                <w:highlight w:val="none"/>
                <w:lang w:val="en-US" w:eastAsia="zh-CN"/>
              </w:rPr>
              <w:t>9.818</w:t>
            </w:r>
            <w:r>
              <w:rPr>
                <w:rFonts w:hint="eastAsia" w:eastAsiaTheme="minorEastAsia"/>
                <w:color w:val="auto"/>
                <w:sz w:val="24"/>
                <w:szCs w:val="24"/>
                <w:highlight w:val="none"/>
                <w:lang w:eastAsia="zh-CN"/>
              </w:rPr>
              <w:t>吨/年的总量指标以内；化学需氧量、氨氮排放量应分别控制在</w:t>
            </w:r>
            <w:r>
              <w:rPr>
                <w:rFonts w:hint="eastAsia" w:eastAsiaTheme="minorEastAsia"/>
                <w:color w:val="auto"/>
                <w:sz w:val="24"/>
                <w:szCs w:val="24"/>
                <w:highlight w:val="none"/>
                <w:lang w:val="en-US" w:eastAsia="zh-CN"/>
              </w:rPr>
              <w:t>0.03吨/年</w:t>
            </w:r>
            <w:r>
              <w:rPr>
                <w:rFonts w:hint="eastAsia" w:eastAsiaTheme="minorEastAsia"/>
                <w:color w:val="auto"/>
                <w:sz w:val="24"/>
                <w:szCs w:val="24"/>
                <w:highlight w:val="none"/>
                <w:lang w:eastAsia="zh-CN"/>
              </w:rPr>
              <w:t>、0.0</w:t>
            </w:r>
            <w:r>
              <w:rPr>
                <w:rFonts w:hint="eastAsia" w:eastAsiaTheme="minorEastAsia"/>
                <w:color w:val="auto"/>
                <w:sz w:val="24"/>
                <w:szCs w:val="24"/>
                <w:highlight w:val="none"/>
                <w:lang w:val="en-US" w:eastAsia="zh-CN"/>
              </w:rPr>
              <w:t>03</w:t>
            </w:r>
            <w:r>
              <w:rPr>
                <w:rFonts w:hint="eastAsia" w:eastAsiaTheme="minorEastAsia"/>
                <w:color w:val="auto"/>
                <w:sz w:val="24"/>
                <w:szCs w:val="24"/>
                <w:highlight w:val="none"/>
                <w:lang w:eastAsia="zh-CN"/>
              </w:rPr>
              <w:t>吨/年以内，纳入长山口生活垃圾填埋场统一管理。</w:t>
            </w:r>
          </w:p>
          <w:p w14:paraId="68F177D4">
            <w:pPr>
              <w:pStyle w:val="121"/>
              <w:adjustRightInd/>
              <w:snapToGrid/>
              <w:rPr>
                <w:color w:val="auto"/>
                <w:highlight w:val="none"/>
              </w:rPr>
            </w:pPr>
            <w:r>
              <w:rPr>
                <w:rFonts w:hint="eastAsia"/>
                <w:color w:val="auto"/>
                <w:sz w:val="21"/>
                <w:highlight w:val="none"/>
              </w:rPr>
              <w:t>总量控制指标情况</w:t>
            </w:r>
            <w:r>
              <w:rPr>
                <w:rFonts w:hint="eastAsia"/>
                <w:color w:val="auto"/>
                <w:sz w:val="21"/>
                <w:highlight w:val="none"/>
                <w:lang w:eastAsia="zh-CN"/>
              </w:rPr>
              <w:t>一览表</w:t>
            </w:r>
          </w:p>
          <w:tbl>
            <w:tblPr>
              <w:tblStyle w:val="30"/>
              <w:tblW w:w="497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1145"/>
              <w:gridCol w:w="1145"/>
              <w:gridCol w:w="1145"/>
              <w:gridCol w:w="1145"/>
              <w:gridCol w:w="1145"/>
              <w:gridCol w:w="1150"/>
            </w:tblGrid>
            <w:tr w14:paraId="714B5D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45" w:type="dxa"/>
                  <w:tcBorders>
                    <w:bottom w:val="single" w:color="auto" w:sz="12" w:space="0"/>
                  </w:tcBorders>
                  <w:vAlign w:val="center"/>
                </w:tcPr>
                <w:p w14:paraId="16C20AFD">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eastAsia="宋体"/>
                      <w:b/>
                      <w:bCs/>
                      <w:color w:val="auto"/>
                      <w:sz w:val="18"/>
                      <w:szCs w:val="18"/>
                      <w:highlight w:val="none"/>
                      <w:vertAlign w:val="baseline"/>
                      <w:lang w:eastAsia="zh-CN"/>
                    </w:rPr>
                  </w:pPr>
                  <w:r>
                    <w:rPr>
                      <w:rFonts w:hint="eastAsia" w:eastAsia="宋体"/>
                      <w:b/>
                      <w:bCs/>
                      <w:color w:val="auto"/>
                      <w:sz w:val="18"/>
                      <w:szCs w:val="18"/>
                      <w:highlight w:val="none"/>
                      <w:vertAlign w:val="baseline"/>
                      <w:lang w:eastAsia="zh-CN"/>
                    </w:rPr>
                    <w:t>总量指标</w:t>
                  </w:r>
                </w:p>
              </w:tc>
              <w:tc>
                <w:tcPr>
                  <w:tcW w:w="1145" w:type="dxa"/>
                  <w:tcBorders>
                    <w:bottom w:val="single" w:color="auto" w:sz="12" w:space="0"/>
                  </w:tcBorders>
                  <w:vAlign w:val="center"/>
                </w:tcPr>
                <w:p w14:paraId="5704A07D">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b/>
                      <w:bCs/>
                      <w:color w:val="auto"/>
                      <w:sz w:val="18"/>
                      <w:szCs w:val="18"/>
                      <w:highlight w:val="none"/>
                      <w:lang w:eastAsia="zh-CN"/>
                    </w:rPr>
                  </w:pPr>
                  <w:r>
                    <w:rPr>
                      <w:rFonts w:hint="eastAsia"/>
                      <w:b/>
                      <w:bCs/>
                      <w:color w:val="auto"/>
                      <w:sz w:val="18"/>
                      <w:szCs w:val="18"/>
                      <w:highlight w:val="none"/>
                    </w:rPr>
                    <w:t>烟粉尘</w:t>
                  </w:r>
                </w:p>
              </w:tc>
              <w:tc>
                <w:tcPr>
                  <w:tcW w:w="1145" w:type="dxa"/>
                  <w:tcBorders>
                    <w:bottom w:val="single" w:color="auto" w:sz="12" w:space="0"/>
                  </w:tcBorders>
                  <w:vAlign w:val="center"/>
                </w:tcPr>
                <w:p w14:paraId="2117BAB4">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b/>
                      <w:bCs/>
                      <w:color w:val="auto"/>
                      <w:sz w:val="18"/>
                      <w:szCs w:val="18"/>
                      <w:highlight w:val="none"/>
                      <w:vertAlign w:val="baseline"/>
                    </w:rPr>
                  </w:pPr>
                  <w:r>
                    <w:rPr>
                      <w:rFonts w:hint="eastAsia"/>
                      <w:b/>
                      <w:bCs/>
                      <w:color w:val="auto"/>
                      <w:sz w:val="18"/>
                      <w:szCs w:val="18"/>
                      <w:highlight w:val="none"/>
                    </w:rPr>
                    <w:t>SO</w:t>
                  </w:r>
                  <w:r>
                    <w:rPr>
                      <w:rFonts w:hint="eastAsia"/>
                      <w:b/>
                      <w:bCs/>
                      <w:color w:val="auto"/>
                      <w:sz w:val="18"/>
                      <w:szCs w:val="18"/>
                      <w:highlight w:val="none"/>
                      <w:vertAlign w:val="subscript"/>
                    </w:rPr>
                    <w:t>2</w:t>
                  </w:r>
                </w:p>
              </w:tc>
              <w:tc>
                <w:tcPr>
                  <w:tcW w:w="1145" w:type="dxa"/>
                  <w:tcBorders>
                    <w:bottom w:val="single" w:color="auto" w:sz="12" w:space="0"/>
                  </w:tcBorders>
                  <w:vAlign w:val="center"/>
                </w:tcPr>
                <w:p w14:paraId="5FBF92DF">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b/>
                      <w:bCs/>
                      <w:color w:val="auto"/>
                      <w:sz w:val="18"/>
                      <w:szCs w:val="18"/>
                      <w:highlight w:val="none"/>
                      <w:vertAlign w:val="baseline"/>
                    </w:rPr>
                  </w:pPr>
                  <w:r>
                    <w:rPr>
                      <w:rFonts w:hint="eastAsia"/>
                      <w:b/>
                      <w:bCs/>
                      <w:color w:val="auto"/>
                      <w:sz w:val="18"/>
                      <w:szCs w:val="18"/>
                      <w:highlight w:val="none"/>
                    </w:rPr>
                    <w:t>NOx</w:t>
                  </w:r>
                </w:p>
              </w:tc>
              <w:tc>
                <w:tcPr>
                  <w:tcW w:w="1145" w:type="dxa"/>
                  <w:tcBorders>
                    <w:bottom w:val="single" w:color="auto" w:sz="12" w:space="0"/>
                  </w:tcBorders>
                  <w:vAlign w:val="center"/>
                </w:tcPr>
                <w:p w14:paraId="2B82FF93">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b/>
                      <w:bCs/>
                      <w:color w:val="auto"/>
                      <w:sz w:val="18"/>
                      <w:szCs w:val="18"/>
                      <w:highlight w:val="none"/>
                    </w:rPr>
                  </w:pPr>
                  <w:r>
                    <w:rPr>
                      <w:rFonts w:hint="eastAsia"/>
                      <w:b/>
                      <w:bCs/>
                      <w:color w:val="auto"/>
                      <w:sz w:val="18"/>
                      <w:szCs w:val="18"/>
                      <w:highlight w:val="none"/>
                    </w:rPr>
                    <w:t>COD</w:t>
                  </w:r>
                </w:p>
              </w:tc>
              <w:tc>
                <w:tcPr>
                  <w:tcW w:w="1150" w:type="dxa"/>
                  <w:tcBorders>
                    <w:bottom w:val="single" w:color="auto" w:sz="12" w:space="0"/>
                  </w:tcBorders>
                  <w:vAlign w:val="center"/>
                </w:tcPr>
                <w:p w14:paraId="7D8DD530">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b/>
                      <w:bCs/>
                      <w:color w:val="auto"/>
                      <w:sz w:val="18"/>
                      <w:szCs w:val="18"/>
                      <w:highlight w:val="none"/>
                    </w:rPr>
                  </w:pPr>
                  <w:r>
                    <w:rPr>
                      <w:rFonts w:hint="eastAsia"/>
                      <w:b/>
                      <w:bCs/>
                      <w:color w:val="auto"/>
                      <w:sz w:val="18"/>
                      <w:szCs w:val="18"/>
                      <w:highlight w:val="none"/>
                    </w:rPr>
                    <w:t>NH</w:t>
                  </w:r>
                  <w:r>
                    <w:rPr>
                      <w:rFonts w:hint="eastAsia"/>
                      <w:b/>
                      <w:bCs/>
                      <w:color w:val="auto"/>
                      <w:sz w:val="18"/>
                      <w:szCs w:val="18"/>
                      <w:highlight w:val="none"/>
                      <w:vertAlign w:val="subscript"/>
                    </w:rPr>
                    <w:t>3</w:t>
                  </w:r>
                  <w:r>
                    <w:rPr>
                      <w:rFonts w:hint="eastAsia"/>
                      <w:b/>
                      <w:bCs/>
                      <w:color w:val="auto"/>
                      <w:sz w:val="18"/>
                      <w:szCs w:val="18"/>
                      <w:highlight w:val="none"/>
                    </w:rPr>
                    <w:t>-N</w:t>
                  </w:r>
                </w:p>
              </w:tc>
            </w:tr>
            <w:tr w14:paraId="4044C0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45" w:type="dxa"/>
                  <w:tcBorders>
                    <w:top w:val="single" w:color="auto" w:sz="12" w:space="0"/>
                    <w:tl2br w:val="nil"/>
                    <w:tr2bl w:val="nil"/>
                  </w:tcBorders>
                  <w:vAlign w:val="center"/>
                </w:tcPr>
                <w:p w14:paraId="4F5B6EA4">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eastAsia="宋体"/>
                      <w:color w:val="auto"/>
                      <w:sz w:val="18"/>
                      <w:szCs w:val="18"/>
                      <w:highlight w:val="none"/>
                      <w:vertAlign w:val="baseline"/>
                      <w:lang w:eastAsia="zh-CN"/>
                    </w:rPr>
                  </w:pPr>
                  <w:r>
                    <w:rPr>
                      <w:rFonts w:hint="eastAsia" w:eastAsia="宋体"/>
                      <w:color w:val="auto"/>
                      <w:sz w:val="18"/>
                      <w:szCs w:val="18"/>
                      <w:highlight w:val="none"/>
                      <w:vertAlign w:val="baseline"/>
                      <w:lang w:eastAsia="zh-CN"/>
                    </w:rPr>
                    <w:t>排放总量</w:t>
                  </w:r>
                </w:p>
              </w:tc>
              <w:tc>
                <w:tcPr>
                  <w:tcW w:w="1145" w:type="dxa"/>
                  <w:tcBorders>
                    <w:top w:val="single" w:color="auto" w:sz="12" w:space="0"/>
                    <w:tl2br w:val="nil"/>
                    <w:tr2bl w:val="nil"/>
                  </w:tcBorders>
                  <w:vAlign w:val="center"/>
                </w:tcPr>
                <w:p w14:paraId="1A4F850F">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default" w:ascii="Times New Roman" w:hAnsi="Times New Roman" w:eastAsia="宋体" w:cs="Times New Roman"/>
                      <w:color w:val="auto"/>
                      <w:kern w:val="2"/>
                      <w:sz w:val="18"/>
                      <w:szCs w:val="18"/>
                      <w:highlight w:val="none"/>
                      <w:vertAlign w:val="baseline"/>
                      <w:lang w:val="en-US" w:eastAsia="zh-CN" w:bidi="ar-SA"/>
                    </w:rPr>
                  </w:pPr>
                  <w:r>
                    <w:rPr>
                      <w:rFonts w:hint="eastAsia" w:cs="Times New Roman"/>
                      <w:color w:val="auto"/>
                      <w:kern w:val="2"/>
                      <w:sz w:val="18"/>
                      <w:szCs w:val="18"/>
                      <w:highlight w:val="none"/>
                      <w:vertAlign w:val="baseline"/>
                      <w:lang w:val="en-US" w:eastAsia="zh-CN" w:bidi="ar-SA"/>
                    </w:rPr>
                    <w:t>0.290</w:t>
                  </w:r>
                  <w:r>
                    <w:rPr>
                      <w:rFonts w:hint="eastAsia" w:ascii="Times New Roman" w:hAnsi="Times New Roman" w:eastAsia="宋体" w:cs="Times New Roman"/>
                      <w:color w:val="auto"/>
                      <w:kern w:val="2"/>
                      <w:sz w:val="18"/>
                      <w:szCs w:val="18"/>
                      <w:highlight w:val="none"/>
                      <w:vertAlign w:val="baseline"/>
                      <w:lang w:val="en-US" w:eastAsia="zh-CN" w:bidi="ar-SA"/>
                    </w:rPr>
                    <w:t>t/a</w:t>
                  </w:r>
                </w:p>
              </w:tc>
              <w:tc>
                <w:tcPr>
                  <w:tcW w:w="1145" w:type="dxa"/>
                  <w:tcBorders>
                    <w:top w:val="single" w:color="auto" w:sz="12" w:space="0"/>
                    <w:tl2br w:val="nil"/>
                    <w:tr2bl w:val="nil"/>
                  </w:tcBorders>
                  <w:vAlign w:val="center"/>
                </w:tcPr>
                <w:p w14:paraId="3725D8F1">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color w:val="auto"/>
                      <w:sz w:val="18"/>
                      <w:szCs w:val="18"/>
                      <w:highlight w:val="none"/>
                      <w:vertAlign w:val="baseline"/>
                    </w:rPr>
                  </w:pPr>
                  <w:r>
                    <w:rPr>
                      <w:rFonts w:hint="eastAsia" w:cs="Times New Roman"/>
                      <w:color w:val="auto"/>
                      <w:kern w:val="2"/>
                      <w:sz w:val="18"/>
                      <w:szCs w:val="18"/>
                      <w:highlight w:val="none"/>
                      <w:vertAlign w:val="baseline"/>
                      <w:lang w:val="en-US" w:eastAsia="zh-CN" w:bidi="ar-SA"/>
                    </w:rPr>
                    <w:t>1.994</w:t>
                  </w:r>
                  <w:r>
                    <w:rPr>
                      <w:rFonts w:hint="eastAsia" w:ascii="Times New Roman" w:hAnsi="Times New Roman" w:eastAsia="宋体" w:cs="Times New Roman"/>
                      <w:color w:val="auto"/>
                      <w:kern w:val="2"/>
                      <w:sz w:val="18"/>
                      <w:szCs w:val="18"/>
                      <w:highlight w:val="none"/>
                      <w:vertAlign w:val="baseline"/>
                      <w:lang w:val="en-US" w:eastAsia="zh-CN" w:bidi="ar-SA"/>
                    </w:rPr>
                    <w:t>t/a</w:t>
                  </w:r>
                </w:p>
              </w:tc>
              <w:tc>
                <w:tcPr>
                  <w:tcW w:w="1145" w:type="dxa"/>
                  <w:tcBorders>
                    <w:top w:val="single" w:color="auto" w:sz="12" w:space="0"/>
                    <w:tl2br w:val="nil"/>
                    <w:tr2bl w:val="nil"/>
                  </w:tcBorders>
                  <w:vAlign w:val="center"/>
                </w:tcPr>
                <w:p w14:paraId="68DB2D5F">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color w:val="auto"/>
                      <w:sz w:val="18"/>
                      <w:szCs w:val="18"/>
                      <w:highlight w:val="none"/>
                      <w:vertAlign w:val="baseline"/>
                    </w:rPr>
                  </w:pPr>
                  <w:r>
                    <w:rPr>
                      <w:rFonts w:hint="eastAsia" w:cs="Times New Roman"/>
                      <w:color w:val="auto"/>
                      <w:kern w:val="2"/>
                      <w:sz w:val="18"/>
                      <w:szCs w:val="18"/>
                      <w:highlight w:val="none"/>
                      <w:vertAlign w:val="baseline"/>
                      <w:lang w:val="en-US" w:eastAsia="zh-CN" w:bidi="ar-SA"/>
                    </w:rPr>
                    <w:t>9.818</w:t>
                  </w:r>
                  <w:r>
                    <w:rPr>
                      <w:rFonts w:hint="eastAsia" w:ascii="Times New Roman" w:hAnsi="Times New Roman" w:eastAsia="宋体" w:cs="Times New Roman"/>
                      <w:color w:val="auto"/>
                      <w:kern w:val="2"/>
                      <w:sz w:val="18"/>
                      <w:szCs w:val="18"/>
                      <w:highlight w:val="none"/>
                      <w:vertAlign w:val="baseline"/>
                      <w:lang w:val="en-US" w:eastAsia="zh-CN" w:bidi="ar-SA"/>
                    </w:rPr>
                    <w:t>t/a</w:t>
                  </w:r>
                </w:p>
              </w:tc>
              <w:tc>
                <w:tcPr>
                  <w:tcW w:w="1145" w:type="dxa"/>
                  <w:tcBorders>
                    <w:top w:val="single" w:color="auto" w:sz="12" w:space="0"/>
                    <w:tl2br w:val="nil"/>
                    <w:tr2bl w:val="nil"/>
                  </w:tcBorders>
                  <w:vAlign w:val="center"/>
                </w:tcPr>
                <w:p w14:paraId="24AEF4EE">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color w:val="auto"/>
                      <w:sz w:val="18"/>
                      <w:szCs w:val="18"/>
                      <w:highlight w:val="none"/>
                    </w:rPr>
                  </w:pPr>
                  <w:r>
                    <w:rPr>
                      <w:rFonts w:hint="eastAsia" w:eastAsiaTheme="minorEastAsia"/>
                      <w:color w:val="auto"/>
                      <w:sz w:val="18"/>
                      <w:szCs w:val="18"/>
                      <w:highlight w:val="none"/>
                      <w:lang w:eastAsia="zh-CN"/>
                    </w:rPr>
                    <w:t>0.</w:t>
                  </w:r>
                  <w:r>
                    <w:rPr>
                      <w:rFonts w:hint="eastAsia" w:eastAsiaTheme="minorEastAsia"/>
                      <w:color w:val="auto"/>
                      <w:sz w:val="18"/>
                      <w:szCs w:val="18"/>
                      <w:highlight w:val="none"/>
                      <w:lang w:val="en-US" w:eastAsia="zh-CN"/>
                    </w:rPr>
                    <w:t>030</w:t>
                  </w:r>
                  <w:r>
                    <w:rPr>
                      <w:rFonts w:hint="eastAsia" w:ascii="Times New Roman" w:hAnsi="Times New Roman" w:eastAsia="宋体" w:cs="Times New Roman"/>
                      <w:color w:val="auto"/>
                      <w:kern w:val="2"/>
                      <w:sz w:val="18"/>
                      <w:szCs w:val="18"/>
                      <w:highlight w:val="none"/>
                      <w:vertAlign w:val="baseline"/>
                      <w:lang w:val="en-US" w:eastAsia="zh-CN" w:bidi="ar-SA"/>
                    </w:rPr>
                    <w:t>t/a</w:t>
                  </w:r>
                </w:p>
              </w:tc>
              <w:tc>
                <w:tcPr>
                  <w:tcW w:w="1150" w:type="dxa"/>
                  <w:tcBorders>
                    <w:top w:val="single" w:color="auto" w:sz="12" w:space="0"/>
                    <w:tl2br w:val="nil"/>
                    <w:tr2bl w:val="nil"/>
                  </w:tcBorders>
                  <w:vAlign w:val="center"/>
                </w:tcPr>
                <w:p w14:paraId="3228045C">
                  <w:pPr>
                    <w:keepNext w:val="0"/>
                    <w:keepLines w:val="0"/>
                    <w:pageBreakBefore w:val="0"/>
                    <w:widowControl w:val="0"/>
                    <w:tabs>
                      <w:tab w:val="left" w:pos="0"/>
                    </w:tabs>
                    <w:kinsoku/>
                    <w:wordWrap/>
                    <w:overflowPunct/>
                    <w:topLinePunct w:val="0"/>
                    <w:autoSpaceDE/>
                    <w:autoSpaceDN/>
                    <w:bidi w:val="0"/>
                    <w:adjustRightInd/>
                    <w:snapToGrid/>
                    <w:spacing w:line="240" w:lineRule="auto"/>
                    <w:contextualSpacing/>
                    <w:jc w:val="center"/>
                    <w:textAlignment w:val="auto"/>
                    <w:rPr>
                      <w:rFonts w:hint="eastAsia"/>
                      <w:color w:val="auto"/>
                      <w:sz w:val="18"/>
                      <w:szCs w:val="18"/>
                      <w:highlight w:val="none"/>
                    </w:rPr>
                  </w:pPr>
                  <w:r>
                    <w:rPr>
                      <w:rFonts w:hint="eastAsia" w:eastAsiaTheme="minorEastAsia"/>
                      <w:color w:val="auto"/>
                      <w:sz w:val="18"/>
                      <w:szCs w:val="18"/>
                      <w:highlight w:val="none"/>
                      <w:lang w:eastAsia="zh-CN"/>
                    </w:rPr>
                    <w:t>0.</w:t>
                  </w:r>
                  <w:r>
                    <w:rPr>
                      <w:rFonts w:hint="eastAsia" w:eastAsiaTheme="minorEastAsia"/>
                      <w:color w:val="auto"/>
                      <w:sz w:val="18"/>
                      <w:szCs w:val="18"/>
                      <w:highlight w:val="none"/>
                      <w:lang w:val="en-US" w:eastAsia="zh-CN"/>
                    </w:rPr>
                    <w:t>003</w:t>
                  </w:r>
                  <w:r>
                    <w:rPr>
                      <w:rFonts w:hint="eastAsia" w:ascii="Times New Roman" w:hAnsi="Times New Roman" w:eastAsia="宋体" w:cs="Times New Roman"/>
                      <w:color w:val="auto"/>
                      <w:kern w:val="2"/>
                      <w:sz w:val="18"/>
                      <w:szCs w:val="18"/>
                      <w:highlight w:val="none"/>
                      <w:vertAlign w:val="baseline"/>
                      <w:lang w:val="en-US" w:eastAsia="zh-CN" w:bidi="ar-SA"/>
                    </w:rPr>
                    <w:t>t/a</w:t>
                  </w:r>
                </w:p>
              </w:tc>
            </w:tr>
          </w:tbl>
          <w:p w14:paraId="4AA95D94">
            <w:pPr>
              <w:pStyle w:val="28"/>
              <w:rPr>
                <w:rFonts w:hint="eastAsia"/>
                <w:color w:val="auto"/>
                <w:highlight w:val="none"/>
                <w:lang w:eastAsia="zh-CN"/>
              </w:rPr>
            </w:pPr>
          </w:p>
          <w:p w14:paraId="7A58E20F">
            <w:pPr>
              <w:pStyle w:val="28"/>
              <w:rPr>
                <w:rFonts w:hint="eastAsia"/>
                <w:color w:val="auto"/>
                <w:highlight w:val="none"/>
                <w:lang w:eastAsia="zh-CN"/>
              </w:rPr>
            </w:pPr>
          </w:p>
        </w:tc>
      </w:tr>
    </w:tbl>
    <w:p w14:paraId="74B8A0E1">
      <w:pPr>
        <w:rPr>
          <w:color w:val="auto"/>
          <w:highlight w:val="none"/>
        </w:rPr>
      </w:pPr>
      <w:r>
        <w:rPr>
          <w:color w:val="auto"/>
          <w:highlight w:val="none"/>
        </w:rPr>
        <w:br w:type="page"/>
      </w:r>
    </w:p>
    <w:p w14:paraId="79109651">
      <w:pPr>
        <w:pStyle w:val="4"/>
        <w:adjustRightInd/>
        <w:snapToGrid/>
        <w:ind w:firstLine="301" w:firstLineChars="100"/>
        <w:rPr>
          <w:color w:val="auto"/>
          <w:highlight w:val="none"/>
        </w:rPr>
      </w:pPr>
      <w:bookmarkStart w:id="1" w:name="_Toc24149"/>
      <w:r>
        <w:rPr>
          <w:color w:val="auto"/>
          <w:highlight w:val="none"/>
        </w:rPr>
        <w:t>表</w:t>
      </w:r>
      <w:r>
        <w:rPr>
          <w:rFonts w:hint="eastAsia"/>
          <w:color w:val="auto"/>
          <w:highlight w:val="none"/>
        </w:rPr>
        <w:t>二</w:t>
      </w:r>
      <w:r>
        <w:rPr>
          <w:color w:val="auto"/>
          <w:highlight w:val="none"/>
        </w:rPr>
        <w:t>验收项目基本情况</w:t>
      </w:r>
      <w:bookmarkEnd w:id="1"/>
    </w:p>
    <w:tbl>
      <w:tblPr>
        <w:tblStyle w:val="30"/>
        <w:tblW w:w="5000" w:type="pct"/>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286"/>
      </w:tblGrid>
      <w:tr w14:paraId="6BA84B88">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286" w:type="dxa"/>
            <w:tcBorders>
              <w:tl2br w:val="nil"/>
              <w:tr2bl w:val="nil"/>
            </w:tcBorders>
          </w:tcPr>
          <w:p w14:paraId="0999F66D">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2.1项目概况</w:t>
            </w:r>
          </w:p>
          <w:p w14:paraId="58DCC2CE">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val="0"/>
                <w:bCs w:val="0"/>
                <w:color w:val="auto"/>
                <w:sz w:val="24"/>
                <w:szCs w:val="24"/>
                <w:lang w:eastAsia="zh-CN"/>
              </w:rPr>
            </w:pPr>
            <w:r>
              <w:rPr>
                <w:rFonts w:hint="eastAsia"/>
                <w:b w:val="0"/>
                <w:bCs w:val="0"/>
                <w:color w:val="auto"/>
                <w:sz w:val="24"/>
                <w:szCs w:val="24"/>
                <w:lang w:eastAsia="zh-CN"/>
              </w:rPr>
              <w:t>武汉环投环境科技有限公司，成立于2017年03月22日，经营范围包括建筑劳务分包；各类工程建设活动；发电、输电、供电业务；环境工程、园林景观绿化工程及市政工程的设计、咨询、勘测、施工、技术服务；水污染治理、大气污染治理、土壤污染治理与修复服务；环保工程、建筑工程、弱电工程、机电工程、节能工程、管道工程（不含压力管道）、新能源工程、楼宇设备自控系统工程、城市智能化系统工程、水电安装工程施工；农林废物资源化无害化利用技术研发；农林牧渔业废弃物综合利用等。</w:t>
            </w:r>
          </w:p>
          <w:p w14:paraId="5B07887E">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b/>
                <w:bCs/>
                <w:color w:val="auto"/>
                <w:sz w:val="24"/>
                <w:szCs w:val="24"/>
                <w:lang w:eastAsia="zh-CN"/>
              </w:rPr>
            </w:pPr>
            <w:r>
              <w:rPr>
                <w:rFonts w:hint="eastAsia"/>
                <w:b/>
                <w:bCs/>
                <w:color w:val="auto"/>
                <w:sz w:val="24"/>
                <w:szCs w:val="24"/>
                <w:lang w:eastAsia="zh-CN"/>
              </w:rPr>
              <w:t>（</w:t>
            </w:r>
            <w:r>
              <w:rPr>
                <w:rFonts w:hint="eastAsia"/>
                <w:b/>
                <w:bCs/>
                <w:color w:val="auto"/>
                <w:sz w:val="24"/>
                <w:szCs w:val="24"/>
                <w:lang w:val="en-US" w:eastAsia="zh-CN"/>
              </w:rPr>
              <w:t>1</w:t>
            </w:r>
            <w:r>
              <w:rPr>
                <w:rFonts w:hint="eastAsia"/>
                <w:b/>
                <w:bCs/>
                <w:color w:val="auto"/>
                <w:sz w:val="24"/>
                <w:szCs w:val="24"/>
                <w:lang w:eastAsia="zh-CN"/>
              </w:rPr>
              <w:t>）项目建设背景</w:t>
            </w:r>
          </w:p>
          <w:p w14:paraId="5AF49C10">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2018年至2019年，长山口地区臭气投诉剧增，影响范围不断扩大，其中包括黄家湖军运村片区的投诉。为了平稳度过建国70周年和军运会，减少臭气对周边环境影响，长山口填埋场按照相关主管部门要求，通过新建填埋气收集管网系统和4000m</w:t>
            </w:r>
            <w:r>
              <w:rPr>
                <w:rFonts w:hint="eastAsia"/>
                <w:sz w:val="24"/>
                <w:szCs w:val="24"/>
                <w:vertAlign w:val="superscript"/>
              </w:rPr>
              <w:t>3</w:t>
            </w:r>
            <w:r>
              <w:rPr>
                <w:rFonts w:hint="eastAsia"/>
                <w:sz w:val="24"/>
                <w:szCs w:val="24"/>
              </w:rPr>
              <w:t>/h封闭式除臭火炬系统等，将填埋气实施规范化高效收集并燃烧处理。随着长山口填埋场膜下集气工作的不断完善，填埋气产生和收集量不断增加，填埋气处理设施处理能力明显不足。</w:t>
            </w:r>
          </w:p>
          <w:p w14:paraId="438751DF">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为了解决上述问题，并对填埋气进行有效资源利用，建设单位启动了武汉市江夏长山口生活垃圾卫生填埋场填埋气体利用发电项目（一期），一期工程已取得了环评批复（武环审〔2022〕4号）并通过了自主验收。</w:t>
            </w:r>
          </w:p>
          <w:p w14:paraId="64096355">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2021年11月，长山口填埋场三期工程建成投产，随着生活垃圾填埋量的增加，填埋气的产生量随之增加。导致武汉市江夏长山口生活垃圾卫生填埋场填埋气体利用发电项目（一期）已建成的8台功率1.067MW的内燃发电机组及其配套的填埋气预处理设施的处理能力已不能满足需求。</w:t>
            </w:r>
          </w:p>
          <w:p w14:paraId="6C6509F5">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为了迎接中央环保督察，防止因填埋场的填埋气处理不及时，导致周边环境受到恶臭废气的影响，对周边居民造成影响，武汉市江夏长山口生活垃圾卫生填埋场填埋气体利用发电项目的扩建势在必行。</w:t>
            </w:r>
          </w:p>
          <w:p w14:paraId="12C91954">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b/>
                <w:bCs/>
                <w:sz w:val="24"/>
                <w:szCs w:val="24"/>
              </w:rPr>
            </w:pPr>
            <w:r>
              <w:rPr>
                <w:rFonts w:hint="eastAsia"/>
                <w:b/>
                <w:bCs/>
                <w:sz w:val="24"/>
                <w:szCs w:val="24"/>
              </w:rPr>
              <w:t>（</w:t>
            </w:r>
            <w:r>
              <w:rPr>
                <w:rFonts w:hint="eastAsia"/>
                <w:b/>
                <w:bCs/>
                <w:sz w:val="24"/>
                <w:szCs w:val="24"/>
                <w:lang w:val="en-US" w:eastAsia="zh-CN"/>
              </w:rPr>
              <w:t>2</w:t>
            </w:r>
            <w:r>
              <w:rPr>
                <w:rFonts w:hint="eastAsia"/>
                <w:b/>
                <w:bCs/>
                <w:sz w:val="24"/>
                <w:szCs w:val="24"/>
              </w:rPr>
              <w:t>）主要建设内容</w:t>
            </w:r>
          </w:p>
          <w:p w14:paraId="2444ADA7">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●长山口填埋场建设内容</w:t>
            </w:r>
          </w:p>
          <w:p w14:paraId="5480DA36">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eastAsia"/>
                <w:sz w:val="24"/>
                <w:szCs w:val="24"/>
              </w:rPr>
              <w:t>长山口填埋场设计日处理规模为2100t/d，垃圾卫生填埋场总占地55.21万m</w:t>
            </w:r>
            <w:r>
              <w:rPr>
                <w:rFonts w:hint="eastAsia"/>
                <w:sz w:val="24"/>
                <w:szCs w:val="24"/>
                <w:vertAlign w:val="superscript"/>
              </w:rPr>
              <w:t>2</w:t>
            </w:r>
            <w:r>
              <w:rPr>
                <w:rFonts w:hint="eastAsia"/>
                <w:sz w:val="24"/>
                <w:szCs w:val="24"/>
              </w:rPr>
              <w:t>填埋场库区占地41.71万m</w:t>
            </w:r>
            <w:r>
              <w:rPr>
                <w:rFonts w:hint="eastAsia"/>
                <w:sz w:val="24"/>
                <w:szCs w:val="24"/>
                <w:vertAlign w:val="superscript"/>
              </w:rPr>
              <w:t>2</w:t>
            </w:r>
            <w:r>
              <w:rPr>
                <w:rFonts w:hint="eastAsia"/>
                <w:sz w:val="24"/>
                <w:szCs w:val="24"/>
              </w:rPr>
              <w:t>，填埋库区占地系数75.55%，垃圾平均填埋高度45.0m，垃圾最大填埋高度70.0m，填埋场总库容1880万m，有效库容1692万m</w:t>
            </w:r>
            <w:r>
              <w:rPr>
                <w:rFonts w:hint="eastAsia"/>
                <w:sz w:val="24"/>
                <w:szCs w:val="24"/>
                <w:vertAlign w:val="superscript"/>
              </w:rPr>
              <w:t>3</w:t>
            </w:r>
            <w:r>
              <w:rPr>
                <w:rFonts w:hint="eastAsia"/>
                <w:sz w:val="24"/>
                <w:szCs w:val="24"/>
              </w:rPr>
              <w:t>，共分4个库区。其中:填埋一区面积8.04万m</w:t>
            </w:r>
            <w:r>
              <w:rPr>
                <w:rFonts w:hint="eastAsia"/>
                <w:sz w:val="24"/>
                <w:szCs w:val="24"/>
                <w:vertAlign w:val="superscript"/>
              </w:rPr>
              <w:t>2</w:t>
            </w:r>
            <w:r>
              <w:rPr>
                <w:rFonts w:hint="eastAsia"/>
                <w:sz w:val="24"/>
                <w:szCs w:val="24"/>
              </w:rPr>
              <w:t>，填埋二区面积7.39万m</w:t>
            </w:r>
            <w:r>
              <w:rPr>
                <w:rFonts w:hint="eastAsia"/>
                <w:sz w:val="24"/>
                <w:szCs w:val="24"/>
                <w:vertAlign w:val="superscript"/>
              </w:rPr>
              <w:t>2</w:t>
            </w:r>
            <w:r>
              <w:rPr>
                <w:rFonts w:hint="eastAsia"/>
                <w:sz w:val="24"/>
                <w:szCs w:val="24"/>
              </w:rPr>
              <w:t>，填埋三区面积15.62万m</w:t>
            </w:r>
            <w:r>
              <w:rPr>
                <w:rFonts w:hint="eastAsia"/>
                <w:sz w:val="24"/>
                <w:szCs w:val="24"/>
                <w:vertAlign w:val="superscript"/>
              </w:rPr>
              <w:t>2</w:t>
            </w:r>
            <w:r>
              <w:rPr>
                <w:rFonts w:hint="eastAsia"/>
                <w:sz w:val="24"/>
                <w:szCs w:val="24"/>
              </w:rPr>
              <w:t>，填埋四区面积10.65万m</w:t>
            </w:r>
            <w:r>
              <w:rPr>
                <w:rFonts w:hint="eastAsia"/>
                <w:sz w:val="24"/>
                <w:szCs w:val="24"/>
                <w:vertAlign w:val="superscript"/>
              </w:rPr>
              <w:t>2</w:t>
            </w:r>
            <w:r>
              <w:rPr>
                <w:rFonts w:hint="eastAsia"/>
                <w:sz w:val="24"/>
                <w:szCs w:val="24"/>
              </w:rPr>
              <w:t>。</w:t>
            </w:r>
          </w:p>
          <w:p w14:paraId="2CFD91FB">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根据建设单位提供的可行性研究报告，长山口填埋场三期工程填埋库区投运后，最大发电输出功率为16.97MW，至2030年缓慢减少至11.98MW，如填埋四区建成发电输出功率将继续维持，平均发电量为14.06MW。考虑工程投资与运营收益的平衡，以及发电项目工程用地限制，厂区发电项目总装机容量为宜为14MW。</w:t>
            </w:r>
          </w:p>
          <w:p w14:paraId="1D6B6112">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●备案情况</w:t>
            </w:r>
          </w:p>
          <w:p w14:paraId="640B3C3E">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2020年5月7日，武汉环投环境科技有限公司在“湖北省投资项目在线审批监管平台”上以“武汉市江夏长山口生活垃圾卫生填埋场填埋气利用发电项目”进行了一期工程的备案，登记备案项目代码：2020-420115-44-03-020636。</w:t>
            </w:r>
          </w:p>
          <w:p w14:paraId="7103AC87">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2021年12月15日，武汉环投环境科技有限公司对一期工程的立项文件进行了变更，主要增加了填埋气发电装机容量，其主要变更情况如下：</w:t>
            </w:r>
          </w:p>
          <w:p w14:paraId="00D54936">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①项目名称不变，仍为：武汉市江夏长山口生活垃圾卫生填埋场填埋气利用发电项目；</w:t>
            </w:r>
          </w:p>
          <w:p w14:paraId="1A8C8212">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②登记备案项目代码不变，仍为：2020-420115-44-03-020636；</w:t>
            </w:r>
          </w:p>
          <w:p w14:paraId="76149AF3">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③建设内容及规模由“</w:t>
            </w:r>
            <w:r>
              <w:rPr>
                <w:rFonts w:hint="eastAsia"/>
                <w:b/>
                <w:bCs/>
                <w:sz w:val="24"/>
                <w:szCs w:val="24"/>
              </w:rPr>
              <w:t>分布式能源项目，发电装机容量8MW，运营期年均处理填埋气3000万n’，年均发电量5000万度。采用‘自发自用，余电上网’模式</w:t>
            </w:r>
            <w:r>
              <w:rPr>
                <w:rFonts w:hint="eastAsia"/>
                <w:sz w:val="24"/>
                <w:szCs w:val="24"/>
              </w:rPr>
              <w:t>”变更为“</w:t>
            </w:r>
            <w:r>
              <w:rPr>
                <w:rFonts w:hint="eastAsia"/>
                <w:b/>
                <w:bCs/>
                <w:sz w:val="24"/>
                <w:szCs w:val="24"/>
              </w:rPr>
              <w:t>分布式能源项目，发电装机总容量14.938MW。一期新建发电装机容量8台*1.067Mw/台；二期续建发电装机容量6台*1.067Mw/台。均采用‘发电上网’模式</w:t>
            </w:r>
            <w:r>
              <w:rPr>
                <w:rFonts w:hint="eastAsia"/>
                <w:sz w:val="24"/>
                <w:szCs w:val="24"/>
              </w:rPr>
              <w:t>”。</w:t>
            </w:r>
          </w:p>
          <w:p w14:paraId="17412B5A">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●环保手续办理情况</w:t>
            </w:r>
          </w:p>
          <w:p w14:paraId="580DC9FD">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eastAsia"/>
                <w:sz w:val="24"/>
                <w:szCs w:val="24"/>
              </w:rPr>
              <w:t>2020年12月，武汉环投环境科技有限公司委托武汉智汇元环保科技有限公司编制了《武汉市江夏长山口生活垃圾卫生填埋场填埋气利用发电项目环境影响报告表》（一期），2022年1月12日，武汉市生态环境局以</w:t>
            </w:r>
            <w:r>
              <w:rPr>
                <w:rFonts w:hint="eastAsia"/>
                <w:b/>
                <w:bCs/>
                <w:sz w:val="24"/>
                <w:szCs w:val="24"/>
              </w:rPr>
              <w:t>“武环审【2022】4号”</w:t>
            </w:r>
            <w:r>
              <w:rPr>
                <w:rFonts w:hint="eastAsia"/>
                <w:sz w:val="24"/>
                <w:szCs w:val="24"/>
              </w:rPr>
              <w:t>批复了该项目。</w:t>
            </w:r>
          </w:p>
          <w:p w14:paraId="2896B6B3">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eastAsia"/>
                <w:sz w:val="24"/>
                <w:szCs w:val="24"/>
              </w:rPr>
              <w:t>2023年4月12日，该项目进行了自主验收。</w:t>
            </w:r>
          </w:p>
          <w:p w14:paraId="0171328C">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武汉市江夏长山口生活垃圾卫生填埋场填埋气利用发电项目（一期）已建设8.536MW的发电机组（1.067MW/台，共8台），目前正在运行。</w:t>
            </w:r>
          </w:p>
          <w:p w14:paraId="1667BC73">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bCs/>
                <w:sz w:val="24"/>
                <w:szCs w:val="24"/>
              </w:rPr>
            </w:pPr>
            <w:r>
              <w:rPr>
                <w:rFonts w:hint="eastAsia"/>
                <w:sz w:val="24"/>
                <w:szCs w:val="24"/>
              </w:rPr>
              <w:t>为了充分利用填埋场产生的沼气，武汉环投环境科技有限公司在</w:t>
            </w:r>
            <w:r>
              <w:rPr>
                <w:rFonts w:hint="eastAsia"/>
                <w:b/>
                <w:bCs/>
                <w:sz w:val="24"/>
                <w:szCs w:val="24"/>
              </w:rPr>
              <w:t>武汉市江夏长山口生活垃圾卫生填埋场填埋气利用发电项目（一期）</w:t>
            </w:r>
            <w:r>
              <w:rPr>
                <w:rFonts w:hint="eastAsia"/>
                <w:sz w:val="24"/>
                <w:szCs w:val="24"/>
              </w:rPr>
              <w:t>现有厂区内部实施</w:t>
            </w:r>
            <w:r>
              <w:rPr>
                <w:rFonts w:hint="eastAsia"/>
                <w:sz w:val="24"/>
                <w:szCs w:val="24"/>
                <w:lang w:eastAsia="zh-CN"/>
              </w:rPr>
              <w:t>了</w:t>
            </w:r>
            <w:r>
              <w:rPr>
                <w:rFonts w:hint="eastAsia"/>
                <w:b/>
                <w:bCs/>
                <w:sz w:val="24"/>
                <w:szCs w:val="24"/>
              </w:rPr>
              <w:t>武汉市江夏长山口生活垃圾卫生填埋场填埋气利用发电项目（续建工程）。</w:t>
            </w:r>
          </w:p>
          <w:p w14:paraId="7D1EB84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并将现有工程的备案证进行了变更，主要变更内容是将该项目的立项的规模由</w:t>
            </w:r>
            <w:r>
              <w:rPr>
                <w:rFonts w:hint="eastAsia"/>
                <w:b/>
                <w:bCs/>
                <w:sz w:val="24"/>
                <w:szCs w:val="24"/>
              </w:rPr>
              <w:t>只包含现有工程（建设8.536MW的发电机组，1.067MW/台，共8台）的建设规模</w:t>
            </w:r>
            <w:r>
              <w:rPr>
                <w:rFonts w:hint="eastAsia"/>
                <w:sz w:val="24"/>
                <w:szCs w:val="24"/>
              </w:rPr>
              <w:t>变更为</w:t>
            </w:r>
            <w:r>
              <w:rPr>
                <w:rFonts w:hint="eastAsia"/>
                <w:b/>
                <w:bCs/>
                <w:sz w:val="24"/>
                <w:szCs w:val="24"/>
              </w:rPr>
              <w:t>同时包含现有工程和续建工程（新增6.402MW的发电机组，1.067MW/台，共6台）的建设规模</w:t>
            </w:r>
            <w:r>
              <w:rPr>
                <w:rFonts w:hint="eastAsia"/>
                <w:sz w:val="24"/>
                <w:szCs w:val="24"/>
              </w:rPr>
              <w:t>。</w:t>
            </w:r>
          </w:p>
          <w:p w14:paraId="486AACEB">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rFonts w:hint="eastAsia"/>
                <w:sz w:val="24"/>
                <w:szCs w:val="24"/>
              </w:rPr>
              <w:t>根据变更后的备案证（附件2），武汉市江夏长山口生活垃圾卫生填埋场填埋气利用发电项目分2期进行建设。</w:t>
            </w:r>
          </w:p>
          <w:p w14:paraId="21190468">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其中现有工程（已办理了环评和验收），共建有发电装机容量8台内燃发电机组（1.067MW/台）及配套设施；续建工程（本次</w:t>
            </w:r>
            <w:r>
              <w:rPr>
                <w:rFonts w:hint="eastAsia"/>
                <w:sz w:val="24"/>
                <w:szCs w:val="24"/>
                <w:lang w:eastAsia="zh-CN"/>
              </w:rPr>
              <w:t>验收</w:t>
            </w:r>
            <w:r>
              <w:rPr>
                <w:rFonts w:hint="eastAsia"/>
                <w:sz w:val="24"/>
                <w:szCs w:val="24"/>
              </w:rPr>
              <w:t>范围）新增6台内燃发电机组（1.067MW/台）及配套设施。</w:t>
            </w:r>
          </w:p>
          <w:p w14:paraId="4DD2ED41">
            <w:pPr>
              <w:adjustRightInd/>
              <w:snapToGrid/>
              <w:spacing w:line="360" w:lineRule="auto"/>
              <w:ind w:firstLine="480" w:firstLineChars="200"/>
              <w:rPr>
                <w:rFonts w:hint="eastAsia" w:ascii="Times New Roman" w:hAnsi="Times New Roman" w:eastAsia="宋体" w:cs="Times New Roman"/>
                <w:bCs/>
                <w:color w:val="auto"/>
                <w:sz w:val="24"/>
                <w:szCs w:val="24"/>
                <w:highlight w:val="none"/>
              </w:rPr>
            </w:pPr>
            <w:r>
              <w:rPr>
                <w:rFonts w:hint="eastAsia" w:cs="Times New Roman"/>
                <w:bCs/>
                <w:color w:val="auto"/>
                <w:sz w:val="24"/>
                <w:szCs w:val="24"/>
                <w:highlight w:val="none"/>
                <w:lang w:eastAsia="zh-CN"/>
              </w:rPr>
              <w:t>武汉环投环境科技有限公司</w:t>
            </w:r>
            <w:r>
              <w:rPr>
                <w:rFonts w:hint="eastAsia" w:ascii="Times New Roman" w:hAnsi="Times New Roman" w:eastAsia="宋体" w:cs="Times New Roman"/>
                <w:bCs/>
                <w:color w:val="auto"/>
                <w:sz w:val="24"/>
                <w:szCs w:val="24"/>
                <w:highlight w:val="none"/>
              </w:rPr>
              <w:t>于</w:t>
            </w:r>
            <w:r>
              <w:rPr>
                <w:rFonts w:hint="eastAsia" w:cs="Times New Roman"/>
                <w:bCs/>
                <w:color w:val="auto"/>
                <w:sz w:val="24"/>
                <w:szCs w:val="24"/>
                <w:highlight w:val="none"/>
                <w:lang w:val="en-US" w:eastAsia="zh-CN"/>
              </w:rPr>
              <w:t>2023年6月委托</w:t>
            </w:r>
            <w:r>
              <w:rPr>
                <w:rFonts w:hint="eastAsia" w:ascii="Times New Roman" w:hAnsi="Times New Roman" w:eastAsia="宋体" w:cs="Times New Roman"/>
                <w:bCs/>
                <w:color w:val="auto"/>
                <w:sz w:val="24"/>
                <w:szCs w:val="24"/>
                <w:highlight w:val="none"/>
              </w:rPr>
              <w:t>武汉智汇元环保科技有限公司承担</w:t>
            </w:r>
            <w:r>
              <w:rPr>
                <w:rFonts w:hint="eastAsia" w:ascii="Times New Roman" w:hAnsi="Times New Roman" w:eastAsia="宋体" w:cs="Times New Roman"/>
                <w:bCs/>
                <w:color w:val="auto"/>
                <w:sz w:val="24"/>
                <w:szCs w:val="24"/>
                <w:highlight w:val="none"/>
                <w:lang w:eastAsia="zh-CN"/>
              </w:rPr>
              <w:t>其</w:t>
            </w:r>
            <w:r>
              <w:rPr>
                <w:rFonts w:hint="eastAsia" w:ascii="Times New Roman" w:hAnsi="Times New Roman" w:eastAsia="宋体" w:cs="Times New Roman"/>
                <w:bCs/>
                <w:color w:val="auto"/>
                <w:sz w:val="24"/>
                <w:szCs w:val="24"/>
                <w:highlight w:val="none"/>
              </w:rPr>
              <w:t>“</w:t>
            </w:r>
            <w:r>
              <w:rPr>
                <w:rFonts w:hint="eastAsia" w:cs="Times New Roman"/>
                <w:bCs/>
                <w:color w:val="auto"/>
                <w:sz w:val="24"/>
                <w:szCs w:val="24"/>
                <w:highlight w:val="none"/>
                <w:lang w:eastAsia="zh-CN"/>
              </w:rPr>
              <w:t>武汉市江夏长山口生活垃圾卫生填埋场填埋气利用发电项目（续建工程）</w:t>
            </w:r>
            <w:r>
              <w:rPr>
                <w:rFonts w:hint="eastAsia" w:ascii="Times New Roman" w:hAnsi="Times New Roman" w:eastAsia="宋体" w:cs="Times New Roman"/>
                <w:bCs/>
                <w:color w:val="auto"/>
                <w:sz w:val="24"/>
                <w:szCs w:val="24"/>
                <w:highlight w:val="none"/>
              </w:rPr>
              <w:t>”的环境影响评价工作，并编制环境影响报告表。20</w:t>
            </w:r>
            <w:r>
              <w:rPr>
                <w:rFonts w:hint="eastAsia" w:ascii="Times New Roman" w:hAnsi="Times New Roman" w:eastAsia="宋体" w:cs="Times New Roman"/>
                <w:bCs/>
                <w:color w:val="auto"/>
                <w:sz w:val="24"/>
                <w:szCs w:val="24"/>
                <w:highlight w:val="none"/>
                <w:lang w:val="en-US" w:eastAsia="zh-CN"/>
              </w:rPr>
              <w:t>2</w:t>
            </w:r>
            <w:r>
              <w:rPr>
                <w:rFonts w:hint="eastAsia" w:cs="Times New Roman"/>
                <w:bCs/>
                <w:color w:val="auto"/>
                <w:sz w:val="24"/>
                <w:szCs w:val="24"/>
                <w:highlight w:val="none"/>
                <w:lang w:val="en-US" w:eastAsia="zh-CN"/>
              </w:rPr>
              <w:t>3</w:t>
            </w:r>
            <w:r>
              <w:rPr>
                <w:rFonts w:hint="eastAsia" w:ascii="Times New Roman" w:hAnsi="Times New Roman" w:eastAsia="宋体" w:cs="Times New Roman"/>
                <w:bCs/>
                <w:color w:val="auto"/>
                <w:sz w:val="24"/>
                <w:szCs w:val="24"/>
                <w:highlight w:val="none"/>
              </w:rPr>
              <w:t>年</w:t>
            </w:r>
            <w:r>
              <w:rPr>
                <w:rFonts w:hint="eastAsia" w:cs="Times New Roman"/>
                <w:bCs/>
                <w:color w:val="auto"/>
                <w:sz w:val="24"/>
                <w:szCs w:val="24"/>
                <w:highlight w:val="none"/>
                <w:lang w:val="en-US" w:eastAsia="zh-CN"/>
              </w:rPr>
              <w:t>9</w:t>
            </w:r>
            <w:r>
              <w:rPr>
                <w:rFonts w:hint="eastAsia" w:ascii="Times New Roman" w:hAnsi="Times New Roman" w:eastAsia="宋体" w:cs="Times New Roman"/>
                <w:bCs/>
                <w:color w:val="auto"/>
                <w:sz w:val="24"/>
                <w:szCs w:val="24"/>
                <w:highlight w:val="none"/>
              </w:rPr>
              <w:t>月</w:t>
            </w:r>
            <w:r>
              <w:rPr>
                <w:rFonts w:hint="eastAsia" w:cs="Times New Roman"/>
                <w:bCs/>
                <w:color w:val="auto"/>
                <w:sz w:val="24"/>
                <w:szCs w:val="24"/>
                <w:highlight w:val="none"/>
                <w:lang w:val="en-US" w:eastAsia="zh-CN"/>
              </w:rPr>
              <w:t>12</w:t>
            </w:r>
            <w:r>
              <w:rPr>
                <w:rFonts w:hint="eastAsia" w:ascii="Times New Roman" w:hAnsi="Times New Roman" w:eastAsia="宋体" w:cs="Times New Roman"/>
                <w:bCs/>
                <w:color w:val="auto"/>
                <w:sz w:val="24"/>
                <w:szCs w:val="24"/>
                <w:highlight w:val="none"/>
              </w:rPr>
              <w:t>日，武汉市</w:t>
            </w:r>
            <w:r>
              <w:rPr>
                <w:rFonts w:hint="eastAsia" w:ascii="Times New Roman" w:hAnsi="Times New Roman" w:eastAsia="宋体" w:cs="Times New Roman"/>
                <w:bCs/>
                <w:color w:val="auto"/>
                <w:sz w:val="24"/>
                <w:szCs w:val="24"/>
                <w:highlight w:val="none"/>
                <w:lang w:eastAsia="zh-CN"/>
              </w:rPr>
              <w:t>生态环境</w:t>
            </w:r>
            <w:r>
              <w:rPr>
                <w:rFonts w:hint="eastAsia" w:ascii="Times New Roman" w:hAnsi="Times New Roman" w:eastAsia="宋体" w:cs="Times New Roman"/>
                <w:bCs/>
                <w:color w:val="auto"/>
                <w:sz w:val="24"/>
                <w:szCs w:val="24"/>
                <w:highlight w:val="none"/>
              </w:rPr>
              <w:t>局</w:t>
            </w:r>
            <w:r>
              <w:rPr>
                <w:rFonts w:hint="eastAsia" w:cs="Times New Roman"/>
                <w:bCs/>
                <w:color w:val="auto"/>
                <w:sz w:val="24"/>
                <w:szCs w:val="24"/>
                <w:highlight w:val="none"/>
                <w:lang w:eastAsia="zh-CN"/>
              </w:rPr>
              <w:t>江夏区分局</w:t>
            </w:r>
            <w:r>
              <w:rPr>
                <w:rFonts w:hint="eastAsia" w:ascii="Times New Roman" w:hAnsi="Times New Roman" w:eastAsia="宋体" w:cs="Times New Roman"/>
                <w:bCs/>
                <w:color w:val="auto"/>
                <w:sz w:val="24"/>
                <w:szCs w:val="24"/>
                <w:highlight w:val="none"/>
              </w:rPr>
              <w:t>以“</w:t>
            </w:r>
            <w:r>
              <w:rPr>
                <w:rFonts w:hint="eastAsia" w:eastAsiaTheme="minorEastAsia"/>
                <w:color w:val="auto"/>
                <w:sz w:val="24"/>
                <w:highlight w:val="none"/>
                <w:lang w:eastAsia="zh-CN"/>
              </w:rPr>
              <w:t>武环江夏审(2023)63号</w:t>
            </w:r>
            <w:r>
              <w:rPr>
                <w:rFonts w:hint="eastAsia" w:ascii="Times New Roman" w:hAnsi="Times New Roman" w:eastAsia="宋体" w:cs="Times New Roman"/>
                <w:bCs/>
                <w:color w:val="auto"/>
                <w:sz w:val="24"/>
                <w:szCs w:val="24"/>
                <w:highlight w:val="none"/>
              </w:rPr>
              <w:t>”批准了该项目。</w:t>
            </w:r>
          </w:p>
          <w:p w14:paraId="58AED21B">
            <w:pPr>
              <w:adjustRightInd/>
              <w:snapToGrid/>
              <w:spacing w:line="360" w:lineRule="auto"/>
              <w:ind w:firstLine="480" w:firstLineChars="200"/>
              <w:rPr>
                <w:rFonts w:hint="eastAsia" w:cs="宋体"/>
                <w:color w:val="auto"/>
                <w:kern w:val="0"/>
                <w:sz w:val="24"/>
                <w:highlight w:val="none"/>
                <w:lang w:val="en-US" w:eastAsia="zh-CN"/>
              </w:rPr>
            </w:pPr>
            <w:r>
              <w:rPr>
                <w:rFonts w:hint="eastAsia" w:cs="Times New Roman"/>
                <w:bCs/>
                <w:color w:val="auto"/>
                <w:sz w:val="24"/>
                <w:szCs w:val="24"/>
                <w:highlight w:val="none"/>
                <w:lang w:eastAsia="zh-CN"/>
              </w:rPr>
              <w:t>武汉市江夏长山口生活垃圾卫生填埋场填埋气利用发电项目（续建工程）</w:t>
            </w:r>
            <w:r>
              <w:rPr>
                <w:rFonts w:hint="eastAsia" w:ascii="Times New Roman" w:hAnsi="Times New Roman" w:eastAsia="宋体" w:cs="Times New Roman"/>
                <w:bCs/>
                <w:color w:val="auto"/>
                <w:sz w:val="24"/>
                <w:szCs w:val="24"/>
                <w:highlight w:val="none"/>
                <w:lang w:eastAsia="zh-CN"/>
              </w:rPr>
              <w:t>于</w:t>
            </w:r>
            <w:r>
              <w:rPr>
                <w:rFonts w:hint="eastAsia" w:ascii="Times New Roman" w:hAnsi="Times New Roman" w:eastAsia="宋体" w:cs="Times New Roman"/>
                <w:bCs/>
                <w:color w:val="auto"/>
                <w:sz w:val="24"/>
                <w:szCs w:val="24"/>
                <w:highlight w:val="none"/>
                <w:lang w:val="en-US" w:eastAsia="zh-CN"/>
              </w:rPr>
              <w:t>20</w:t>
            </w:r>
            <w:r>
              <w:rPr>
                <w:rFonts w:hint="eastAsia" w:cs="Times New Roman"/>
                <w:bCs/>
                <w:color w:val="auto"/>
                <w:sz w:val="24"/>
                <w:szCs w:val="24"/>
                <w:highlight w:val="none"/>
                <w:lang w:val="en-US" w:eastAsia="zh-CN"/>
              </w:rPr>
              <w:t>22</w:t>
            </w:r>
            <w:r>
              <w:rPr>
                <w:rFonts w:hint="eastAsia" w:ascii="Times New Roman" w:hAnsi="Times New Roman" w:eastAsia="宋体" w:cs="Times New Roman"/>
                <w:bCs/>
                <w:color w:val="auto"/>
                <w:sz w:val="24"/>
                <w:szCs w:val="24"/>
                <w:highlight w:val="none"/>
                <w:lang w:val="en-US" w:eastAsia="zh-CN"/>
              </w:rPr>
              <w:t>年</w:t>
            </w:r>
            <w:r>
              <w:rPr>
                <w:rFonts w:hint="eastAsia" w:cs="Times New Roman"/>
                <w:bCs/>
                <w:color w:val="auto"/>
                <w:sz w:val="24"/>
                <w:szCs w:val="24"/>
                <w:highlight w:val="none"/>
                <w:lang w:val="en-US" w:eastAsia="zh-CN"/>
              </w:rPr>
              <w:t>3</w:t>
            </w:r>
            <w:r>
              <w:rPr>
                <w:rFonts w:hint="eastAsia" w:ascii="Times New Roman" w:hAnsi="Times New Roman" w:eastAsia="宋体" w:cs="Times New Roman"/>
                <w:bCs/>
                <w:color w:val="auto"/>
                <w:sz w:val="24"/>
                <w:szCs w:val="24"/>
                <w:highlight w:val="none"/>
                <w:lang w:val="en-US" w:eastAsia="zh-CN"/>
              </w:rPr>
              <w:t>月</w:t>
            </w:r>
            <w:r>
              <w:rPr>
                <w:rFonts w:hint="eastAsia" w:cs="宋体"/>
                <w:color w:val="auto"/>
                <w:kern w:val="0"/>
                <w:sz w:val="24"/>
                <w:highlight w:val="none"/>
                <w:lang w:val="en-US" w:eastAsia="zh-CN"/>
              </w:rPr>
              <w:t>开工建设，于2023年10月建成投产。</w:t>
            </w:r>
          </w:p>
          <w:p w14:paraId="1E72F15E">
            <w:pPr>
              <w:adjustRightInd/>
              <w:snapToGrid/>
              <w:spacing w:line="360" w:lineRule="auto"/>
              <w:ind w:firstLine="480" w:firstLineChars="200"/>
              <w:rPr>
                <w:bCs/>
                <w:color w:val="auto"/>
                <w:sz w:val="24"/>
                <w:szCs w:val="24"/>
                <w:highlight w:val="none"/>
              </w:rPr>
            </w:pPr>
            <w:r>
              <w:rPr>
                <w:rFonts w:hint="eastAsia" w:ascii="Times New Roman" w:hAnsi="Times New Roman" w:eastAsia="宋体" w:cs="Times New Roman"/>
                <w:bCs/>
                <w:color w:val="auto"/>
                <w:sz w:val="24"/>
                <w:szCs w:val="24"/>
                <w:highlight w:val="none"/>
                <w:lang w:eastAsia="zh-CN"/>
              </w:rPr>
              <w:t>武汉环投环境科技有限公司于</w:t>
            </w:r>
            <w:r>
              <w:rPr>
                <w:rFonts w:hint="eastAsia" w:ascii="Times New Roman" w:hAnsi="Times New Roman" w:eastAsia="宋体" w:cs="Times New Roman"/>
                <w:bCs/>
                <w:color w:val="auto"/>
                <w:sz w:val="24"/>
                <w:szCs w:val="24"/>
                <w:highlight w:val="none"/>
                <w:lang w:val="en-US" w:eastAsia="zh-CN"/>
              </w:rPr>
              <w:t>2023年1月3日</w:t>
            </w:r>
            <w:r>
              <w:rPr>
                <w:rFonts w:hint="eastAsia" w:cs="宋体"/>
                <w:color w:val="auto"/>
                <w:kern w:val="0"/>
                <w:sz w:val="24"/>
                <w:highlight w:val="none"/>
                <w:lang w:val="en-US" w:eastAsia="zh-CN"/>
              </w:rPr>
              <w:t>取得一期工程排污许可证，编号为91420102MA4KRTGOOX001U，</w:t>
            </w:r>
            <w:r>
              <w:rPr>
                <w:rFonts w:hint="eastAsia" w:ascii="Times New Roman" w:hAnsi="Times New Roman" w:eastAsia="宋体" w:cs="Times New Roman"/>
                <w:bCs/>
                <w:color w:val="auto"/>
                <w:sz w:val="24"/>
                <w:szCs w:val="24"/>
                <w:highlight w:val="none"/>
                <w:lang w:val="en-US" w:eastAsia="zh-CN"/>
              </w:rPr>
              <w:t>202</w:t>
            </w:r>
            <w:r>
              <w:rPr>
                <w:rFonts w:hint="eastAsia" w:cs="Times New Roman"/>
                <w:bCs/>
                <w:color w:val="auto"/>
                <w:sz w:val="24"/>
                <w:szCs w:val="24"/>
                <w:highlight w:val="none"/>
                <w:lang w:val="en-US" w:eastAsia="zh-CN"/>
              </w:rPr>
              <w:t>4</w:t>
            </w:r>
            <w:r>
              <w:rPr>
                <w:rFonts w:hint="eastAsia" w:ascii="Times New Roman" w:hAnsi="Times New Roman" w:eastAsia="宋体" w:cs="Times New Roman"/>
                <w:bCs/>
                <w:color w:val="auto"/>
                <w:sz w:val="24"/>
                <w:szCs w:val="24"/>
                <w:highlight w:val="none"/>
                <w:lang w:val="en-US" w:eastAsia="zh-CN"/>
              </w:rPr>
              <w:t>年</w:t>
            </w:r>
            <w:r>
              <w:rPr>
                <w:rFonts w:hint="eastAsia" w:cs="Times New Roman"/>
                <w:bCs/>
                <w:color w:val="auto"/>
                <w:sz w:val="24"/>
                <w:szCs w:val="24"/>
                <w:highlight w:val="none"/>
                <w:lang w:val="en-US" w:eastAsia="zh-CN"/>
              </w:rPr>
              <w:t>7</w:t>
            </w:r>
            <w:r>
              <w:rPr>
                <w:rFonts w:hint="eastAsia" w:ascii="Times New Roman" w:hAnsi="Times New Roman" w:eastAsia="宋体" w:cs="Times New Roman"/>
                <w:bCs/>
                <w:color w:val="auto"/>
                <w:sz w:val="24"/>
                <w:szCs w:val="24"/>
                <w:highlight w:val="none"/>
                <w:lang w:val="en-US" w:eastAsia="zh-CN"/>
              </w:rPr>
              <w:t>月</w:t>
            </w:r>
            <w:r>
              <w:rPr>
                <w:rFonts w:hint="eastAsia" w:cs="Times New Roman"/>
                <w:bCs/>
                <w:color w:val="auto"/>
                <w:sz w:val="24"/>
                <w:szCs w:val="24"/>
                <w:highlight w:val="none"/>
                <w:lang w:val="en-US" w:eastAsia="zh-CN"/>
              </w:rPr>
              <w:t>2</w:t>
            </w:r>
            <w:r>
              <w:rPr>
                <w:rFonts w:hint="eastAsia" w:ascii="Times New Roman" w:hAnsi="Times New Roman" w:cs="Times New Roman"/>
                <w:bCs/>
                <w:color w:val="auto"/>
                <w:sz w:val="24"/>
                <w:szCs w:val="24"/>
                <w:highlight w:val="none"/>
                <w:lang w:val="en-US" w:eastAsia="zh-CN"/>
              </w:rPr>
              <w:t>3日依据续建工程内容，</w:t>
            </w:r>
            <w:r>
              <w:rPr>
                <w:rFonts w:hint="eastAsia" w:cs="Times New Roman"/>
                <w:bCs/>
                <w:color w:val="auto"/>
                <w:sz w:val="24"/>
                <w:szCs w:val="24"/>
                <w:highlight w:val="none"/>
                <w:lang w:val="en-US" w:eastAsia="zh-CN"/>
              </w:rPr>
              <w:t>进行了排污许可证的重新申请</w:t>
            </w:r>
            <w:r>
              <w:rPr>
                <w:rFonts w:hint="eastAsia" w:cs="宋体"/>
                <w:color w:val="auto"/>
                <w:kern w:val="0"/>
                <w:sz w:val="24"/>
                <w:highlight w:val="none"/>
                <w:lang w:val="en-US" w:eastAsia="zh-CN"/>
              </w:rPr>
              <w:t>，编号仍旧为91420102MA4KRTG00X001U。目前，项目已建设完成，</w:t>
            </w:r>
            <w:r>
              <w:rPr>
                <w:bCs/>
                <w:color w:val="auto"/>
                <w:sz w:val="24"/>
                <w:szCs w:val="24"/>
                <w:highlight w:val="none"/>
              </w:rPr>
              <w:t>各类</w:t>
            </w:r>
            <w:r>
              <w:rPr>
                <w:rFonts w:hint="eastAsia"/>
                <w:bCs/>
                <w:color w:val="auto"/>
                <w:sz w:val="24"/>
                <w:szCs w:val="24"/>
                <w:highlight w:val="none"/>
                <w:lang w:eastAsia="zh-CN"/>
              </w:rPr>
              <w:t>的生产</w:t>
            </w:r>
            <w:r>
              <w:rPr>
                <w:bCs/>
                <w:color w:val="auto"/>
                <w:sz w:val="24"/>
                <w:szCs w:val="24"/>
                <w:highlight w:val="none"/>
              </w:rPr>
              <w:t>设备和环保设施运行正常，具备竣工验收监测条件。</w:t>
            </w:r>
          </w:p>
          <w:p w14:paraId="3356DFC4">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 w:val="24"/>
                <w:highlight w:val="none"/>
              </w:rPr>
            </w:pPr>
            <w:r>
              <w:rPr>
                <w:rFonts w:hint="default" w:ascii="Times New Roman" w:hAnsi="Times New Roman" w:cs="Times New Roman"/>
                <w:bCs/>
                <w:color w:val="auto"/>
                <w:sz w:val="24"/>
                <w:highlight w:val="none"/>
              </w:rPr>
              <w:t>根据国务院第682号令《国务院关于修改〈建设项目环境保护管理条例〉的决定》、环境保护部[2017]4号文《关于发布&lt;建设项目竣工环境保护验收暂行办法&gt;的公告》等法律法规要求，武汉智汇元环保科技有限公司受</w:t>
            </w:r>
            <w:r>
              <w:rPr>
                <w:rFonts w:hint="eastAsia" w:ascii="Times New Roman" w:hAnsi="Times New Roman" w:cs="Times New Roman"/>
                <w:bCs/>
                <w:color w:val="auto"/>
                <w:sz w:val="24"/>
                <w:szCs w:val="24"/>
                <w:highlight w:val="none"/>
                <w:lang w:eastAsia="zh-CN"/>
              </w:rPr>
              <w:t>武汉环投环境科技有限公司</w:t>
            </w:r>
            <w:r>
              <w:rPr>
                <w:rFonts w:hint="default" w:ascii="Times New Roman" w:hAnsi="Times New Roman" w:cs="Times New Roman"/>
                <w:bCs/>
                <w:color w:val="auto"/>
                <w:sz w:val="24"/>
                <w:highlight w:val="none"/>
              </w:rPr>
              <w:t>的委托，承担该公司“</w:t>
            </w:r>
            <w:r>
              <w:rPr>
                <w:rFonts w:hint="eastAsia" w:ascii="Times New Roman" w:hAnsi="Times New Roman" w:cs="Times New Roman"/>
                <w:bCs/>
                <w:color w:val="auto"/>
                <w:sz w:val="24"/>
                <w:szCs w:val="24"/>
                <w:highlight w:val="none"/>
                <w:lang w:eastAsia="zh-CN"/>
              </w:rPr>
              <w:t>武汉市江夏长山口生活垃圾卫生填埋场填埋气利用发电项目（续建工程）</w:t>
            </w:r>
            <w:r>
              <w:rPr>
                <w:rFonts w:hint="default" w:ascii="Times New Roman" w:hAnsi="Times New Roman" w:cs="Times New Roman" w:eastAsiaTheme="minorEastAsia"/>
                <w:bCs/>
                <w:color w:val="auto"/>
                <w:sz w:val="24"/>
                <w:highlight w:val="none"/>
              </w:rPr>
              <w:t>”的</w:t>
            </w:r>
            <w:r>
              <w:rPr>
                <w:rFonts w:hint="default" w:ascii="Times New Roman" w:hAnsi="Times New Roman" w:cs="Times New Roman"/>
                <w:bCs/>
                <w:color w:val="auto"/>
                <w:sz w:val="24"/>
                <w:highlight w:val="none"/>
              </w:rPr>
              <w:t>竣工环境保护验收工作。202</w:t>
            </w:r>
            <w:r>
              <w:rPr>
                <w:rFonts w:hint="eastAsia" w:ascii="Times New Roman" w:hAnsi="Times New Roman" w:cs="Times New Roman"/>
                <w:bCs/>
                <w:color w:val="auto"/>
                <w:sz w:val="24"/>
                <w:highlight w:val="none"/>
                <w:lang w:val="en-US" w:eastAsia="zh-CN"/>
              </w:rPr>
              <w:t>4</w:t>
            </w:r>
            <w:r>
              <w:rPr>
                <w:rFonts w:hint="default" w:ascii="Times New Roman" w:hAnsi="Times New Roman" w:cs="Times New Roman"/>
                <w:bCs/>
                <w:color w:val="auto"/>
                <w:sz w:val="24"/>
                <w:highlight w:val="none"/>
              </w:rPr>
              <w:t>年</w:t>
            </w:r>
            <w:r>
              <w:rPr>
                <w:rFonts w:hint="eastAsia" w:ascii="Times New Roman" w:hAnsi="Times New Roman" w:cs="Times New Roman"/>
                <w:bCs/>
                <w:color w:val="auto"/>
                <w:sz w:val="24"/>
                <w:highlight w:val="none"/>
                <w:lang w:val="en-US" w:eastAsia="zh-CN"/>
              </w:rPr>
              <w:t>11</w:t>
            </w:r>
            <w:r>
              <w:rPr>
                <w:rFonts w:hint="default" w:ascii="Times New Roman" w:hAnsi="Times New Roman" w:cs="Times New Roman"/>
                <w:bCs/>
                <w:color w:val="auto"/>
                <w:sz w:val="24"/>
                <w:highlight w:val="none"/>
              </w:rPr>
              <w:t>月，武汉智汇元环保科技有限公司组织专业技术人员对该项目进行了现场踏勘和资料收集工作，初步检查了环保设施的配置及运行情况，在此基础上，结合国家有关建设项目竣工验收监测工作的技术要求，编制完成《</w:t>
            </w:r>
            <w:r>
              <w:rPr>
                <w:rFonts w:hint="eastAsia" w:ascii="Times New Roman" w:hAnsi="Times New Roman" w:cs="Times New Roman"/>
                <w:bCs/>
                <w:color w:val="auto"/>
                <w:sz w:val="24"/>
                <w:szCs w:val="24"/>
                <w:highlight w:val="none"/>
                <w:lang w:eastAsia="zh-CN"/>
              </w:rPr>
              <w:t>武汉市江夏长山口生活垃圾卫生填埋场填埋气利用发电项目（续建工程）</w:t>
            </w:r>
            <w:r>
              <w:rPr>
                <w:rFonts w:hint="default" w:ascii="Times New Roman" w:hAnsi="Times New Roman" w:cs="Times New Roman"/>
                <w:bCs/>
                <w:color w:val="auto"/>
                <w:sz w:val="24"/>
                <w:highlight w:val="none"/>
              </w:rPr>
              <w:t>竣工环境保护验收监测方案》。根据验收监测方案，</w:t>
            </w:r>
            <w:r>
              <w:rPr>
                <w:rFonts w:hint="eastAsia"/>
                <w:color w:val="auto"/>
                <w:sz w:val="24"/>
                <w:highlight w:val="none"/>
              </w:rPr>
              <w:t>武汉智汇元环保科技有限公司</w:t>
            </w:r>
            <w:r>
              <w:rPr>
                <w:color w:val="auto"/>
                <w:sz w:val="24"/>
                <w:highlight w:val="none"/>
              </w:rPr>
              <w:t>委托</w:t>
            </w:r>
            <w:r>
              <w:rPr>
                <w:rFonts w:hint="eastAsia"/>
                <w:color w:val="auto"/>
                <w:sz w:val="24"/>
                <w:highlight w:val="none"/>
              </w:rPr>
              <w:t>湖北跃华检测有限公司</w:t>
            </w:r>
            <w:r>
              <w:rPr>
                <w:color w:val="auto"/>
                <w:sz w:val="24"/>
                <w:highlight w:val="none"/>
              </w:rPr>
              <w:t>于</w:t>
            </w:r>
            <w:r>
              <w:rPr>
                <w:rFonts w:hint="default" w:ascii="Times New Roman" w:hAnsi="Times New Roman" w:cs="Times New Roman"/>
                <w:color w:val="auto"/>
                <w:sz w:val="24"/>
                <w:highlight w:val="none"/>
              </w:rPr>
              <w:t>202</w:t>
            </w:r>
            <w:r>
              <w:rPr>
                <w:rFonts w:hint="eastAsia" w:ascii="Times New Roman" w:hAnsi="Times New Roman" w:cs="Times New Roman"/>
                <w:color w:val="auto"/>
                <w:sz w:val="24"/>
                <w:highlight w:val="none"/>
                <w:lang w:val="en-US" w:eastAsia="zh-CN"/>
              </w:rPr>
              <w:t>4</w:t>
            </w:r>
            <w:r>
              <w:rPr>
                <w:rFonts w:hint="default" w:ascii="Times New Roman" w:hAnsi="Times New Roman" w:cs="Times New Roman"/>
                <w:color w:val="auto"/>
                <w:sz w:val="24"/>
                <w:highlight w:val="none"/>
              </w:rPr>
              <w:t>年</w:t>
            </w:r>
            <w:r>
              <w:rPr>
                <w:rFonts w:hint="eastAsia" w:ascii="Times New Roman" w:hAnsi="Times New Roman" w:cs="Times New Roman"/>
                <w:color w:val="auto"/>
                <w:sz w:val="24"/>
                <w:highlight w:val="none"/>
                <w:lang w:val="en-US" w:eastAsia="zh-CN"/>
              </w:rPr>
              <w:t>12</w:t>
            </w:r>
            <w:r>
              <w:rPr>
                <w:rFonts w:hint="default" w:ascii="Times New Roman" w:hAnsi="Times New Roman" w:cs="Times New Roman"/>
                <w:color w:val="auto"/>
                <w:sz w:val="24"/>
                <w:highlight w:val="none"/>
              </w:rPr>
              <w:t>月</w:t>
            </w:r>
            <w:r>
              <w:rPr>
                <w:rFonts w:hint="eastAsia" w:ascii="Times New Roman" w:hAnsi="Times New Roman" w:cs="Times New Roman"/>
                <w:color w:val="auto"/>
                <w:sz w:val="24"/>
                <w:highlight w:val="none"/>
                <w:lang w:val="en-US" w:eastAsia="zh-CN"/>
              </w:rPr>
              <w:t>10</w:t>
            </w:r>
            <w:r>
              <w:rPr>
                <w:rFonts w:hint="default" w:ascii="Times New Roman" w:hAnsi="Times New Roman" w:cs="Times New Roman"/>
                <w:color w:val="auto"/>
                <w:sz w:val="24"/>
                <w:highlight w:val="none"/>
              </w:rPr>
              <w:t>日至</w:t>
            </w:r>
            <w:r>
              <w:rPr>
                <w:rFonts w:hint="eastAsia" w:ascii="Times New Roman" w:hAnsi="Times New Roman" w:cs="Times New Roman"/>
                <w:color w:val="auto"/>
                <w:sz w:val="24"/>
                <w:highlight w:val="none"/>
                <w:lang w:val="en-US" w:eastAsia="zh-CN"/>
              </w:rPr>
              <w:t>12</w:t>
            </w:r>
            <w:r>
              <w:rPr>
                <w:rFonts w:hint="default" w:ascii="Times New Roman" w:hAnsi="Times New Roman" w:cs="Times New Roman"/>
                <w:color w:val="auto"/>
                <w:sz w:val="24"/>
                <w:highlight w:val="none"/>
              </w:rPr>
              <w:t>月</w:t>
            </w:r>
            <w:r>
              <w:rPr>
                <w:rFonts w:hint="eastAsia" w:ascii="Times New Roman" w:hAnsi="Times New Roman" w:cs="Times New Roman"/>
                <w:color w:val="auto"/>
                <w:sz w:val="24"/>
                <w:highlight w:val="none"/>
                <w:lang w:val="en-US" w:eastAsia="zh-CN"/>
              </w:rPr>
              <w:t>11</w:t>
            </w:r>
            <w:r>
              <w:rPr>
                <w:rFonts w:hint="default" w:ascii="Times New Roman" w:hAnsi="Times New Roman" w:cs="Times New Roman"/>
                <w:color w:val="auto"/>
                <w:sz w:val="24"/>
                <w:highlight w:val="none"/>
              </w:rPr>
              <w:t>日开展了现场验收监测。</w:t>
            </w:r>
          </w:p>
          <w:p w14:paraId="49AE46DF">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 w:val="24"/>
                <w:highlight w:val="none"/>
              </w:rPr>
              <w:t>武汉智汇元环保科技有限公司在获取监测数据的基础上编制完成了《</w:t>
            </w:r>
            <w:r>
              <w:rPr>
                <w:rFonts w:hint="eastAsia" w:ascii="Times New Roman" w:hAnsi="Times New Roman" w:cs="Times New Roman"/>
                <w:bCs/>
                <w:color w:val="auto"/>
                <w:sz w:val="24"/>
                <w:szCs w:val="24"/>
                <w:highlight w:val="none"/>
                <w:lang w:eastAsia="zh-CN"/>
              </w:rPr>
              <w:t>武汉市江夏长山口生活垃圾卫生填埋场填埋气利用发电项目（续建工程）</w:t>
            </w:r>
            <w:r>
              <w:rPr>
                <w:rFonts w:hint="default" w:ascii="Times New Roman" w:hAnsi="Times New Roman" w:cs="Times New Roman"/>
                <w:color w:val="auto"/>
                <w:sz w:val="24"/>
                <w:highlight w:val="none"/>
              </w:rPr>
              <w:t>竣工环境保护验收监测报告表</w:t>
            </w:r>
            <w:r>
              <w:rPr>
                <w:color w:val="auto"/>
                <w:sz w:val="24"/>
                <w:highlight w:val="none"/>
              </w:rPr>
              <w:t>》</w:t>
            </w:r>
            <w:r>
              <w:rPr>
                <w:rFonts w:hint="default" w:ascii="Times New Roman" w:hAnsi="Times New Roman" w:cs="Times New Roman"/>
                <w:color w:val="auto"/>
                <w:szCs w:val="24"/>
                <w:highlight w:val="none"/>
              </w:rPr>
              <w:t>。</w:t>
            </w:r>
          </w:p>
          <w:p w14:paraId="3FABF6DD">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p>
          <w:p w14:paraId="09ACA3B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eastAsia="黑体"/>
                <w:b/>
                <w:color w:val="auto"/>
                <w:sz w:val="24"/>
                <w:szCs w:val="24"/>
                <w:highlight w:val="none"/>
                <w:lang w:eastAsia="zh-CN"/>
              </w:rPr>
            </w:pPr>
            <w:r>
              <w:rPr>
                <w:rFonts w:hint="eastAsia" w:eastAsia="黑体"/>
                <w:b/>
                <w:color w:val="auto"/>
                <w:sz w:val="24"/>
                <w:szCs w:val="24"/>
                <w:highlight w:val="none"/>
                <w:lang w:val="en-US" w:eastAsia="zh-CN"/>
              </w:rPr>
              <w:t>2.2</w:t>
            </w:r>
            <w:r>
              <w:rPr>
                <w:rFonts w:hint="eastAsia" w:eastAsia="黑体"/>
                <w:b/>
                <w:color w:val="auto"/>
                <w:sz w:val="24"/>
                <w:szCs w:val="24"/>
                <w:highlight w:val="none"/>
                <w:lang w:eastAsia="zh-CN"/>
              </w:rPr>
              <w:t>现有工程情况</w:t>
            </w:r>
          </w:p>
          <w:p w14:paraId="2B7AEAD8">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现有工程（一期）于2021年5月25日建设投产，目前处于运行状态。</w:t>
            </w:r>
          </w:p>
          <w:p w14:paraId="5F50DAF6">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主要建设建设内容为：填埋气预处理系统、发电系统、输变电系统、综合管理楼及其他附属配套工程。其中：</w:t>
            </w:r>
          </w:p>
          <w:p w14:paraId="4D4C1CCA">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①填埋气预处理系统：处理规模6000m</w:t>
            </w:r>
            <w:r>
              <w:rPr>
                <w:rFonts w:hint="default" w:ascii="Times New Roman" w:hAnsi="Times New Roman" w:cs="Times New Roman"/>
                <w:color w:val="auto"/>
                <w:szCs w:val="24"/>
                <w:highlight w:val="none"/>
                <w:vertAlign w:val="superscript"/>
              </w:rPr>
              <w:t>3</w:t>
            </w:r>
            <w:r>
              <w:rPr>
                <w:rFonts w:hint="default" w:ascii="Times New Roman" w:hAnsi="Times New Roman" w:cs="Times New Roman"/>
                <w:color w:val="auto"/>
                <w:szCs w:val="24"/>
                <w:highlight w:val="none"/>
              </w:rPr>
              <w:t>/h，包括气体净化、脱硫、过滤、加压及脱水工艺单元，为一体化撬装集成设备。</w:t>
            </w:r>
          </w:p>
          <w:p w14:paraId="5C1BD1DD">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②填埋气发电系统：配置8台1.067MW的燃气内燃发电机组。</w:t>
            </w:r>
          </w:p>
          <w:p w14:paraId="637CE909">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③输变电系统：发电机输出电压为400V，富余电力通过4台升压变压器升至10kV，以单回10kV线路与垃圾场配电房高压端连接后并入10kV母线，接至江夏区夜泊山220kV变电站，长山口至夜泊山变电站沿线距离约5.5km。</w:t>
            </w:r>
          </w:p>
          <w:p w14:paraId="2A5D8646">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④综合管理楼：一栋2层的综合管理楼，包括值班室及中控室。</w:t>
            </w:r>
          </w:p>
          <w:p w14:paraId="1B63952F">
            <w:pPr>
              <w:pStyle w:val="25"/>
              <w:adjustRightInd/>
              <w:snapToGrid/>
              <w:spacing w:before="0" w:beforeAutospacing="0" w:after="0" w:afterAutospacing="0" w:line="360" w:lineRule="auto"/>
              <w:ind w:firstLine="480" w:firstLineChars="200"/>
              <w:jc w:val="both"/>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⑤发电量：运行期间年均耗气量3000万m</w:t>
            </w:r>
            <w:r>
              <w:rPr>
                <w:rFonts w:hint="default" w:ascii="Times New Roman" w:hAnsi="Times New Roman" w:cs="Times New Roman"/>
                <w:color w:val="auto"/>
                <w:szCs w:val="24"/>
                <w:highlight w:val="none"/>
                <w:vertAlign w:val="superscript"/>
              </w:rPr>
              <w:t>3</w:t>
            </w:r>
            <w:r>
              <w:rPr>
                <w:rFonts w:hint="default" w:ascii="Times New Roman" w:hAnsi="Times New Roman" w:cs="Times New Roman"/>
                <w:color w:val="auto"/>
                <w:szCs w:val="24"/>
                <w:highlight w:val="none"/>
              </w:rPr>
              <w:t>，年均发电5000万度。</w:t>
            </w:r>
          </w:p>
          <w:p w14:paraId="5B9570D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lang w:val="en-US" w:eastAsia="zh-CN"/>
              </w:rPr>
            </w:pPr>
          </w:p>
          <w:p w14:paraId="7669015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lang w:val="en-US" w:eastAsia="zh-CN"/>
              </w:rPr>
            </w:pPr>
            <w:r>
              <w:rPr>
                <w:rFonts w:hint="eastAsia" w:ascii="Times New Roman" w:hAnsi="Times New Roman" w:eastAsia="黑体" w:cs="Times New Roman"/>
                <w:b/>
                <w:color w:val="auto"/>
                <w:sz w:val="24"/>
                <w:szCs w:val="24"/>
                <w:highlight w:val="none"/>
                <w:lang w:val="en-US" w:eastAsia="zh-CN"/>
              </w:rPr>
              <w:t>2.3本次验收范围</w:t>
            </w:r>
          </w:p>
          <w:p w14:paraId="10D75984">
            <w:pPr>
              <w:adjustRightInd/>
              <w:snapToGrid/>
              <w:spacing w:line="360" w:lineRule="auto"/>
              <w:ind w:firstLine="480" w:firstLineChars="200"/>
              <w:rPr>
                <w:rStyle w:val="104"/>
                <w:rFonts w:hint="eastAsia" w:eastAsia="宋体"/>
                <w:color w:val="auto"/>
                <w:highlight w:val="none"/>
                <w:lang w:eastAsia="zh-CN"/>
              </w:rPr>
            </w:pPr>
            <w:r>
              <w:rPr>
                <w:rStyle w:val="104"/>
                <w:rFonts w:hint="eastAsia"/>
                <w:color w:val="auto"/>
                <w:highlight w:val="none"/>
                <w:lang w:eastAsia="zh-CN"/>
              </w:rPr>
              <w:t>本次验收范围为“武汉市江夏长山口生活垃圾卫生填埋场填埋气利用发电项目（续建工程）”的实际建设内容范围，</w:t>
            </w:r>
            <w:r>
              <w:rPr>
                <w:rStyle w:val="104"/>
                <w:rFonts w:hint="eastAsia"/>
                <w:b/>
                <w:bCs/>
                <w:color w:val="auto"/>
                <w:highlight w:val="none"/>
                <w:lang w:eastAsia="zh-CN"/>
              </w:rPr>
              <w:t>不包括长山口填埋场现有的长山口垃圾填埋场填埋气收集控制工程和火炬系统。</w:t>
            </w:r>
          </w:p>
          <w:p w14:paraId="02AEACDC">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续建工程主要建设内容为填埋气预处理系统、发电系统、输配电系统及其他辅助配套工程。其中：</w:t>
            </w:r>
          </w:p>
          <w:p w14:paraId="554A86F1">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①预处理系统：新增填埋气预处理规模5000Nm</w:t>
            </w:r>
            <w:r>
              <w:rPr>
                <w:rStyle w:val="104"/>
                <w:rFonts w:hint="eastAsia"/>
                <w:color w:val="auto"/>
                <w:highlight w:val="none"/>
                <w:vertAlign w:val="superscript"/>
                <w:lang w:eastAsia="zh-CN"/>
              </w:rPr>
              <w:t>3</w:t>
            </w:r>
            <w:r>
              <w:rPr>
                <w:rStyle w:val="104"/>
                <w:rFonts w:hint="eastAsia"/>
                <w:color w:val="auto"/>
                <w:highlight w:val="none"/>
                <w:lang w:eastAsia="zh-CN"/>
              </w:rPr>
              <w:t>/h，续建工程实施后，填埋气预总处理规模达11000Nm</w:t>
            </w:r>
            <w:r>
              <w:rPr>
                <w:rStyle w:val="104"/>
                <w:rFonts w:hint="eastAsia"/>
                <w:color w:val="auto"/>
                <w:highlight w:val="none"/>
                <w:vertAlign w:val="superscript"/>
                <w:lang w:eastAsia="zh-CN"/>
              </w:rPr>
              <w:t>3</w:t>
            </w:r>
            <w:r>
              <w:rPr>
                <w:rStyle w:val="104"/>
                <w:rFonts w:hint="eastAsia"/>
                <w:color w:val="auto"/>
                <w:highlight w:val="none"/>
                <w:lang w:eastAsia="zh-CN"/>
              </w:rPr>
              <w:t>/h。</w:t>
            </w:r>
          </w:p>
          <w:p w14:paraId="2156289F">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②填埋气发电系统：新增发电机组6台1.067MW的燃气内燃发电机组，续建工程实施后，总发电装机容量达到14.938MW。</w:t>
            </w:r>
          </w:p>
          <w:p w14:paraId="74F5F5B3">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③输配电系统：依托现有工程的的输配电系统，仅新增3台箱式变压器和部分输电外线等。</w:t>
            </w:r>
          </w:p>
          <w:p w14:paraId="774742F8">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④综合管理楼：依托现有工程的综合管理楼。</w:t>
            </w:r>
          </w:p>
          <w:p w14:paraId="64193891">
            <w:pPr>
              <w:adjustRightInd/>
              <w:snapToGrid/>
              <w:spacing w:line="360" w:lineRule="auto"/>
              <w:ind w:firstLine="480" w:firstLineChars="200"/>
              <w:rPr>
                <w:rStyle w:val="104"/>
                <w:rFonts w:hint="eastAsia"/>
                <w:color w:val="auto"/>
                <w:highlight w:val="none"/>
                <w:lang w:eastAsia="zh-CN"/>
              </w:rPr>
            </w:pPr>
            <w:r>
              <w:rPr>
                <w:rStyle w:val="104"/>
                <w:rFonts w:hint="eastAsia"/>
                <w:color w:val="auto"/>
                <w:highlight w:val="none"/>
                <w:lang w:eastAsia="zh-CN"/>
              </w:rPr>
              <w:t>⑤发电量：运营期年均新增耗气量2044.2万Nm</w:t>
            </w:r>
            <w:r>
              <w:rPr>
                <w:rStyle w:val="104"/>
                <w:rFonts w:hint="eastAsia"/>
                <w:color w:val="auto"/>
                <w:highlight w:val="none"/>
                <w:vertAlign w:val="superscript"/>
                <w:lang w:eastAsia="zh-CN"/>
              </w:rPr>
              <w:t>3</w:t>
            </w:r>
            <w:r>
              <w:rPr>
                <w:rStyle w:val="104"/>
                <w:rFonts w:hint="eastAsia"/>
                <w:color w:val="auto"/>
                <w:highlight w:val="none"/>
                <w:lang w:eastAsia="zh-CN"/>
              </w:rPr>
              <w:t>，年均新增发电量为3407万度。续建工程实施后，项目运营期年均耗气量5044.2万Nm</w:t>
            </w:r>
            <w:r>
              <w:rPr>
                <w:rStyle w:val="104"/>
                <w:rFonts w:hint="eastAsia"/>
                <w:color w:val="auto"/>
                <w:highlight w:val="none"/>
                <w:vertAlign w:val="superscript"/>
                <w:lang w:eastAsia="zh-CN"/>
              </w:rPr>
              <w:t>3</w:t>
            </w:r>
            <w:r>
              <w:rPr>
                <w:rStyle w:val="104"/>
                <w:rFonts w:hint="eastAsia"/>
                <w:color w:val="auto"/>
                <w:highlight w:val="none"/>
                <w:lang w:eastAsia="zh-CN"/>
              </w:rPr>
              <w:t>，年均发电量为8407万度。</w:t>
            </w:r>
          </w:p>
          <w:p w14:paraId="6D8525F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eastAsia="zh-CN"/>
              </w:rPr>
            </w:pPr>
          </w:p>
          <w:p w14:paraId="542857A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eastAsia="黑体"/>
                <w:b/>
                <w:color w:val="auto"/>
                <w:sz w:val="24"/>
                <w:szCs w:val="24"/>
                <w:highlight w:val="none"/>
              </w:rPr>
              <w:t>2.</w:t>
            </w:r>
            <w:r>
              <w:rPr>
                <w:rFonts w:hint="eastAsia" w:eastAsia="黑体"/>
                <w:b/>
                <w:color w:val="auto"/>
                <w:sz w:val="24"/>
                <w:szCs w:val="24"/>
                <w:highlight w:val="none"/>
                <w:lang w:val="en-US" w:eastAsia="zh-CN"/>
              </w:rPr>
              <w:t>4</w:t>
            </w:r>
            <w:r>
              <w:rPr>
                <w:rFonts w:eastAsia="黑体"/>
                <w:b/>
                <w:color w:val="auto"/>
                <w:sz w:val="24"/>
                <w:szCs w:val="24"/>
                <w:highlight w:val="none"/>
              </w:rPr>
              <w:t>项目工程概况</w:t>
            </w:r>
          </w:p>
          <w:p w14:paraId="678284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黑体"/>
                <w:bCs/>
                <w:color w:val="auto"/>
                <w:sz w:val="24"/>
                <w:szCs w:val="24"/>
                <w:highlight w:val="none"/>
              </w:rPr>
            </w:pPr>
            <w:r>
              <w:rPr>
                <w:rFonts w:eastAsia="黑体"/>
                <w:bCs/>
                <w:color w:val="auto"/>
                <w:sz w:val="24"/>
                <w:szCs w:val="24"/>
                <w:highlight w:val="none"/>
              </w:rPr>
              <w:t>2.</w:t>
            </w:r>
            <w:r>
              <w:rPr>
                <w:rFonts w:hint="eastAsia" w:eastAsia="黑体"/>
                <w:bCs/>
                <w:color w:val="auto"/>
                <w:sz w:val="24"/>
                <w:szCs w:val="24"/>
                <w:highlight w:val="none"/>
                <w:lang w:val="en-US" w:eastAsia="zh-CN"/>
              </w:rPr>
              <w:t>4</w:t>
            </w:r>
            <w:r>
              <w:rPr>
                <w:rFonts w:eastAsia="黑体"/>
                <w:bCs/>
                <w:color w:val="auto"/>
                <w:sz w:val="24"/>
                <w:szCs w:val="24"/>
                <w:highlight w:val="none"/>
              </w:rPr>
              <w:t>.1项目地理位置及周边环境</w:t>
            </w:r>
          </w:p>
          <w:p w14:paraId="20005201">
            <w:pPr>
              <w:pStyle w:val="103"/>
              <w:adjustRightInd/>
              <w:snapToGrid/>
              <w:spacing w:line="360" w:lineRule="auto"/>
              <w:rPr>
                <w:rFonts w:hint="eastAsia" w:eastAsia="宋体"/>
                <w:color w:val="auto"/>
                <w:szCs w:val="24"/>
                <w:highlight w:val="none"/>
                <w:lang w:eastAsia="zh-CN"/>
              </w:rPr>
            </w:pPr>
            <w:r>
              <w:rPr>
                <w:rFonts w:hint="eastAsia"/>
                <w:color w:val="auto"/>
                <w:szCs w:val="24"/>
                <w:highlight w:val="none"/>
              </w:rPr>
              <w:t>武汉市江夏区长山口生活垃圾卫生填埋场全场分为填埋库区、污水处理区、沼气处置区和生活管理区</w:t>
            </w:r>
            <w:r>
              <w:rPr>
                <w:rFonts w:hint="eastAsia"/>
                <w:color w:val="auto"/>
                <w:szCs w:val="24"/>
                <w:highlight w:val="none"/>
                <w:lang w:eastAsia="zh-CN"/>
              </w:rPr>
              <w:t>。续建工程位于</w:t>
            </w:r>
            <w:r>
              <w:rPr>
                <w:rFonts w:hint="eastAsia"/>
                <w:color w:val="auto"/>
                <w:szCs w:val="24"/>
                <w:highlight w:val="none"/>
              </w:rPr>
              <w:t>沼气处置区</w:t>
            </w:r>
            <w:r>
              <w:rPr>
                <w:rFonts w:hint="eastAsia"/>
                <w:color w:val="auto"/>
                <w:szCs w:val="24"/>
                <w:highlight w:val="none"/>
                <w:lang w:eastAsia="zh-CN"/>
              </w:rPr>
              <w:t>，</w:t>
            </w:r>
            <w:r>
              <w:rPr>
                <w:rFonts w:hint="eastAsia"/>
                <w:color w:val="auto"/>
                <w:highlight w:val="none"/>
                <w:lang w:eastAsia="zh-CN"/>
              </w:rPr>
              <w:t>利用填埋场内垃圾填埋区产生的填埋气进行燃烧发电。项目北侧为</w:t>
            </w:r>
            <w:r>
              <w:rPr>
                <w:rFonts w:hint="eastAsia"/>
                <w:color w:val="auto"/>
                <w:szCs w:val="24"/>
                <w:highlight w:val="none"/>
                <w:lang w:eastAsia="zh-CN"/>
              </w:rPr>
              <w:t>填埋一区，东侧为</w:t>
            </w:r>
            <w:r>
              <w:rPr>
                <w:rFonts w:hint="eastAsia"/>
                <w:color w:val="auto"/>
                <w:highlight w:val="none"/>
                <w:lang w:eastAsia="zh-CN"/>
              </w:rPr>
              <w:t>填埋场的</w:t>
            </w:r>
            <w:r>
              <w:rPr>
                <w:rFonts w:eastAsiaTheme="minorEastAsia"/>
                <w:color w:val="auto"/>
                <w:szCs w:val="24"/>
                <w:highlight w:val="none"/>
              </w:rPr>
              <w:t>调节池</w:t>
            </w:r>
            <w:r>
              <w:rPr>
                <w:rFonts w:hint="eastAsia" w:eastAsiaTheme="minorEastAsia"/>
                <w:color w:val="auto"/>
                <w:szCs w:val="24"/>
                <w:highlight w:val="none"/>
                <w:lang w:eastAsia="zh-CN"/>
              </w:rPr>
              <w:t>及污水处理系统，南侧紧邻</w:t>
            </w:r>
            <w:r>
              <w:rPr>
                <w:rFonts w:hint="eastAsia"/>
                <w:color w:val="auto"/>
                <w:highlight w:val="none"/>
                <w:lang w:eastAsia="zh-CN"/>
              </w:rPr>
              <w:t>填埋场场界，西侧为锚杆格构梁喷播绿化，西北侧为</w:t>
            </w:r>
            <w:r>
              <w:rPr>
                <w:rFonts w:hint="eastAsia"/>
                <w:color w:val="auto"/>
                <w:szCs w:val="24"/>
                <w:highlight w:val="none"/>
              </w:rPr>
              <w:t>填埋</w:t>
            </w:r>
            <w:r>
              <w:rPr>
                <w:rFonts w:hint="eastAsia"/>
                <w:color w:val="auto"/>
                <w:szCs w:val="24"/>
                <w:highlight w:val="none"/>
                <w:lang w:eastAsia="zh-CN"/>
              </w:rPr>
              <w:t>三</w:t>
            </w:r>
            <w:r>
              <w:rPr>
                <w:rFonts w:hint="eastAsia"/>
                <w:color w:val="auto"/>
                <w:szCs w:val="24"/>
                <w:highlight w:val="none"/>
              </w:rPr>
              <w:t>区</w:t>
            </w:r>
            <w:r>
              <w:rPr>
                <w:rFonts w:hint="eastAsia"/>
                <w:color w:val="auto"/>
                <w:szCs w:val="24"/>
                <w:highlight w:val="none"/>
                <w:lang w:eastAsia="zh-CN"/>
              </w:rPr>
              <w:t>。</w:t>
            </w:r>
          </w:p>
          <w:p w14:paraId="6BB91EBA">
            <w:pPr>
              <w:pStyle w:val="103"/>
              <w:adjustRightInd/>
              <w:snapToGrid/>
              <w:spacing w:line="360" w:lineRule="auto"/>
              <w:rPr>
                <w:rFonts w:hint="eastAsia"/>
                <w:color w:val="auto"/>
                <w:highlight w:val="none"/>
                <w:lang w:eastAsia="zh-CN"/>
              </w:rPr>
            </w:pPr>
            <w:r>
              <w:rPr>
                <w:rFonts w:hint="eastAsia"/>
                <w:color w:val="auto"/>
                <w:highlight w:val="none"/>
              </w:rPr>
              <w:t>项目</w:t>
            </w:r>
            <w:r>
              <w:rPr>
                <w:rFonts w:hint="eastAsia"/>
                <w:color w:val="auto"/>
                <w:highlight w:val="none"/>
                <w:lang w:eastAsia="zh-CN"/>
              </w:rPr>
              <w:t>区域内分布有填埋场火炬系统、填埋场蒸发项目配套的预处理系统，</w:t>
            </w:r>
          </w:p>
          <w:p w14:paraId="7D7D4124">
            <w:pPr>
              <w:pStyle w:val="103"/>
              <w:adjustRightInd/>
              <w:snapToGrid/>
              <w:spacing w:line="360" w:lineRule="auto"/>
              <w:rPr>
                <w:color w:val="auto"/>
                <w:highlight w:val="none"/>
              </w:rPr>
            </w:pPr>
            <w:r>
              <w:rPr>
                <w:color w:val="auto"/>
                <w:szCs w:val="24"/>
                <w:highlight w:val="none"/>
              </w:rPr>
              <w:t>项目地理位置见附图1，周边环境情况见附图2。</w:t>
            </w:r>
          </w:p>
          <w:p w14:paraId="4683F2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黑体" w:cs="Times New Roman"/>
                <w:bCs/>
                <w:color w:val="auto"/>
                <w:sz w:val="24"/>
                <w:szCs w:val="24"/>
                <w:highlight w:val="none"/>
              </w:rPr>
            </w:pPr>
            <w:r>
              <w:rPr>
                <w:rFonts w:ascii="Times New Roman" w:hAnsi="Times New Roman" w:eastAsia="黑体" w:cs="Times New Roman"/>
                <w:bCs/>
                <w:color w:val="auto"/>
                <w:sz w:val="24"/>
                <w:szCs w:val="24"/>
                <w:highlight w:val="none"/>
              </w:rPr>
              <w:t>2.</w:t>
            </w:r>
            <w:r>
              <w:rPr>
                <w:rFonts w:hint="eastAsia" w:ascii="Times New Roman" w:hAnsi="Times New Roman" w:eastAsia="黑体" w:cs="Times New Roman"/>
                <w:bCs/>
                <w:color w:val="auto"/>
                <w:sz w:val="24"/>
                <w:szCs w:val="24"/>
                <w:highlight w:val="none"/>
                <w:lang w:val="en-US" w:eastAsia="zh-CN"/>
              </w:rPr>
              <w:t>4</w:t>
            </w:r>
            <w:r>
              <w:rPr>
                <w:rFonts w:ascii="Times New Roman" w:hAnsi="Times New Roman" w:eastAsia="黑体" w:cs="Times New Roman"/>
                <w:bCs/>
                <w:color w:val="auto"/>
                <w:sz w:val="24"/>
                <w:szCs w:val="24"/>
                <w:highlight w:val="none"/>
              </w:rPr>
              <w:t>.2项目平面布置</w:t>
            </w:r>
          </w:p>
          <w:p w14:paraId="18071A5A">
            <w:pPr>
              <w:pStyle w:val="103"/>
              <w:adjustRightInd/>
              <w:snapToGrid/>
              <w:spacing w:line="360" w:lineRule="auto"/>
              <w:rPr>
                <w:rFonts w:hint="eastAsia"/>
                <w:color w:val="auto"/>
                <w:highlight w:val="none"/>
              </w:rPr>
            </w:pPr>
            <w:r>
              <w:rPr>
                <w:rFonts w:hint="eastAsia"/>
                <w:color w:val="auto"/>
                <w:highlight w:val="none"/>
              </w:rPr>
              <w:t>项目厂区位于长山口生活垃圾填埋场内一期调节池西侧。厂区以长山口卫生填埋场一期工程环场路作为主要进出道路，由于填埋气发电厂人流、物流量很小，仅设置一个出入口，设在厂区与环场路连接处，消防车可出入口进出厂，经厂内环形道路通达各车间、厂房和场地。由北向南依次是封闭式火炬系统（为长山口卫生填埋场现有工程，不属于续建工程评价范围）、填埋气预处理系统、发电机组，综合办公楼位于西北角。</w:t>
            </w:r>
          </w:p>
          <w:p w14:paraId="00CA4930">
            <w:pPr>
              <w:pStyle w:val="103"/>
              <w:adjustRightInd/>
              <w:snapToGrid/>
              <w:spacing w:line="360" w:lineRule="auto"/>
              <w:rPr>
                <w:color w:val="auto"/>
                <w:highlight w:val="none"/>
              </w:rPr>
            </w:pPr>
            <w:r>
              <w:rPr>
                <w:color w:val="auto"/>
                <w:highlight w:val="none"/>
              </w:rPr>
              <w:t>项目总平面布置详见附图</w:t>
            </w:r>
            <w:r>
              <w:rPr>
                <w:rFonts w:hint="eastAsia"/>
                <w:color w:val="auto"/>
                <w:highlight w:val="none"/>
                <w:lang w:val="en-US" w:eastAsia="zh-CN"/>
              </w:rPr>
              <w:t>3</w:t>
            </w:r>
            <w:r>
              <w:rPr>
                <w:rFonts w:hint="eastAsia"/>
                <w:color w:val="auto"/>
                <w:highlight w:val="none"/>
              </w:rPr>
              <w:t>。</w:t>
            </w:r>
          </w:p>
          <w:p w14:paraId="50C629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黑体" w:cs="Times New Roman"/>
                <w:bCs/>
                <w:color w:val="auto"/>
                <w:sz w:val="24"/>
                <w:szCs w:val="24"/>
                <w:highlight w:val="none"/>
              </w:rPr>
            </w:pPr>
            <w:r>
              <w:rPr>
                <w:rFonts w:ascii="Times New Roman" w:hAnsi="Times New Roman" w:eastAsia="黑体" w:cs="Times New Roman"/>
                <w:bCs/>
                <w:color w:val="auto"/>
                <w:sz w:val="24"/>
                <w:szCs w:val="24"/>
                <w:highlight w:val="none"/>
              </w:rPr>
              <w:t>2.</w:t>
            </w:r>
            <w:r>
              <w:rPr>
                <w:rFonts w:hint="eastAsia" w:ascii="Times New Roman" w:hAnsi="Times New Roman" w:eastAsia="黑体" w:cs="Times New Roman"/>
                <w:bCs/>
                <w:color w:val="auto"/>
                <w:sz w:val="24"/>
                <w:szCs w:val="24"/>
                <w:highlight w:val="none"/>
                <w:lang w:val="en-US" w:eastAsia="zh-CN"/>
              </w:rPr>
              <w:t>4</w:t>
            </w:r>
            <w:r>
              <w:rPr>
                <w:rFonts w:ascii="Times New Roman" w:hAnsi="Times New Roman" w:eastAsia="黑体" w:cs="Times New Roman"/>
                <w:bCs/>
                <w:color w:val="auto"/>
                <w:sz w:val="24"/>
                <w:szCs w:val="24"/>
                <w:highlight w:val="none"/>
              </w:rPr>
              <w:t>.3</w:t>
            </w:r>
            <w:r>
              <w:rPr>
                <w:rFonts w:hint="eastAsia" w:ascii="Times New Roman" w:hAnsi="Times New Roman" w:eastAsia="黑体" w:cs="Times New Roman"/>
                <w:bCs/>
                <w:color w:val="auto"/>
                <w:sz w:val="24"/>
                <w:szCs w:val="24"/>
                <w:highlight w:val="none"/>
                <w:lang w:eastAsia="zh-CN"/>
              </w:rPr>
              <w:t>续建工程</w:t>
            </w:r>
            <w:r>
              <w:rPr>
                <w:rFonts w:ascii="Times New Roman" w:hAnsi="Times New Roman" w:eastAsia="黑体" w:cs="Times New Roman"/>
                <w:bCs/>
                <w:color w:val="auto"/>
                <w:sz w:val="24"/>
                <w:szCs w:val="24"/>
                <w:highlight w:val="none"/>
              </w:rPr>
              <w:t>建设内容</w:t>
            </w:r>
          </w:p>
          <w:p w14:paraId="2C077816">
            <w:pPr>
              <w:adjustRightInd/>
              <w:snapToGrid/>
              <w:spacing w:line="360" w:lineRule="auto"/>
              <w:ind w:firstLine="480" w:firstLineChars="200"/>
              <w:rPr>
                <w:rStyle w:val="104"/>
                <w:rFonts w:hint="eastAsia"/>
                <w:color w:val="auto"/>
                <w:highlight w:val="none"/>
              </w:rPr>
            </w:pPr>
            <w:r>
              <w:rPr>
                <w:rStyle w:val="104"/>
                <w:rFonts w:hint="eastAsia"/>
                <w:color w:val="auto"/>
                <w:highlight w:val="none"/>
                <w:lang w:eastAsia="zh-CN"/>
              </w:rPr>
              <w:t>续建工程</w:t>
            </w:r>
            <w:r>
              <w:rPr>
                <w:rStyle w:val="104"/>
                <w:rFonts w:hint="eastAsia"/>
                <w:color w:val="auto"/>
                <w:highlight w:val="none"/>
              </w:rPr>
              <w:t>不新增占地，利用现有发电工程北侧</w:t>
            </w:r>
            <w:r>
              <w:rPr>
                <w:rStyle w:val="104"/>
                <w:rFonts w:hint="eastAsia"/>
                <w:color w:val="auto"/>
                <w:highlight w:val="none"/>
                <w:lang w:eastAsia="zh-CN"/>
              </w:rPr>
              <w:t>和东侧</w:t>
            </w:r>
            <w:r>
              <w:rPr>
                <w:rStyle w:val="104"/>
                <w:rFonts w:hint="eastAsia"/>
                <w:color w:val="auto"/>
                <w:highlight w:val="none"/>
              </w:rPr>
              <w:t>空地进行扩建工程，主要用于设置填埋气预处理系统、发电机组、电力输出系统以及相关配套公用工程等，主要工程内容组成见下表：</w:t>
            </w:r>
          </w:p>
          <w:p w14:paraId="467792F2">
            <w:pPr>
              <w:pStyle w:val="124"/>
              <w:numPr>
                <w:ilvl w:val="0"/>
                <w:numId w:val="0"/>
              </w:numPr>
              <w:adjustRightInd/>
              <w:snapToGrid/>
              <w:spacing w:line="240" w:lineRule="auto"/>
              <w:jc w:val="both"/>
              <w:rPr>
                <w:rFonts w:eastAsia="宋体"/>
                <w:color w:val="auto"/>
                <w:sz w:val="24"/>
                <w:highlight w:val="none"/>
              </w:rPr>
            </w:pPr>
          </w:p>
        </w:tc>
      </w:tr>
    </w:tbl>
    <w:p w14:paraId="49136FCA">
      <w:pPr>
        <w:rPr>
          <w:color w:val="auto"/>
          <w:highlight w:val="none"/>
        </w:rPr>
        <w:sectPr>
          <w:headerReference r:id="rId3" w:type="default"/>
          <w:footerReference r:id="rId4"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tbl>
      <w:tblPr>
        <w:tblStyle w:val="30"/>
        <w:tblW w:w="0" w:type="auto"/>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14218"/>
      </w:tblGrid>
      <w:tr w14:paraId="4F37E7A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48" w:hRule="atLeast"/>
          <w:jc w:val="center"/>
        </w:trPr>
        <w:tc>
          <w:tcPr>
            <w:tcW w:w="14218" w:type="dxa"/>
            <w:tcBorders>
              <w:tl2br w:val="nil"/>
              <w:tr2bl w:val="nil"/>
            </w:tcBorders>
          </w:tcPr>
          <w:p w14:paraId="006D786F">
            <w:pPr>
              <w:pStyle w:val="121"/>
              <w:adjustRightInd/>
              <w:snapToGrid/>
              <w:rPr>
                <w:color w:val="auto"/>
                <w:sz w:val="21"/>
                <w:highlight w:val="none"/>
              </w:rPr>
            </w:pPr>
            <w:r>
              <w:rPr>
                <w:rFonts w:hint="eastAsia"/>
                <w:color w:val="auto"/>
                <w:sz w:val="21"/>
                <w:highlight w:val="none"/>
                <w:lang w:eastAsia="zh-CN"/>
              </w:rPr>
              <w:t>续建工程</w:t>
            </w:r>
            <w:r>
              <w:rPr>
                <w:rFonts w:hint="eastAsia"/>
                <w:color w:val="auto"/>
                <w:sz w:val="21"/>
                <w:highlight w:val="none"/>
              </w:rPr>
              <w:t>实际建设与环评内容对比一览表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381"/>
              <w:gridCol w:w="395"/>
              <w:gridCol w:w="652"/>
              <w:gridCol w:w="5772"/>
              <w:gridCol w:w="5207"/>
              <w:gridCol w:w="1587"/>
            </w:tblGrid>
            <w:tr w14:paraId="7AAB65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510" w:type="pct"/>
                  <w:gridSpan w:val="3"/>
                  <w:tcBorders>
                    <w:bottom w:val="single" w:color="auto" w:sz="12" w:space="0"/>
                  </w:tcBorders>
                  <w:noWrap w:val="0"/>
                  <w:vAlign w:val="center"/>
                </w:tcPr>
                <w:p w14:paraId="4A4012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项目名称</w:t>
                  </w:r>
                </w:p>
              </w:tc>
              <w:tc>
                <w:tcPr>
                  <w:tcW w:w="2062" w:type="pct"/>
                  <w:tcBorders>
                    <w:bottom w:val="single" w:color="auto" w:sz="12" w:space="0"/>
                  </w:tcBorders>
                  <w:noWrap w:val="0"/>
                  <w:vAlign w:val="center"/>
                </w:tcPr>
                <w:p w14:paraId="62D973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环评拟建情况</w:t>
                  </w:r>
                </w:p>
              </w:tc>
              <w:tc>
                <w:tcPr>
                  <w:tcW w:w="1860" w:type="pct"/>
                  <w:tcBorders>
                    <w:bottom w:val="single" w:color="auto" w:sz="12" w:space="0"/>
                  </w:tcBorders>
                  <w:noWrap w:val="0"/>
                  <w:vAlign w:val="center"/>
                </w:tcPr>
                <w:p w14:paraId="16BB12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实际建设内容</w:t>
                  </w:r>
                </w:p>
              </w:tc>
              <w:tc>
                <w:tcPr>
                  <w:tcW w:w="567" w:type="pct"/>
                  <w:tcBorders>
                    <w:bottom w:val="single" w:color="auto" w:sz="12" w:space="0"/>
                  </w:tcBorders>
                  <w:noWrap w:val="0"/>
                  <w:vAlign w:val="center"/>
                </w:tcPr>
                <w:p w14:paraId="1EB10F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18"/>
                      <w:szCs w:val="18"/>
                      <w:highlight w:val="none"/>
                      <w:lang w:eastAsia="zh-CN"/>
                    </w:rPr>
                  </w:pPr>
                  <w:r>
                    <w:rPr>
                      <w:rFonts w:hint="eastAsia" w:ascii="Times New Roman" w:hAnsi="Times New Roman" w:eastAsia="宋体" w:cs="Times New Roman"/>
                      <w:b/>
                      <w:bCs/>
                      <w:color w:val="auto"/>
                      <w:sz w:val="18"/>
                      <w:szCs w:val="18"/>
                      <w:highlight w:val="none"/>
                      <w:lang w:eastAsia="zh-CN"/>
                    </w:rPr>
                    <w:t>变更内容</w:t>
                  </w:r>
                </w:p>
              </w:tc>
            </w:tr>
            <w:tr w14:paraId="09E299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restart"/>
                  <w:tcBorders>
                    <w:top w:val="single" w:color="auto" w:sz="12" w:space="0"/>
                    <w:tl2br w:val="nil"/>
                    <w:tr2bl w:val="nil"/>
                  </w:tcBorders>
                  <w:noWrap w:val="0"/>
                  <w:vAlign w:val="center"/>
                </w:tcPr>
                <w:p w14:paraId="7211F1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主体工程</w:t>
                  </w:r>
                </w:p>
              </w:tc>
              <w:tc>
                <w:tcPr>
                  <w:tcW w:w="374" w:type="pct"/>
                  <w:gridSpan w:val="2"/>
                  <w:tcBorders>
                    <w:top w:val="single" w:color="auto" w:sz="12" w:space="0"/>
                    <w:tl2br w:val="nil"/>
                    <w:tr2bl w:val="nil"/>
                  </w:tcBorders>
                  <w:noWrap w:val="0"/>
                  <w:vAlign w:val="center"/>
                </w:tcPr>
                <w:p w14:paraId="4D3979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发电系统</w:t>
                  </w:r>
                </w:p>
              </w:tc>
              <w:tc>
                <w:tcPr>
                  <w:tcW w:w="2062" w:type="pct"/>
                  <w:tcBorders>
                    <w:top w:val="single" w:color="auto" w:sz="12" w:space="0"/>
                    <w:tl2br w:val="nil"/>
                    <w:tr2bl w:val="nil"/>
                  </w:tcBorders>
                  <w:noWrap w:val="0"/>
                  <w:vAlign w:val="center"/>
                </w:tcPr>
                <w:p w14:paraId="5817AB0D">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olor w:val="auto"/>
                      <w:sz w:val="18"/>
                      <w:szCs w:val="18"/>
                      <w:lang w:eastAsia="zh-CN"/>
                    </w:rPr>
                    <w:t>续建工程</w:t>
                  </w:r>
                  <w:r>
                    <w:rPr>
                      <w:rFonts w:hint="eastAsia"/>
                      <w:color w:val="auto"/>
                      <w:sz w:val="18"/>
                      <w:szCs w:val="18"/>
                    </w:rPr>
                    <w:t>发电系统总的装机拟选用6台颜巴赫J320GS-S.L燃气内燃发电机组，单机电功率1067KW，项目总装机6.402MW</w:t>
                  </w:r>
                  <w:r>
                    <w:rPr>
                      <w:color w:val="auto"/>
                      <w:sz w:val="18"/>
                      <w:szCs w:val="18"/>
                    </w:rPr>
                    <w:t>，</w:t>
                  </w:r>
                  <w:r>
                    <w:rPr>
                      <w:rFonts w:hint="eastAsia"/>
                      <w:color w:val="auto"/>
                      <w:sz w:val="18"/>
                      <w:szCs w:val="18"/>
                    </w:rPr>
                    <w:t>年均发电量为3407万度，年均运行时间约7500h，年均耗气量约2044.2万Nm</w:t>
                  </w:r>
                  <w:r>
                    <w:rPr>
                      <w:rFonts w:hint="eastAsia"/>
                      <w:color w:val="auto"/>
                      <w:sz w:val="18"/>
                      <w:szCs w:val="18"/>
                      <w:vertAlign w:val="superscript"/>
                    </w:rPr>
                    <w:t>3</w:t>
                  </w:r>
                  <w:r>
                    <w:rPr>
                      <w:rFonts w:hint="eastAsia"/>
                      <w:color w:val="auto"/>
                      <w:sz w:val="18"/>
                      <w:szCs w:val="18"/>
                    </w:rPr>
                    <w:t>，2725.6Nm</w:t>
                  </w:r>
                  <w:r>
                    <w:rPr>
                      <w:rFonts w:hint="eastAsia"/>
                      <w:color w:val="auto"/>
                      <w:sz w:val="18"/>
                      <w:szCs w:val="18"/>
                      <w:vertAlign w:val="superscript"/>
                    </w:rPr>
                    <w:t>3</w:t>
                  </w:r>
                  <w:r>
                    <w:rPr>
                      <w:rFonts w:hint="eastAsia"/>
                      <w:color w:val="auto"/>
                      <w:sz w:val="18"/>
                      <w:szCs w:val="18"/>
                    </w:rPr>
                    <w:t>/h，共安装6台发电机组，单台发电机组的耗气量为454.3Nm</w:t>
                  </w:r>
                  <w:r>
                    <w:rPr>
                      <w:rFonts w:hint="eastAsia"/>
                      <w:color w:val="auto"/>
                      <w:sz w:val="18"/>
                      <w:szCs w:val="18"/>
                      <w:vertAlign w:val="superscript"/>
                    </w:rPr>
                    <w:t>3</w:t>
                  </w:r>
                  <w:r>
                    <w:rPr>
                      <w:rFonts w:hint="eastAsia"/>
                      <w:color w:val="auto"/>
                      <w:sz w:val="18"/>
                      <w:szCs w:val="18"/>
                    </w:rPr>
                    <w:t>/h，</w:t>
                  </w:r>
                  <w:r>
                    <w:rPr>
                      <w:color w:val="auto"/>
                      <w:sz w:val="18"/>
                      <w:szCs w:val="18"/>
                    </w:rPr>
                    <w:t>安装在</w:t>
                  </w:r>
                  <w:r>
                    <w:rPr>
                      <w:rFonts w:hint="eastAsia"/>
                      <w:color w:val="auto"/>
                      <w:sz w:val="18"/>
                      <w:szCs w:val="18"/>
                    </w:rPr>
                    <w:t>长山口卫生填埋场一期调节池西侧</w:t>
                  </w:r>
                  <w:r>
                    <w:rPr>
                      <w:color w:val="auto"/>
                      <w:sz w:val="18"/>
                      <w:szCs w:val="18"/>
                    </w:rPr>
                    <w:t>区域</w:t>
                  </w:r>
                  <w:r>
                    <w:rPr>
                      <w:rFonts w:hint="eastAsia"/>
                      <w:color w:val="auto"/>
                      <w:sz w:val="18"/>
                      <w:szCs w:val="18"/>
                    </w:rPr>
                    <w:t>，现有工程发电机组的西侧。</w:t>
                  </w:r>
                </w:p>
              </w:tc>
              <w:tc>
                <w:tcPr>
                  <w:tcW w:w="1860" w:type="pct"/>
                  <w:tcBorders>
                    <w:top w:val="single" w:color="auto" w:sz="12" w:space="0"/>
                    <w:tl2br w:val="nil"/>
                    <w:tr2bl w:val="nil"/>
                  </w:tcBorders>
                  <w:noWrap w:val="0"/>
                  <w:vAlign w:val="center"/>
                </w:tcPr>
                <w:p w14:paraId="6B6A70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eastAsia" w:eastAsia="宋体"/>
                      <w:color w:val="auto"/>
                      <w:sz w:val="18"/>
                      <w:szCs w:val="18"/>
                      <w:highlight w:val="none"/>
                      <w:lang w:eastAsia="zh-CN"/>
                    </w:rPr>
                    <w:t>与环评一致</w:t>
                  </w:r>
                </w:p>
              </w:tc>
              <w:tc>
                <w:tcPr>
                  <w:tcW w:w="567" w:type="pct"/>
                  <w:tcBorders>
                    <w:top w:val="single" w:color="auto" w:sz="12" w:space="0"/>
                    <w:tl2br w:val="nil"/>
                    <w:tr2bl w:val="nil"/>
                  </w:tcBorders>
                  <w:noWrap w:val="0"/>
                  <w:vAlign w:val="center"/>
                </w:tcPr>
                <w:p w14:paraId="4F64D8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无</w:t>
                  </w:r>
                </w:p>
              </w:tc>
            </w:tr>
            <w:tr w14:paraId="6DB029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3C5F12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restart"/>
                  <w:tcBorders>
                    <w:tl2br w:val="nil"/>
                    <w:tr2bl w:val="nil"/>
                  </w:tcBorders>
                  <w:noWrap w:val="0"/>
                  <w:vAlign w:val="center"/>
                </w:tcPr>
                <w:p w14:paraId="53A0DD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其中</w:t>
                  </w:r>
                </w:p>
              </w:tc>
              <w:tc>
                <w:tcPr>
                  <w:tcW w:w="232" w:type="pct"/>
                  <w:tcBorders>
                    <w:tl2br w:val="nil"/>
                    <w:tr2bl w:val="nil"/>
                  </w:tcBorders>
                  <w:shd w:val="clear" w:color="auto" w:fill="auto"/>
                  <w:noWrap w:val="0"/>
                  <w:vAlign w:val="center"/>
                </w:tcPr>
                <w:p w14:paraId="7B849E9D">
                  <w:pPr>
                    <w:pStyle w:val="135"/>
                    <w:jc w:val="center"/>
                    <w:rPr>
                      <w:rFonts w:hint="default" w:ascii="Times New Roman" w:hAnsi="Times New Roman" w:eastAsia="宋体" w:cs="Times New Roman"/>
                      <w:color w:val="auto"/>
                      <w:kern w:val="2"/>
                      <w:sz w:val="18"/>
                      <w:szCs w:val="18"/>
                      <w:lang w:val="en-US" w:eastAsia="zh-CN" w:bidi="ar-SA"/>
                    </w:rPr>
                  </w:pPr>
                  <w:r>
                    <w:rPr>
                      <w:rFonts w:hint="eastAsia" w:eastAsia="宋体"/>
                      <w:color w:val="auto"/>
                      <w:szCs w:val="18"/>
                    </w:rPr>
                    <w:t>燃料输送</w:t>
                  </w:r>
                </w:p>
              </w:tc>
              <w:tc>
                <w:tcPr>
                  <w:tcW w:w="2062" w:type="pct"/>
                  <w:tcBorders>
                    <w:tl2br w:val="nil"/>
                    <w:tr2bl w:val="nil"/>
                  </w:tcBorders>
                  <w:shd w:val="clear" w:color="auto" w:fill="auto"/>
                  <w:noWrap w:val="0"/>
                  <w:vAlign w:val="center"/>
                </w:tcPr>
                <w:p w14:paraId="73D441DB">
                  <w:pPr>
                    <w:pStyle w:val="135"/>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eastAsia" w:eastAsia="宋体"/>
                      <w:color w:val="auto"/>
                      <w:szCs w:val="18"/>
                      <w:lang w:eastAsia="zh-CN"/>
                    </w:rPr>
                  </w:pPr>
                  <w:r>
                    <w:rPr>
                      <w:rFonts w:hint="eastAsia" w:eastAsia="宋体"/>
                      <w:color w:val="auto"/>
                      <w:szCs w:val="18"/>
                    </w:rPr>
                    <w:t>经过处理后的燃料（填埋气）由总管（Ф630×8）送至主厂房，每台机组分别由一条支管（Ф125×4.5）引入。在每台机组燃料入口管道上安装有零压力调节阀门组，包括手动切断阀、燃气滤清器、两个快速切断阀和燃气稳压阀。燃料输送系统主管道设有放散阀，吹扫接口，吹扫气体为氮气汇流排提供的氮气。</w:t>
                  </w:r>
                </w:p>
                <w:p w14:paraId="1E7A7E1E">
                  <w:pPr>
                    <w:pStyle w:val="135"/>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eastAsia="宋体"/>
                      <w:color w:val="auto"/>
                      <w:szCs w:val="18"/>
                      <w:lang w:eastAsia="zh-CN"/>
                    </w:rPr>
                    <w:t>建成后，预计年新增填埋气输送量</w:t>
                  </w:r>
                  <w:r>
                    <w:rPr>
                      <w:rFonts w:hint="eastAsia"/>
                      <w:color w:val="auto"/>
                    </w:rPr>
                    <w:t>2044.2万Nm</w:t>
                  </w:r>
                  <w:r>
                    <w:rPr>
                      <w:rFonts w:hint="eastAsia"/>
                      <w:color w:val="auto"/>
                      <w:vertAlign w:val="superscript"/>
                    </w:rPr>
                    <w:t>3</w:t>
                  </w:r>
                  <w:r>
                    <w:rPr>
                      <w:rFonts w:hint="eastAsia" w:eastAsia="宋体"/>
                      <w:color w:val="auto"/>
                      <w:szCs w:val="18"/>
                    </w:rPr>
                    <w:t>。</w:t>
                  </w:r>
                </w:p>
              </w:tc>
              <w:tc>
                <w:tcPr>
                  <w:tcW w:w="1860" w:type="pct"/>
                  <w:tcBorders>
                    <w:tl2br w:val="nil"/>
                    <w:tr2bl w:val="nil"/>
                  </w:tcBorders>
                  <w:shd w:val="clear" w:color="auto" w:fill="auto"/>
                  <w:noWrap w:val="0"/>
                  <w:vAlign w:val="center"/>
                </w:tcPr>
                <w:p w14:paraId="47FA54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4F02B0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25198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215D6F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4D6AFC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63415E66">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空气过滤</w:t>
                  </w:r>
                </w:p>
              </w:tc>
              <w:tc>
                <w:tcPr>
                  <w:tcW w:w="2062" w:type="pct"/>
                  <w:tcBorders>
                    <w:tl2br w:val="nil"/>
                    <w:tr2bl w:val="nil"/>
                  </w:tcBorders>
                  <w:shd w:val="clear" w:color="auto" w:fill="auto"/>
                  <w:noWrap w:val="0"/>
                  <w:vAlign w:val="center"/>
                </w:tcPr>
                <w:p w14:paraId="65BE18B6">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每台燃机配备有一台空气滤清器，空气过滤后通过风管吸入燃机本体。</w:t>
                  </w:r>
                </w:p>
              </w:tc>
              <w:tc>
                <w:tcPr>
                  <w:tcW w:w="1860" w:type="pct"/>
                  <w:tcBorders>
                    <w:tl2br w:val="nil"/>
                    <w:tr2bl w:val="nil"/>
                  </w:tcBorders>
                  <w:shd w:val="clear" w:color="auto" w:fill="auto"/>
                  <w:noWrap w:val="0"/>
                  <w:vAlign w:val="center"/>
                </w:tcPr>
                <w:p w14:paraId="3C2B81E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007FAF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217DCC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200FD5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7D68BD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31AF16DF">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缸套水冷却</w:t>
                  </w:r>
                </w:p>
              </w:tc>
              <w:tc>
                <w:tcPr>
                  <w:tcW w:w="2062" w:type="pct"/>
                  <w:tcBorders>
                    <w:tl2br w:val="nil"/>
                    <w:tr2bl w:val="nil"/>
                  </w:tcBorders>
                  <w:shd w:val="clear" w:color="auto" w:fill="auto"/>
                  <w:noWrap w:val="0"/>
                  <w:vAlign w:val="center"/>
                </w:tcPr>
                <w:p w14:paraId="32A91AD8">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缸套水系统主要冷却发动机运转时气缸和润滑油产生的热量，同时预热进入空气滤清器的低温燃烧空气。为封闭式冷却水循环系统，配有独立的冷却水管道。</w:t>
                  </w:r>
                </w:p>
              </w:tc>
              <w:tc>
                <w:tcPr>
                  <w:tcW w:w="1860" w:type="pct"/>
                  <w:tcBorders>
                    <w:tl2br w:val="nil"/>
                    <w:tr2bl w:val="nil"/>
                  </w:tcBorders>
                  <w:shd w:val="clear" w:color="auto" w:fill="auto"/>
                  <w:noWrap w:val="0"/>
                  <w:vAlign w:val="center"/>
                </w:tcPr>
                <w:p w14:paraId="1E9E7A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730064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12338B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5D3080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692FD8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7459FC56">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中冷水冷却</w:t>
                  </w:r>
                </w:p>
              </w:tc>
              <w:tc>
                <w:tcPr>
                  <w:tcW w:w="2062" w:type="pct"/>
                  <w:tcBorders>
                    <w:tl2br w:val="nil"/>
                    <w:tr2bl w:val="nil"/>
                  </w:tcBorders>
                  <w:shd w:val="clear" w:color="auto" w:fill="auto"/>
                  <w:noWrap w:val="0"/>
                  <w:vAlign w:val="center"/>
                </w:tcPr>
                <w:p w14:paraId="0F19B3B3">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中冷水系统主要冷却空气和甲烷混合后气体在废气涡轮增压器中压缩产生的热量。中冷水系统为封闭式冷却循环系统，配有独立的冷却液管道</w:t>
                  </w:r>
                  <w:r>
                    <w:rPr>
                      <w:color w:val="auto"/>
                      <w:sz w:val="18"/>
                      <w:szCs w:val="18"/>
                    </w:rPr>
                    <w:t>。机组</w:t>
                  </w:r>
                  <w:r>
                    <w:rPr>
                      <w:rFonts w:hint="eastAsia"/>
                      <w:color w:val="auto"/>
                      <w:sz w:val="18"/>
                      <w:szCs w:val="18"/>
                    </w:rPr>
                    <w:t>使用的</w:t>
                  </w:r>
                  <w:r>
                    <w:rPr>
                      <w:color w:val="auto"/>
                      <w:sz w:val="18"/>
                      <w:szCs w:val="18"/>
                    </w:rPr>
                    <w:t>冷却液</w:t>
                  </w:r>
                  <w:r>
                    <w:rPr>
                      <w:rFonts w:hint="eastAsia"/>
                      <w:color w:val="auto"/>
                      <w:sz w:val="18"/>
                      <w:szCs w:val="18"/>
                    </w:rPr>
                    <w:t>定期进行补充</w:t>
                  </w:r>
                  <w:r>
                    <w:rPr>
                      <w:color w:val="auto"/>
                      <w:sz w:val="18"/>
                      <w:szCs w:val="18"/>
                    </w:rPr>
                    <w:t>。</w:t>
                  </w:r>
                </w:p>
              </w:tc>
              <w:tc>
                <w:tcPr>
                  <w:tcW w:w="1860" w:type="pct"/>
                  <w:tcBorders>
                    <w:tl2br w:val="nil"/>
                    <w:tr2bl w:val="nil"/>
                  </w:tcBorders>
                  <w:shd w:val="clear" w:color="auto" w:fill="auto"/>
                  <w:noWrap w:val="0"/>
                  <w:vAlign w:val="center"/>
                </w:tcPr>
                <w:p w14:paraId="527FCD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39B140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A71E2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3D7931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705AF5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0C9321EF">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润滑油更换</w:t>
                  </w:r>
                </w:p>
              </w:tc>
              <w:tc>
                <w:tcPr>
                  <w:tcW w:w="2062" w:type="pct"/>
                  <w:tcBorders>
                    <w:tl2br w:val="nil"/>
                    <w:tr2bl w:val="nil"/>
                  </w:tcBorders>
                  <w:shd w:val="clear" w:color="auto" w:fill="auto"/>
                  <w:noWrap w:val="0"/>
                  <w:vAlign w:val="center"/>
                </w:tcPr>
                <w:p w14:paraId="5B252922">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主要包括补油和放油管道。设有1个补油箱、1个废油箱和</w:t>
                  </w:r>
                  <w:r>
                    <w:rPr>
                      <w:rFonts w:hint="eastAsia"/>
                      <w:color w:val="auto"/>
                      <w:sz w:val="18"/>
                      <w:szCs w:val="18"/>
                    </w:rPr>
                    <w:t>1</w:t>
                  </w:r>
                  <w:r>
                    <w:rPr>
                      <w:color w:val="auto"/>
                      <w:sz w:val="18"/>
                      <w:szCs w:val="18"/>
                    </w:rPr>
                    <w:t>台补油泵（兼作排油泵），补油箱和废油箱均为地上布置，容积为</w:t>
                  </w:r>
                  <w:r>
                    <w:rPr>
                      <w:rFonts w:hint="eastAsia"/>
                      <w:color w:val="auto"/>
                      <w:sz w:val="18"/>
                      <w:szCs w:val="18"/>
                    </w:rPr>
                    <w:t>2</w:t>
                  </w:r>
                  <w:r>
                    <w:rPr>
                      <w:color w:val="auto"/>
                      <w:sz w:val="18"/>
                      <w:szCs w:val="18"/>
                    </w:rPr>
                    <w:t>m</w:t>
                  </w:r>
                  <w:r>
                    <w:rPr>
                      <w:color w:val="auto"/>
                      <w:sz w:val="18"/>
                      <w:szCs w:val="18"/>
                      <w:vertAlign w:val="superscript"/>
                    </w:rPr>
                    <w:t>3</w:t>
                  </w:r>
                  <w:r>
                    <w:rPr>
                      <w:color w:val="auto"/>
                      <w:sz w:val="18"/>
                      <w:szCs w:val="18"/>
                    </w:rPr>
                    <w:t>。</w:t>
                  </w:r>
                </w:p>
              </w:tc>
              <w:tc>
                <w:tcPr>
                  <w:tcW w:w="1860" w:type="pct"/>
                  <w:tcBorders>
                    <w:tl2br w:val="nil"/>
                    <w:tr2bl w:val="nil"/>
                  </w:tcBorders>
                  <w:shd w:val="clear" w:color="auto" w:fill="auto"/>
                  <w:noWrap w:val="0"/>
                  <w:vAlign w:val="center"/>
                </w:tcPr>
                <w:p w14:paraId="21FD7B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799D9B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28AE54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4A497C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68F62E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1AA03837">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曲轴箱呼吸</w:t>
                  </w:r>
                </w:p>
              </w:tc>
              <w:tc>
                <w:tcPr>
                  <w:tcW w:w="2062" w:type="pct"/>
                  <w:tcBorders>
                    <w:tl2br w:val="nil"/>
                    <w:tr2bl w:val="nil"/>
                  </w:tcBorders>
                  <w:shd w:val="clear" w:color="auto" w:fill="auto"/>
                  <w:noWrap w:val="0"/>
                  <w:vAlign w:val="center"/>
                </w:tcPr>
                <w:p w14:paraId="1A4F5CF9">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每台机组的呼吸管道（Φ108×4）在机组发动机</w:t>
                  </w:r>
                  <w:r>
                    <w:rPr>
                      <w:rFonts w:hint="eastAsia"/>
                      <w:color w:val="auto"/>
                      <w:sz w:val="18"/>
                      <w:szCs w:val="18"/>
                    </w:rPr>
                    <w:t>内部将混合气过滤并会回送至气缸内燃烧，不与大气相通。</w:t>
                  </w:r>
                </w:p>
              </w:tc>
              <w:tc>
                <w:tcPr>
                  <w:tcW w:w="1860" w:type="pct"/>
                  <w:tcBorders>
                    <w:tl2br w:val="nil"/>
                    <w:tr2bl w:val="nil"/>
                  </w:tcBorders>
                  <w:shd w:val="clear" w:color="auto" w:fill="auto"/>
                  <w:noWrap w:val="0"/>
                  <w:vAlign w:val="center"/>
                </w:tcPr>
                <w:p w14:paraId="3E6F55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251D39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6D0839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73DB90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41" w:type="pct"/>
                  <w:vMerge w:val="continue"/>
                  <w:tcBorders>
                    <w:tl2br w:val="nil"/>
                    <w:tr2bl w:val="nil"/>
                  </w:tcBorders>
                  <w:noWrap w:val="0"/>
                  <w:vAlign w:val="center"/>
                </w:tcPr>
                <w:p w14:paraId="1B8177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232" w:type="pct"/>
                  <w:tcBorders>
                    <w:tl2br w:val="nil"/>
                    <w:tr2bl w:val="nil"/>
                  </w:tcBorders>
                  <w:shd w:val="clear" w:color="auto" w:fill="auto"/>
                  <w:noWrap w:val="0"/>
                  <w:vAlign w:val="center"/>
                </w:tcPr>
                <w:p w14:paraId="7F69E4FB">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排烟</w:t>
                  </w:r>
                </w:p>
              </w:tc>
              <w:tc>
                <w:tcPr>
                  <w:tcW w:w="2062" w:type="pct"/>
                  <w:tcBorders>
                    <w:tl2br w:val="nil"/>
                    <w:tr2bl w:val="nil"/>
                  </w:tcBorders>
                  <w:shd w:val="clear" w:color="auto" w:fill="auto"/>
                  <w:noWrap w:val="0"/>
                  <w:vAlign w:val="center"/>
                </w:tcPr>
                <w:p w14:paraId="16BFF0AD">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燃烧后的烟气由排气门进入排气管，供给涡轮增压器的涡轮，从涡轮排出的高温乏气经烟道送至烟气母管。</w:t>
                  </w:r>
                  <w:r>
                    <w:rPr>
                      <w:rFonts w:hint="eastAsia"/>
                      <w:color w:val="auto"/>
                      <w:sz w:val="18"/>
                      <w:szCs w:val="18"/>
                    </w:rPr>
                    <w:t>煤炭</w:t>
                  </w:r>
                  <w:r>
                    <w:rPr>
                      <w:color w:val="auto"/>
                      <w:sz w:val="18"/>
                      <w:szCs w:val="18"/>
                    </w:rPr>
                    <w:t>台燃机烟气</w:t>
                  </w:r>
                  <w:r>
                    <w:rPr>
                      <w:rFonts w:hint="eastAsia"/>
                      <w:color w:val="auto"/>
                      <w:sz w:val="18"/>
                      <w:szCs w:val="18"/>
                    </w:rPr>
                    <w:t>单独排放</w:t>
                  </w:r>
                  <w:r>
                    <w:rPr>
                      <w:color w:val="auto"/>
                      <w:sz w:val="18"/>
                      <w:szCs w:val="18"/>
                    </w:rPr>
                    <w:t>，不进行余热利用，烟气排入大气。</w:t>
                  </w:r>
                </w:p>
              </w:tc>
              <w:tc>
                <w:tcPr>
                  <w:tcW w:w="1860" w:type="pct"/>
                  <w:tcBorders>
                    <w:tl2br w:val="nil"/>
                    <w:tr2bl w:val="nil"/>
                  </w:tcBorders>
                  <w:shd w:val="clear" w:color="auto" w:fill="auto"/>
                  <w:noWrap w:val="0"/>
                  <w:vAlign w:val="center"/>
                </w:tcPr>
                <w:p w14:paraId="18A7A0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14ADC9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2FA1F3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restart"/>
                  <w:tcBorders>
                    <w:tl2br w:val="nil"/>
                    <w:tr2bl w:val="nil"/>
                  </w:tcBorders>
                  <w:noWrap w:val="0"/>
                  <w:vAlign w:val="center"/>
                </w:tcPr>
                <w:p w14:paraId="5408A2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公用</w:t>
                  </w:r>
                </w:p>
                <w:p w14:paraId="4D9438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工程</w:t>
                  </w:r>
                </w:p>
              </w:tc>
              <w:tc>
                <w:tcPr>
                  <w:tcW w:w="374" w:type="pct"/>
                  <w:gridSpan w:val="2"/>
                  <w:tcBorders>
                    <w:tl2br w:val="nil"/>
                    <w:tr2bl w:val="nil"/>
                  </w:tcBorders>
                  <w:shd w:val="clear" w:color="auto" w:fill="auto"/>
                  <w:noWrap w:val="0"/>
                  <w:vAlign w:val="center"/>
                </w:tcPr>
                <w:p w14:paraId="7B52CE17">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供电系统</w:t>
                  </w:r>
                </w:p>
              </w:tc>
              <w:tc>
                <w:tcPr>
                  <w:tcW w:w="2062" w:type="pct"/>
                  <w:tcBorders>
                    <w:tl2br w:val="nil"/>
                    <w:tr2bl w:val="nil"/>
                  </w:tcBorders>
                  <w:shd w:val="clear" w:color="auto" w:fill="auto"/>
                  <w:noWrap w:val="0"/>
                  <w:vAlign w:val="center"/>
                </w:tcPr>
                <w:p w14:paraId="585AB8C0">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color w:val="auto"/>
                      <w:sz w:val="18"/>
                      <w:szCs w:val="18"/>
                    </w:rPr>
                  </w:pPr>
                  <w:r>
                    <w:rPr>
                      <w:rFonts w:hint="eastAsia"/>
                      <w:color w:val="auto"/>
                      <w:sz w:val="18"/>
                      <w:szCs w:val="18"/>
                      <w:lang w:eastAsia="zh-CN"/>
                    </w:rPr>
                    <w:t>续建工程</w:t>
                  </w:r>
                  <w:r>
                    <w:rPr>
                      <w:color w:val="auto"/>
                      <w:sz w:val="18"/>
                      <w:szCs w:val="18"/>
                    </w:rPr>
                    <w:t>的供电系统依托长山口卫生填埋场区内的供电系统，仅需增加部分电线。</w:t>
                  </w:r>
                </w:p>
                <w:p w14:paraId="6E904A9E">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eastAsia="zh-CN"/>
                    </w:rPr>
                    <w:t>续建工程</w:t>
                  </w:r>
                  <w:r>
                    <w:rPr>
                      <w:color w:val="auto"/>
                      <w:sz w:val="18"/>
                      <w:szCs w:val="18"/>
                    </w:rPr>
                    <w:t>发电机组的发电量通过长山口卫生填埋场区内部的变压器接入山口卫生填埋场区供电系统，优先供应长山口卫生填埋场区内部用电，富余发电量入网售卖。</w:t>
                  </w:r>
                </w:p>
              </w:tc>
              <w:tc>
                <w:tcPr>
                  <w:tcW w:w="1860" w:type="pct"/>
                  <w:tcBorders>
                    <w:tl2br w:val="nil"/>
                    <w:tr2bl w:val="nil"/>
                  </w:tcBorders>
                  <w:shd w:val="clear" w:color="auto" w:fill="auto"/>
                  <w:noWrap w:val="0"/>
                  <w:vAlign w:val="center"/>
                </w:tcPr>
                <w:p w14:paraId="5CBB51A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16E341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F902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0DB326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5EE5DB57">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输变电系统</w:t>
                  </w:r>
                </w:p>
              </w:tc>
              <w:tc>
                <w:tcPr>
                  <w:tcW w:w="2062" w:type="pct"/>
                  <w:tcBorders>
                    <w:tl2br w:val="nil"/>
                    <w:tr2bl w:val="nil"/>
                  </w:tcBorders>
                  <w:shd w:val="clear" w:color="auto" w:fill="auto"/>
                  <w:noWrap w:val="0"/>
                  <w:vAlign w:val="center"/>
                </w:tcPr>
                <w:p w14:paraId="2A9C44C6">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依托现有工程的的输配电系统，仅新增3台箱式变压器和部分输电外线等。</w:t>
                  </w:r>
                </w:p>
              </w:tc>
              <w:tc>
                <w:tcPr>
                  <w:tcW w:w="1860" w:type="pct"/>
                  <w:tcBorders>
                    <w:tl2br w:val="nil"/>
                    <w:tr2bl w:val="nil"/>
                  </w:tcBorders>
                  <w:shd w:val="clear" w:color="auto" w:fill="auto"/>
                  <w:noWrap w:val="0"/>
                  <w:vAlign w:val="center"/>
                </w:tcPr>
                <w:p w14:paraId="7E571D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6CEBAE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30B6B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061CBA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36D1E58B">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供水系统</w:t>
                  </w:r>
                </w:p>
              </w:tc>
              <w:tc>
                <w:tcPr>
                  <w:tcW w:w="2062" w:type="pct"/>
                  <w:tcBorders>
                    <w:tl2br w:val="nil"/>
                    <w:tr2bl w:val="nil"/>
                  </w:tcBorders>
                  <w:shd w:val="clear" w:color="auto" w:fill="auto"/>
                  <w:noWrap w:val="0"/>
                  <w:vAlign w:val="center"/>
                </w:tcPr>
                <w:p w14:paraId="7B2046B9">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依托长山口卫生填埋场现有给水设施，仅新增部分管线</w:t>
                  </w:r>
                  <w:r>
                    <w:rPr>
                      <w:rFonts w:hint="eastAsia"/>
                      <w:color w:val="auto"/>
                      <w:sz w:val="18"/>
                      <w:szCs w:val="18"/>
                    </w:rPr>
                    <w:t>。</w:t>
                  </w:r>
                </w:p>
              </w:tc>
              <w:tc>
                <w:tcPr>
                  <w:tcW w:w="1860" w:type="pct"/>
                  <w:tcBorders>
                    <w:tl2br w:val="nil"/>
                    <w:tr2bl w:val="nil"/>
                  </w:tcBorders>
                  <w:shd w:val="clear" w:color="auto" w:fill="auto"/>
                  <w:noWrap w:val="0"/>
                  <w:vAlign w:val="center"/>
                </w:tcPr>
                <w:p w14:paraId="4E2EF2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666D06B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42E3EA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04D4E3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02C9BDCB">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排水系统</w:t>
                  </w:r>
                </w:p>
              </w:tc>
              <w:tc>
                <w:tcPr>
                  <w:tcW w:w="2062" w:type="pct"/>
                  <w:tcBorders>
                    <w:tl2br w:val="nil"/>
                    <w:tr2bl w:val="nil"/>
                  </w:tcBorders>
                  <w:shd w:val="clear" w:color="auto" w:fill="auto"/>
                  <w:noWrap w:val="0"/>
                  <w:vAlign w:val="center"/>
                </w:tcPr>
                <w:p w14:paraId="7A566E71">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依托长山口卫生填埋场现有的污水处理设施和排水管网。</w:t>
                  </w:r>
                </w:p>
              </w:tc>
              <w:tc>
                <w:tcPr>
                  <w:tcW w:w="1860" w:type="pct"/>
                  <w:tcBorders>
                    <w:tl2br w:val="nil"/>
                    <w:tr2bl w:val="nil"/>
                  </w:tcBorders>
                  <w:shd w:val="clear" w:color="auto" w:fill="auto"/>
                  <w:noWrap w:val="0"/>
                  <w:vAlign w:val="center"/>
                </w:tcPr>
                <w:p w14:paraId="3E3D6C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16BAB7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1A04D3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3A7FFE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55085566">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制冷供暖</w:t>
                  </w:r>
                </w:p>
              </w:tc>
              <w:tc>
                <w:tcPr>
                  <w:tcW w:w="2062" w:type="pct"/>
                  <w:tcBorders>
                    <w:tl2br w:val="nil"/>
                    <w:tr2bl w:val="nil"/>
                  </w:tcBorders>
                  <w:shd w:val="clear" w:color="auto" w:fill="auto"/>
                  <w:noWrap w:val="0"/>
                  <w:vAlign w:val="center"/>
                </w:tcPr>
                <w:p w14:paraId="286075B3">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eastAsia" w:ascii="Times New Roman" w:hAnsi="Times New Roman" w:eastAsia="宋体" w:cs="Times New Roman"/>
                      <w:color w:val="auto"/>
                      <w:kern w:val="2"/>
                      <w:sz w:val="18"/>
                      <w:szCs w:val="18"/>
                      <w:lang w:val="en-US" w:eastAsia="zh-CN" w:bidi="ar-SA"/>
                    </w:rPr>
                  </w:pPr>
                  <w:r>
                    <w:rPr>
                      <w:color w:val="auto"/>
                      <w:sz w:val="18"/>
                      <w:szCs w:val="18"/>
                    </w:rPr>
                    <w:t>生产车间采用组合式中央空调，办公室采用分体式空调</w:t>
                  </w:r>
                  <w:r>
                    <w:rPr>
                      <w:rFonts w:hint="eastAsia"/>
                      <w:color w:val="auto"/>
                      <w:sz w:val="18"/>
                      <w:szCs w:val="18"/>
                    </w:rPr>
                    <w:t>。</w:t>
                  </w:r>
                </w:p>
              </w:tc>
              <w:tc>
                <w:tcPr>
                  <w:tcW w:w="1860" w:type="pct"/>
                  <w:tcBorders>
                    <w:tl2br w:val="nil"/>
                    <w:tr2bl w:val="nil"/>
                  </w:tcBorders>
                  <w:shd w:val="clear" w:color="auto" w:fill="auto"/>
                  <w:noWrap w:val="0"/>
                  <w:vAlign w:val="center"/>
                </w:tcPr>
                <w:p w14:paraId="6C52C7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67F826F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3C4348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44D726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03EF0838">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消防</w:t>
                  </w:r>
                </w:p>
              </w:tc>
              <w:tc>
                <w:tcPr>
                  <w:tcW w:w="2062" w:type="pct"/>
                  <w:tcBorders>
                    <w:tl2br w:val="nil"/>
                    <w:tr2bl w:val="nil"/>
                  </w:tcBorders>
                  <w:shd w:val="clear" w:color="auto" w:fill="auto"/>
                  <w:noWrap w:val="0"/>
                  <w:vAlign w:val="center"/>
                </w:tcPr>
                <w:p w14:paraId="07D29CED">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消火栓系统所需水量由长山口卫生填埋场现有供水设施供给，车间内配置手提式磷酸铵盐干粉灭火器</w:t>
                  </w:r>
                  <w:r>
                    <w:rPr>
                      <w:rFonts w:hint="eastAsia"/>
                      <w:color w:val="auto"/>
                      <w:sz w:val="18"/>
                      <w:szCs w:val="18"/>
                    </w:rPr>
                    <w:t>依托现有工程。</w:t>
                  </w:r>
                </w:p>
              </w:tc>
              <w:tc>
                <w:tcPr>
                  <w:tcW w:w="1860" w:type="pct"/>
                  <w:tcBorders>
                    <w:tl2br w:val="nil"/>
                    <w:tr2bl w:val="nil"/>
                  </w:tcBorders>
                  <w:shd w:val="clear" w:color="auto" w:fill="auto"/>
                  <w:noWrap w:val="0"/>
                  <w:vAlign w:val="center"/>
                </w:tcPr>
                <w:p w14:paraId="6BDEC3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2460D0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6E5D83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restart"/>
                  <w:tcBorders>
                    <w:tl2br w:val="nil"/>
                    <w:tr2bl w:val="nil"/>
                  </w:tcBorders>
                  <w:noWrap w:val="0"/>
                  <w:vAlign w:val="center"/>
                </w:tcPr>
                <w:p w14:paraId="0347FD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辅助工程</w:t>
                  </w:r>
                </w:p>
              </w:tc>
              <w:tc>
                <w:tcPr>
                  <w:tcW w:w="374" w:type="pct"/>
                  <w:gridSpan w:val="2"/>
                  <w:tcBorders>
                    <w:tl2br w:val="nil"/>
                    <w:tr2bl w:val="nil"/>
                  </w:tcBorders>
                  <w:shd w:val="clear" w:color="auto" w:fill="auto"/>
                  <w:noWrap w:val="0"/>
                  <w:vAlign w:val="center"/>
                </w:tcPr>
                <w:p w14:paraId="7DDE6E1C">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预处理系统</w:t>
                  </w:r>
                </w:p>
              </w:tc>
              <w:tc>
                <w:tcPr>
                  <w:tcW w:w="2062" w:type="pct"/>
                  <w:tcBorders>
                    <w:tl2br w:val="nil"/>
                    <w:tr2bl w:val="nil"/>
                  </w:tcBorders>
                  <w:shd w:val="clear" w:color="auto" w:fill="auto"/>
                  <w:noWrap w:val="0"/>
                  <w:vAlign w:val="center"/>
                </w:tcPr>
                <w:p w14:paraId="6729AD8A">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color w:val="auto"/>
                      <w:sz w:val="18"/>
                      <w:szCs w:val="18"/>
                    </w:rPr>
                  </w:pPr>
                  <w:r>
                    <w:rPr>
                      <w:rFonts w:hint="eastAsia"/>
                      <w:color w:val="auto"/>
                      <w:sz w:val="18"/>
                      <w:szCs w:val="18"/>
                    </w:rPr>
                    <w:t>现有工程填埋气预处理系统规模为6000Nm</w:t>
                  </w:r>
                  <w:r>
                    <w:rPr>
                      <w:rFonts w:hint="eastAsia"/>
                      <w:color w:val="auto"/>
                      <w:sz w:val="18"/>
                      <w:szCs w:val="18"/>
                      <w:vertAlign w:val="superscript"/>
                    </w:rPr>
                    <w:t>3</w:t>
                  </w:r>
                  <w:r>
                    <w:rPr>
                      <w:rFonts w:hint="eastAsia"/>
                      <w:color w:val="auto"/>
                      <w:sz w:val="18"/>
                      <w:szCs w:val="18"/>
                    </w:rPr>
                    <w:t>/h，</w:t>
                  </w:r>
                  <w:r>
                    <w:rPr>
                      <w:rFonts w:hint="eastAsia"/>
                      <w:color w:val="auto"/>
                      <w:sz w:val="18"/>
                      <w:szCs w:val="18"/>
                      <w:lang w:eastAsia="zh-CN"/>
                    </w:rPr>
                    <w:t>续建工程</w:t>
                  </w:r>
                  <w:r>
                    <w:rPr>
                      <w:rFonts w:hint="eastAsia"/>
                      <w:color w:val="auto"/>
                      <w:sz w:val="18"/>
                      <w:szCs w:val="18"/>
                    </w:rPr>
                    <w:t>拟新增预处理系统规模5000Nm</w:t>
                  </w:r>
                  <w:r>
                    <w:rPr>
                      <w:rFonts w:hint="eastAsia"/>
                      <w:color w:val="auto"/>
                      <w:sz w:val="18"/>
                      <w:szCs w:val="18"/>
                      <w:vertAlign w:val="superscript"/>
                    </w:rPr>
                    <w:t>3</w:t>
                  </w:r>
                  <w:r>
                    <w:rPr>
                      <w:rFonts w:hint="eastAsia"/>
                      <w:color w:val="auto"/>
                      <w:sz w:val="18"/>
                      <w:szCs w:val="18"/>
                    </w:rPr>
                    <w:t>/h，</w:t>
                  </w:r>
                  <w:r>
                    <w:rPr>
                      <w:rFonts w:hint="eastAsia"/>
                      <w:color w:val="auto"/>
                      <w:sz w:val="18"/>
                      <w:szCs w:val="18"/>
                      <w:lang w:eastAsia="zh-CN"/>
                    </w:rPr>
                    <w:t>续建工程</w:t>
                  </w:r>
                  <w:r>
                    <w:rPr>
                      <w:rFonts w:hint="eastAsia"/>
                      <w:color w:val="auto"/>
                      <w:sz w:val="18"/>
                      <w:szCs w:val="18"/>
                    </w:rPr>
                    <w:t>建成后，全厂填埋气预处理规模为11000Nm</w:t>
                  </w:r>
                  <w:r>
                    <w:rPr>
                      <w:rFonts w:hint="eastAsia"/>
                      <w:color w:val="auto"/>
                      <w:sz w:val="18"/>
                      <w:szCs w:val="18"/>
                      <w:vertAlign w:val="superscript"/>
                    </w:rPr>
                    <w:t>3</w:t>
                  </w:r>
                  <w:r>
                    <w:rPr>
                      <w:rFonts w:hint="eastAsia"/>
                      <w:color w:val="auto"/>
                      <w:sz w:val="18"/>
                      <w:szCs w:val="18"/>
                    </w:rPr>
                    <w:t>/h。</w:t>
                  </w:r>
                </w:p>
                <w:p w14:paraId="5E3AE088">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eastAsia"/>
                      <w:color w:val="auto"/>
                      <w:sz w:val="18"/>
                      <w:szCs w:val="18"/>
                    </w:rPr>
                  </w:pPr>
                  <w:r>
                    <w:rPr>
                      <w:rFonts w:hint="eastAsia"/>
                      <w:color w:val="auto"/>
                      <w:sz w:val="18"/>
                      <w:szCs w:val="18"/>
                      <w:lang w:eastAsia="zh-CN"/>
                    </w:rPr>
                    <w:t>续建工程</w:t>
                  </w:r>
                  <w:r>
                    <w:rPr>
                      <w:rFonts w:hint="eastAsia"/>
                      <w:color w:val="auto"/>
                      <w:sz w:val="18"/>
                      <w:szCs w:val="18"/>
                    </w:rPr>
                    <w:t>新增了一套填埋气预处理系统主要包括脱硫单元、冷凝脱水单元、加压输送单元和过滤除尘单元。</w:t>
                  </w:r>
                </w:p>
                <w:p w14:paraId="5FBEBC59">
                  <w:pPr>
                    <w:keepNext w:val="0"/>
                    <w:keepLines w:val="0"/>
                    <w:pageBreakBefore w:val="0"/>
                    <w:widowControl w:val="0"/>
                    <w:kinsoku/>
                    <w:wordWrap/>
                    <w:overflowPunct/>
                    <w:topLinePunct w:val="0"/>
                    <w:autoSpaceDE/>
                    <w:autoSpaceDN/>
                    <w:bidi w:val="0"/>
                    <w:adjustRightInd w:val="0"/>
                    <w:snapToGrid w:val="0"/>
                    <w:ind w:firstLine="361" w:firstLineChars="200"/>
                    <w:jc w:val="left"/>
                    <w:textAlignment w:val="auto"/>
                    <w:rPr>
                      <w:rFonts w:hint="eastAsia"/>
                      <w:color w:val="auto"/>
                      <w:sz w:val="18"/>
                      <w:szCs w:val="18"/>
                    </w:rPr>
                  </w:pPr>
                  <w:r>
                    <w:rPr>
                      <w:rFonts w:hint="eastAsia"/>
                      <w:b/>
                      <w:bCs/>
                      <w:color w:val="auto"/>
                      <w:sz w:val="18"/>
                      <w:szCs w:val="18"/>
                    </w:rPr>
                    <w:t>脱硫单元：</w:t>
                  </w:r>
                  <w:r>
                    <w:rPr>
                      <w:rFonts w:hint="eastAsia"/>
                      <w:color w:val="auto"/>
                      <w:sz w:val="18"/>
                      <w:szCs w:val="18"/>
                    </w:rPr>
                    <w:t>考虑现有预处理系统脱硫系统配置较小（脱硫剂填装量仅15m</w:t>
                  </w:r>
                  <w:r>
                    <w:rPr>
                      <w:rFonts w:hint="eastAsia"/>
                      <w:color w:val="auto"/>
                      <w:sz w:val="18"/>
                      <w:szCs w:val="18"/>
                      <w:vertAlign w:val="superscript"/>
                    </w:rPr>
                    <w:t>3</w:t>
                  </w:r>
                  <w:r>
                    <w:rPr>
                      <w:rFonts w:hint="eastAsia"/>
                      <w:color w:val="auto"/>
                      <w:sz w:val="18"/>
                      <w:szCs w:val="18"/>
                    </w:rPr>
                    <w:t>），需频繁更换脱硫剂，现场实际更换频率不足，致使脱硫效果较差。为减少后期运营难度，</w:t>
                  </w:r>
                  <w:r>
                    <w:rPr>
                      <w:rFonts w:hint="eastAsia"/>
                      <w:color w:val="auto"/>
                      <w:sz w:val="18"/>
                      <w:szCs w:val="18"/>
                      <w:lang w:eastAsia="zh-CN"/>
                    </w:rPr>
                    <w:t>续建工程</w:t>
                  </w:r>
                  <w:r>
                    <w:rPr>
                      <w:rFonts w:hint="eastAsia"/>
                      <w:color w:val="auto"/>
                      <w:sz w:val="18"/>
                      <w:szCs w:val="18"/>
                    </w:rPr>
                    <w:t>对脱硫单元进行了改造，全部来气统一在新建脱硫系统中进行处理后再分别分配至已有及新建预处理系统中进行后续处理；改造后的脱硫系统采用干法脱硫，设置2套脱硫塔，一套新建，一套利用现有工程设备。利用现有设备的脱硫塔采用两座脱硫罐配置，一用一备；新建的脱硫塔采用三座脱硫罐配置，二用一备；</w:t>
                  </w:r>
                </w:p>
                <w:p w14:paraId="0A76E0D0">
                  <w:pPr>
                    <w:keepNext w:val="0"/>
                    <w:keepLines w:val="0"/>
                    <w:pageBreakBefore w:val="0"/>
                    <w:widowControl w:val="0"/>
                    <w:kinsoku/>
                    <w:wordWrap/>
                    <w:overflowPunct/>
                    <w:topLinePunct w:val="0"/>
                    <w:autoSpaceDE/>
                    <w:autoSpaceDN/>
                    <w:bidi w:val="0"/>
                    <w:adjustRightInd w:val="0"/>
                    <w:snapToGrid w:val="0"/>
                    <w:ind w:firstLine="361" w:firstLineChars="200"/>
                    <w:jc w:val="left"/>
                    <w:textAlignment w:val="auto"/>
                    <w:rPr>
                      <w:rFonts w:hint="eastAsia"/>
                      <w:color w:val="auto"/>
                      <w:sz w:val="18"/>
                      <w:szCs w:val="18"/>
                    </w:rPr>
                  </w:pPr>
                  <w:r>
                    <w:rPr>
                      <w:rFonts w:hint="eastAsia"/>
                      <w:b/>
                      <w:bCs/>
                      <w:color w:val="auto"/>
                      <w:sz w:val="18"/>
                      <w:szCs w:val="18"/>
                    </w:rPr>
                    <w:t>冷凝脱水单元：</w:t>
                  </w:r>
                  <w:r>
                    <w:rPr>
                      <w:rFonts w:hint="eastAsia"/>
                      <w:color w:val="auto"/>
                      <w:sz w:val="18"/>
                      <w:szCs w:val="18"/>
                    </w:rPr>
                    <w:t>新增一套冷凝脱水单元，由汽水换热器结合制冷机组来实现。换热器内部集成液态水分离器一台，能够将冷凝析出的液态水有效分离并从设备排出。</w:t>
                  </w:r>
                </w:p>
                <w:p w14:paraId="1BFE33EE">
                  <w:pPr>
                    <w:keepNext w:val="0"/>
                    <w:keepLines w:val="0"/>
                    <w:pageBreakBefore w:val="0"/>
                    <w:widowControl w:val="0"/>
                    <w:kinsoku/>
                    <w:wordWrap/>
                    <w:overflowPunct/>
                    <w:topLinePunct w:val="0"/>
                    <w:autoSpaceDE/>
                    <w:autoSpaceDN/>
                    <w:bidi w:val="0"/>
                    <w:adjustRightInd w:val="0"/>
                    <w:snapToGrid w:val="0"/>
                    <w:ind w:firstLine="361" w:firstLineChars="200"/>
                    <w:jc w:val="left"/>
                    <w:textAlignment w:val="auto"/>
                    <w:rPr>
                      <w:rFonts w:hint="eastAsia"/>
                      <w:color w:val="auto"/>
                      <w:sz w:val="18"/>
                      <w:szCs w:val="18"/>
                    </w:rPr>
                  </w:pPr>
                  <w:r>
                    <w:rPr>
                      <w:rFonts w:hint="eastAsia"/>
                      <w:b/>
                      <w:bCs/>
                      <w:color w:val="auto"/>
                      <w:sz w:val="18"/>
                      <w:szCs w:val="18"/>
                    </w:rPr>
                    <w:t>加压输送单元：</w:t>
                  </w:r>
                  <w:r>
                    <w:rPr>
                      <w:rFonts w:hint="eastAsia"/>
                      <w:color w:val="auto"/>
                      <w:sz w:val="18"/>
                      <w:szCs w:val="18"/>
                    </w:rPr>
                    <w:t>新增一套加压输送单元，采用罗茨风机为填埋气在系统内流通提供足够的动力，罗茨风机设计升压能力为40kPa，配防爆电机，变频控制，2用1备。</w:t>
                  </w:r>
                </w:p>
                <w:p w14:paraId="30FA9A63">
                  <w:pPr>
                    <w:keepNext w:val="0"/>
                    <w:keepLines w:val="0"/>
                    <w:pageBreakBefore w:val="0"/>
                    <w:widowControl w:val="0"/>
                    <w:kinsoku/>
                    <w:wordWrap/>
                    <w:overflowPunct/>
                    <w:topLinePunct w:val="0"/>
                    <w:autoSpaceDE/>
                    <w:autoSpaceDN/>
                    <w:bidi w:val="0"/>
                    <w:adjustRightInd w:val="0"/>
                    <w:snapToGrid w:val="0"/>
                    <w:ind w:firstLine="361" w:firstLineChars="200"/>
                    <w:jc w:val="left"/>
                    <w:textAlignment w:val="auto"/>
                    <w:rPr>
                      <w:rFonts w:hint="eastAsia" w:ascii="Times New Roman" w:hAnsi="Times New Roman" w:eastAsia="宋体" w:cs="Times New Roman"/>
                      <w:color w:val="auto"/>
                      <w:kern w:val="2"/>
                      <w:sz w:val="18"/>
                      <w:szCs w:val="18"/>
                      <w:lang w:val="en-US" w:eastAsia="zh-CN" w:bidi="ar-SA"/>
                    </w:rPr>
                  </w:pPr>
                  <w:r>
                    <w:rPr>
                      <w:rFonts w:hint="eastAsia"/>
                      <w:b/>
                      <w:bCs/>
                      <w:color w:val="auto"/>
                      <w:sz w:val="18"/>
                      <w:szCs w:val="18"/>
                    </w:rPr>
                    <w:t>过滤除尘：</w:t>
                  </w:r>
                  <w:r>
                    <w:rPr>
                      <w:rFonts w:hint="eastAsia"/>
                      <w:color w:val="auto"/>
                      <w:sz w:val="18"/>
                      <w:szCs w:val="18"/>
                    </w:rPr>
                    <w:t>新增一套过滤除尘系统，设置两级过滤除尘工艺，初级过滤器设置1台，精密过滤器设置1台，初级过滤器过滤精度5um，精密过滤器设置在系统末端，过滤精度3um。</w:t>
                  </w:r>
                </w:p>
              </w:tc>
              <w:tc>
                <w:tcPr>
                  <w:tcW w:w="1860" w:type="pct"/>
                  <w:tcBorders>
                    <w:tl2br w:val="nil"/>
                    <w:tr2bl w:val="nil"/>
                  </w:tcBorders>
                  <w:shd w:val="clear" w:color="auto" w:fill="auto"/>
                  <w:noWrap w:val="0"/>
                  <w:vAlign w:val="center"/>
                </w:tcPr>
                <w:p w14:paraId="57AE60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789E5A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32C67B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08ADF1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75648883">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办公</w:t>
                  </w:r>
                </w:p>
              </w:tc>
              <w:tc>
                <w:tcPr>
                  <w:tcW w:w="2062" w:type="pct"/>
                  <w:tcBorders>
                    <w:tl2br w:val="nil"/>
                    <w:tr2bl w:val="nil"/>
                  </w:tcBorders>
                  <w:shd w:val="clear" w:color="auto" w:fill="auto"/>
                  <w:noWrap w:val="0"/>
                  <w:vAlign w:val="center"/>
                </w:tcPr>
                <w:p w14:paraId="3D463E74">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依托现有工程已建的一栋2层办公楼进行办公</w:t>
                  </w:r>
                  <w:r>
                    <w:rPr>
                      <w:color w:val="auto"/>
                      <w:sz w:val="18"/>
                      <w:szCs w:val="18"/>
                    </w:rPr>
                    <w:t>；</w:t>
                  </w:r>
                </w:p>
              </w:tc>
              <w:tc>
                <w:tcPr>
                  <w:tcW w:w="1860" w:type="pct"/>
                  <w:tcBorders>
                    <w:tl2br w:val="nil"/>
                    <w:tr2bl w:val="nil"/>
                  </w:tcBorders>
                  <w:shd w:val="clear" w:color="auto" w:fill="auto"/>
                  <w:noWrap w:val="0"/>
                  <w:vAlign w:val="center"/>
                </w:tcPr>
                <w:p w14:paraId="76C7CC3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617016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2DD0BD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398104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790A36E5">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食堂</w:t>
                  </w:r>
                </w:p>
              </w:tc>
              <w:tc>
                <w:tcPr>
                  <w:tcW w:w="2062" w:type="pct"/>
                  <w:tcBorders>
                    <w:tl2br w:val="nil"/>
                    <w:tr2bl w:val="nil"/>
                  </w:tcBorders>
                  <w:shd w:val="clear" w:color="auto" w:fill="auto"/>
                  <w:noWrap w:val="0"/>
                  <w:vAlign w:val="center"/>
                </w:tcPr>
                <w:p w14:paraId="0BBA3F24">
                  <w:pPr>
                    <w:keepNext w:val="0"/>
                    <w:keepLines w:val="0"/>
                    <w:pageBreakBefore w:val="0"/>
                    <w:widowControl w:val="0"/>
                    <w:kinsoku/>
                    <w:wordWrap/>
                    <w:overflowPunct/>
                    <w:topLinePunct w:val="0"/>
                    <w:autoSpaceDE/>
                    <w:autoSpaceDN/>
                    <w:bidi w:val="0"/>
                    <w:adjustRightInd w:val="0"/>
                    <w:snapToGrid w:val="0"/>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eastAsia="zh-CN"/>
                    </w:rPr>
                    <w:t>续建工程</w:t>
                  </w:r>
                  <w:r>
                    <w:rPr>
                      <w:rFonts w:hint="eastAsia"/>
                      <w:color w:val="auto"/>
                      <w:sz w:val="18"/>
                      <w:szCs w:val="18"/>
                    </w:rPr>
                    <w:t>不新建食堂，员工就餐</w:t>
                  </w:r>
                  <w:r>
                    <w:rPr>
                      <w:color w:val="auto"/>
                      <w:sz w:val="18"/>
                      <w:szCs w:val="18"/>
                    </w:rPr>
                    <w:t>依托武汉长山口生活垃圾卫生填埋厂现有食堂；</w:t>
                  </w:r>
                </w:p>
              </w:tc>
              <w:tc>
                <w:tcPr>
                  <w:tcW w:w="1860" w:type="pct"/>
                  <w:tcBorders>
                    <w:tl2br w:val="nil"/>
                    <w:tr2bl w:val="nil"/>
                  </w:tcBorders>
                  <w:shd w:val="clear" w:color="auto" w:fill="auto"/>
                  <w:noWrap w:val="0"/>
                  <w:vAlign w:val="center"/>
                </w:tcPr>
                <w:p w14:paraId="4A5BB6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1039FC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38E39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389D0F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0CCBA89C">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供气</w:t>
                  </w:r>
                </w:p>
              </w:tc>
              <w:tc>
                <w:tcPr>
                  <w:tcW w:w="2062" w:type="pct"/>
                  <w:tcBorders>
                    <w:tl2br w:val="nil"/>
                    <w:tr2bl w:val="nil"/>
                  </w:tcBorders>
                  <w:shd w:val="clear" w:color="auto" w:fill="auto"/>
                  <w:noWrap w:val="0"/>
                  <w:vAlign w:val="center"/>
                </w:tcPr>
                <w:p w14:paraId="575F4414">
                  <w:pPr>
                    <w:keepNext w:val="0"/>
                    <w:keepLines w:val="0"/>
                    <w:pageBreakBefore w:val="0"/>
                    <w:widowControl w:val="0"/>
                    <w:kinsoku/>
                    <w:wordWrap/>
                    <w:overflowPunct/>
                    <w:topLinePunct w:val="0"/>
                    <w:autoSpaceDE/>
                    <w:autoSpaceDN/>
                    <w:bidi w:val="0"/>
                    <w:adjustRightInd w:val="0"/>
                    <w:snapToGrid w:val="0"/>
                    <w:ind w:firstLine="360" w:firstLineChars="200"/>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lang w:eastAsia="zh-CN"/>
                    </w:rPr>
                    <w:t>续建工程</w:t>
                  </w:r>
                  <w:r>
                    <w:rPr>
                      <w:rFonts w:hint="eastAsia"/>
                      <w:color w:val="auto"/>
                      <w:sz w:val="18"/>
                      <w:szCs w:val="18"/>
                    </w:rPr>
                    <w:t>发电所需的沼气依托长山口卫生填埋场于2019年8月实施的长山口填埋场填埋气体收集控制工程收集的垃圾填埋气。</w:t>
                  </w:r>
                </w:p>
              </w:tc>
              <w:tc>
                <w:tcPr>
                  <w:tcW w:w="1860" w:type="pct"/>
                  <w:tcBorders>
                    <w:tl2br w:val="nil"/>
                    <w:tr2bl w:val="nil"/>
                  </w:tcBorders>
                  <w:shd w:val="clear" w:color="auto" w:fill="auto"/>
                  <w:noWrap w:val="0"/>
                  <w:vAlign w:val="center"/>
                </w:tcPr>
                <w:p w14:paraId="58D01C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788164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0DEA6E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restart"/>
                  <w:tcBorders>
                    <w:tl2br w:val="nil"/>
                    <w:tr2bl w:val="nil"/>
                  </w:tcBorders>
                  <w:noWrap w:val="0"/>
                  <w:vAlign w:val="center"/>
                </w:tcPr>
                <w:p w14:paraId="05A86B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eastAsia"/>
                      <w:color w:val="auto"/>
                      <w:highlight w:val="none"/>
                    </w:rPr>
                    <w:t>环保工程</w:t>
                  </w:r>
                </w:p>
              </w:tc>
              <w:tc>
                <w:tcPr>
                  <w:tcW w:w="374" w:type="pct"/>
                  <w:gridSpan w:val="2"/>
                  <w:tcBorders>
                    <w:tl2br w:val="nil"/>
                    <w:tr2bl w:val="nil"/>
                  </w:tcBorders>
                  <w:noWrap w:val="0"/>
                  <w:vAlign w:val="center"/>
                </w:tcPr>
                <w:p w14:paraId="723015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废水处理</w:t>
                  </w:r>
                </w:p>
                <w:p w14:paraId="1EAA964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系统</w:t>
                  </w:r>
                </w:p>
              </w:tc>
              <w:tc>
                <w:tcPr>
                  <w:tcW w:w="2062" w:type="pct"/>
                  <w:tcBorders>
                    <w:tl2br w:val="nil"/>
                    <w:tr2bl w:val="nil"/>
                  </w:tcBorders>
                  <w:noWrap w:val="0"/>
                  <w:vAlign w:val="center"/>
                </w:tcPr>
                <w:p w14:paraId="74BDA431">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both"/>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续建工程新增废水主要为填埋气冷凝废水。</w:t>
                  </w:r>
                </w:p>
                <w:p w14:paraId="6F241D25">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both"/>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项目冷凝脱水单元产生的填埋气冷凝废水依托长山口卫生填埋场渗滤液污水处理站处理达标后排入金口污水处理厂进一步处理，达标后排入长江（武汉）段。</w:t>
                  </w:r>
                </w:p>
              </w:tc>
              <w:tc>
                <w:tcPr>
                  <w:tcW w:w="1860" w:type="pct"/>
                  <w:tcBorders>
                    <w:tl2br w:val="nil"/>
                    <w:tr2bl w:val="nil"/>
                  </w:tcBorders>
                  <w:shd w:val="clear" w:color="auto" w:fill="auto"/>
                  <w:noWrap w:val="0"/>
                  <w:vAlign w:val="center"/>
                </w:tcPr>
                <w:p w14:paraId="09F26B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313097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1126A9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50089EE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noWrap w:val="0"/>
                  <w:vAlign w:val="center"/>
                </w:tcPr>
                <w:p w14:paraId="7D747B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废气处理</w:t>
                  </w:r>
                </w:p>
                <w:p w14:paraId="299717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系统</w:t>
                  </w:r>
                </w:p>
              </w:tc>
              <w:tc>
                <w:tcPr>
                  <w:tcW w:w="2062" w:type="pct"/>
                  <w:tcBorders>
                    <w:tl2br w:val="nil"/>
                    <w:tr2bl w:val="nil"/>
                  </w:tcBorders>
                  <w:noWrap w:val="0"/>
                  <w:vAlign w:val="center"/>
                </w:tcPr>
                <w:p w14:paraId="3C06C955">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续建工程运营期产废气主要为沼气燃烧废气、逃逸的氨气和无组织粉尘。</w:t>
                  </w:r>
                </w:p>
                <w:p w14:paraId="6F2966BB">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①沼气燃烧废气</w:t>
                  </w:r>
                </w:p>
                <w:p w14:paraId="2CAC87B6">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续建工程新增6台内燃发电机组，每台发电机组单独设置一个排气筒，具体如下：</w:t>
                  </w:r>
                </w:p>
                <w:p w14:paraId="5FA378D1">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9号发电机组的沼气燃烧废气经SCR法脱硝处理后经15m高排气筒（DA005）排放；</w:t>
                  </w:r>
                </w:p>
                <w:p w14:paraId="54A3FB9E">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10号发电机组的沼气燃烧废气经SCR法脱硝处理后经15m高排气筒（DA006）排放；</w:t>
                  </w:r>
                </w:p>
                <w:p w14:paraId="4FD9D5E3">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11号发电机组的沼气燃烧废气经SCR法脱硝处理后经15m高排气筒（DA007）排放；</w:t>
                  </w:r>
                </w:p>
                <w:p w14:paraId="186BF464">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12号发电机组的沼气燃烧废气经SCR法脱硝处理后经15m高排气筒（DA008）排放；</w:t>
                  </w:r>
                </w:p>
                <w:p w14:paraId="7F504907">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13号发电机组的沼气燃烧废气经SCR法脱硝处理后经15m高排气筒（DA009）排放；</w:t>
                  </w:r>
                </w:p>
                <w:p w14:paraId="6CDE51A7">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14号发电机组的沼气燃烧废气经SCR法脱硝处理后经15m高排气筒（DA010）排放；</w:t>
                  </w:r>
                </w:p>
                <w:p w14:paraId="0924B8EC">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排气筒（DA005~DA010）排放尾气中的污染物（颗粒物、氮氧化物、二氧化硫）排放浓度执行《锅炉大气污染物排放标准》（GB13271-2014）表3相关标准。</w:t>
                  </w:r>
                </w:p>
                <w:p w14:paraId="18819EB9">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②逃逸的氨气</w:t>
                  </w:r>
                </w:p>
                <w:p w14:paraId="59FF3A3F">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SCR脱硝装置在运行时，会有一定的氨气未能参与脱硝反应，这部分属于逃逸的氨气，将随着沼气燃烧烟气一同经6根15m高的排气筒（DA005~DA010）排放。</w:t>
                  </w:r>
                </w:p>
                <w:p w14:paraId="21C79262">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③无组织粉尘</w:t>
                  </w:r>
                </w:p>
                <w:p w14:paraId="65C87BCA">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续建工程在制备尿素溶液过程中由于需要人工进行拆袋，故将会有一定的粉尘逸散开来，进行无组织排放。</w:t>
                  </w:r>
                </w:p>
              </w:tc>
              <w:tc>
                <w:tcPr>
                  <w:tcW w:w="1860" w:type="pct"/>
                  <w:tcBorders>
                    <w:tl2br w:val="nil"/>
                    <w:tr2bl w:val="nil"/>
                  </w:tcBorders>
                  <w:noWrap w:val="0"/>
                  <w:vAlign w:val="center"/>
                </w:tcPr>
                <w:p w14:paraId="44E5F2A2">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续建工程运营期产废气主要为沼气燃烧废气</w:t>
                  </w:r>
                  <w:r>
                    <w:rPr>
                      <w:rFonts w:hint="eastAsia" w:ascii="Times New Roman" w:hAnsi="Times New Roman" w:eastAsia="宋体" w:cs="Times New Roman"/>
                      <w:color w:val="auto"/>
                      <w:sz w:val="18"/>
                      <w:szCs w:val="18"/>
                      <w:highlight w:val="none"/>
                      <w:lang w:eastAsia="zh-CN"/>
                    </w:rPr>
                    <w:t>和</w:t>
                  </w:r>
                  <w:r>
                    <w:rPr>
                      <w:rFonts w:hint="default" w:ascii="Times New Roman" w:hAnsi="Times New Roman" w:eastAsia="宋体" w:cs="Times New Roman"/>
                      <w:color w:val="auto"/>
                      <w:sz w:val="18"/>
                      <w:szCs w:val="18"/>
                      <w:highlight w:val="none"/>
                    </w:rPr>
                    <w:t>逃逸的氨气。</w:t>
                  </w:r>
                </w:p>
                <w:p w14:paraId="0BA539F9">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①沼气燃烧废气</w:t>
                  </w:r>
                </w:p>
                <w:p w14:paraId="56902822">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续建工程新增6台内燃发电机组，每台发电机组单独设置一个排气筒，具体如下：</w:t>
                  </w:r>
                </w:p>
                <w:p w14:paraId="7D77FB84">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9号发电机组的沼气燃烧废气经SCR法脱硝处理后经15m高排气筒（DA005）排放；</w:t>
                  </w:r>
                </w:p>
                <w:p w14:paraId="423D3E77">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10号发电机组的沼气燃烧废气经SCR法脱硝处理后经15m高排气筒（DA006）排放；</w:t>
                  </w:r>
                </w:p>
                <w:p w14:paraId="45B06E99">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11号发电机组的沼气燃烧废气经SCR法脱硝处理后经15m高排气筒（DA007）排放；</w:t>
                  </w:r>
                </w:p>
                <w:p w14:paraId="2236AA72">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12号发电机组的沼气燃烧废气经SCR法脱硝处理后经15m高排气筒（DA008）排放；</w:t>
                  </w:r>
                </w:p>
                <w:p w14:paraId="49ACE573">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13号发电机组的沼气燃烧废气经SCR法脱硝处理后经15m高排气筒（DA009）排放；</w:t>
                  </w:r>
                </w:p>
                <w:p w14:paraId="6CC02F93">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14号发电机组的沼气燃烧废气经SCR法脱硝处理后经15m高排气筒（DA010）排放；</w:t>
                  </w:r>
                </w:p>
                <w:p w14:paraId="6DED4D06">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排气筒（DA005~DA010）排放尾气中的污染物（颗粒物、氮氧化物、二氧化硫）排放浓度执行《锅炉大气污染物排放标准》（GB13271-2014）表3相关标准。</w:t>
                  </w:r>
                </w:p>
                <w:p w14:paraId="70A2E835">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②逃逸的氨气</w:t>
                  </w:r>
                </w:p>
                <w:p w14:paraId="70508774">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SCR脱硝装置在运行时，会有一定的氨气未能参与脱硝反应，这部分属于逃逸的氨气，将随着沼气燃烧烟气一同经6根15m高的排气筒（DA005~DA010）排放。</w:t>
                  </w:r>
                </w:p>
                <w:p w14:paraId="332F66B0">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eastAsia" w:ascii="Times New Roman" w:hAnsi="Times New Roman" w:eastAsia="宋体" w:cs="Times New Roman"/>
                      <w:b/>
                      <w:bCs/>
                      <w:color w:val="auto"/>
                      <w:sz w:val="18"/>
                      <w:szCs w:val="18"/>
                      <w:highlight w:val="none"/>
                      <w:lang w:eastAsia="zh-CN"/>
                    </w:rPr>
                  </w:pPr>
                  <w:r>
                    <w:rPr>
                      <w:rFonts w:hint="default" w:ascii="Times New Roman" w:hAnsi="Times New Roman" w:eastAsia="宋体" w:cs="Times New Roman"/>
                      <w:b/>
                      <w:bCs/>
                      <w:color w:val="auto"/>
                      <w:sz w:val="18"/>
                      <w:szCs w:val="18"/>
                      <w:highlight w:val="none"/>
                    </w:rPr>
                    <w:t>③无组织粉尘</w:t>
                  </w:r>
                  <w:r>
                    <w:rPr>
                      <w:rFonts w:hint="eastAsia" w:ascii="Times New Roman" w:hAnsi="Times New Roman" w:eastAsia="宋体" w:cs="Times New Roman"/>
                      <w:b/>
                      <w:bCs/>
                      <w:color w:val="auto"/>
                      <w:sz w:val="18"/>
                      <w:szCs w:val="18"/>
                      <w:highlight w:val="none"/>
                      <w:lang w:eastAsia="zh-CN"/>
                    </w:rPr>
                    <w:t>（不在产生）</w:t>
                  </w:r>
                </w:p>
                <w:p w14:paraId="1AC16276">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olor w:val="auto"/>
                      <w:sz w:val="18"/>
                      <w:szCs w:val="18"/>
                      <w:lang w:eastAsia="zh-CN"/>
                    </w:rPr>
                    <w:t>续建工程直接购买</w:t>
                  </w:r>
                  <w:r>
                    <w:rPr>
                      <w:rFonts w:hint="eastAsia"/>
                      <w:color w:val="auto"/>
                      <w:sz w:val="18"/>
                      <w:szCs w:val="18"/>
                      <w:lang w:val="en-US" w:eastAsia="zh-CN"/>
                    </w:rPr>
                    <w:t>50%的尿素溶液，不在自行配置，不再产生无组织粉尘</w:t>
                  </w:r>
                  <w:r>
                    <w:rPr>
                      <w:rFonts w:hint="eastAsia"/>
                      <w:color w:val="auto"/>
                      <w:sz w:val="18"/>
                      <w:szCs w:val="18"/>
                      <w:lang w:eastAsia="zh-CN"/>
                    </w:rPr>
                    <w:t>。</w:t>
                  </w:r>
                </w:p>
              </w:tc>
              <w:tc>
                <w:tcPr>
                  <w:tcW w:w="567" w:type="pct"/>
                  <w:tcBorders>
                    <w:tl2br w:val="nil"/>
                    <w:tr2bl w:val="nil"/>
                  </w:tcBorders>
                  <w:noWrap w:val="0"/>
                  <w:vAlign w:val="center"/>
                </w:tcPr>
                <w:p w14:paraId="113031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由自行配置尿素溶液变更为直接购买50%的尿素溶液，不</w:t>
                  </w:r>
                  <w:r>
                    <w:rPr>
                      <w:rFonts w:hint="eastAsia" w:cs="Times New Roman"/>
                      <w:color w:val="auto"/>
                      <w:sz w:val="18"/>
                      <w:szCs w:val="18"/>
                      <w:highlight w:val="none"/>
                      <w:lang w:eastAsia="zh-CN"/>
                    </w:rPr>
                    <w:t>再</w:t>
                  </w:r>
                  <w:r>
                    <w:rPr>
                      <w:rFonts w:hint="eastAsia" w:ascii="Times New Roman" w:hAnsi="Times New Roman" w:eastAsia="宋体" w:cs="Times New Roman"/>
                      <w:color w:val="auto"/>
                      <w:sz w:val="18"/>
                      <w:szCs w:val="18"/>
                      <w:highlight w:val="none"/>
                      <w:lang w:eastAsia="zh-CN"/>
                    </w:rPr>
                    <w:t>产生无组织粉尘</w:t>
                  </w:r>
                </w:p>
              </w:tc>
            </w:tr>
            <w:tr w14:paraId="4E9334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42CBFB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46392148">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固废处理系统</w:t>
                  </w:r>
                </w:p>
              </w:tc>
              <w:tc>
                <w:tcPr>
                  <w:tcW w:w="2062" w:type="pct"/>
                  <w:tcBorders>
                    <w:tl2br w:val="nil"/>
                    <w:tr2bl w:val="nil"/>
                  </w:tcBorders>
                  <w:shd w:val="clear" w:color="auto" w:fill="auto"/>
                  <w:noWrap w:val="0"/>
                  <w:vAlign w:val="center"/>
                </w:tcPr>
                <w:p w14:paraId="60522648">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color w:val="auto"/>
                      <w:sz w:val="18"/>
                      <w:szCs w:val="18"/>
                    </w:rPr>
                    <w:t>项目产生的固体废弃物主要来源于设备维护物，</w:t>
                  </w:r>
                  <w:r>
                    <w:rPr>
                      <w:rFonts w:hint="eastAsia"/>
                      <w:color w:val="auto"/>
                      <w:sz w:val="18"/>
                      <w:szCs w:val="18"/>
                      <w:lang w:eastAsia="zh-CN"/>
                    </w:rPr>
                    <w:t>预处理系统产生的废过滤器</w:t>
                  </w:r>
                  <w:r>
                    <w:rPr>
                      <w:color w:val="auto"/>
                      <w:sz w:val="18"/>
                      <w:szCs w:val="18"/>
                    </w:rPr>
                    <w:t>，脱硫、脱硝阶段产生的脱硫废物、废催化剂以及渗滤液污水处理站污泥。其中脱硫废物、渗滤液污水站污泥收集后送往垃圾填埋场进行统一填埋；</w:t>
                  </w:r>
                  <w:r>
                    <w:rPr>
                      <w:rFonts w:hint="eastAsia"/>
                      <w:color w:val="auto"/>
                      <w:sz w:val="18"/>
                      <w:szCs w:val="18"/>
                      <w:lang w:eastAsia="zh-CN"/>
                    </w:rPr>
                    <w:t>废过滤器由物资部门回收处理；</w:t>
                  </w:r>
                  <w:r>
                    <w:rPr>
                      <w:color w:val="auto"/>
                      <w:sz w:val="18"/>
                      <w:szCs w:val="18"/>
                    </w:rPr>
                    <w:t>废脱硝催化剂和设备维护产生的废润滑油、废油桶等收集后暂存于</w:t>
                  </w:r>
                  <w:r>
                    <w:rPr>
                      <w:rFonts w:hint="eastAsia"/>
                      <w:color w:val="auto"/>
                      <w:sz w:val="18"/>
                      <w:szCs w:val="18"/>
                    </w:rPr>
                    <w:t>现有工程已建的</w:t>
                  </w:r>
                  <w:r>
                    <w:rPr>
                      <w:color w:val="auto"/>
                      <w:sz w:val="18"/>
                      <w:szCs w:val="18"/>
                    </w:rPr>
                    <w:t>危废暂存间，定期委托具有资质的单位处理</w:t>
                  </w:r>
                  <w:r>
                    <w:rPr>
                      <w:rFonts w:hint="eastAsia"/>
                      <w:color w:val="auto"/>
                      <w:sz w:val="18"/>
                      <w:szCs w:val="18"/>
                    </w:rPr>
                    <w:t>。</w:t>
                  </w:r>
                </w:p>
              </w:tc>
              <w:tc>
                <w:tcPr>
                  <w:tcW w:w="1860" w:type="pct"/>
                  <w:tcBorders>
                    <w:tl2br w:val="nil"/>
                    <w:tr2bl w:val="nil"/>
                  </w:tcBorders>
                  <w:shd w:val="clear" w:color="auto" w:fill="auto"/>
                  <w:noWrap w:val="0"/>
                  <w:vAlign w:val="center"/>
                </w:tcPr>
                <w:p w14:paraId="7F24E4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6DB9CF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18E58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62346E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374" w:type="pct"/>
                  <w:gridSpan w:val="2"/>
                  <w:tcBorders>
                    <w:tl2br w:val="nil"/>
                    <w:tr2bl w:val="nil"/>
                  </w:tcBorders>
                  <w:shd w:val="clear" w:color="auto" w:fill="auto"/>
                  <w:noWrap w:val="0"/>
                  <w:vAlign w:val="center"/>
                </w:tcPr>
                <w:p w14:paraId="4A32E8BE">
                  <w:pPr>
                    <w:jc w:val="center"/>
                    <w:rPr>
                      <w:rFonts w:hint="default" w:ascii="Times New Roman" w:hAnsi="Times New Roman" w:eastAsia="宋体" w:cs="Times New Roman"/>
                      <w:color w:val="auto"/>
                      <w:kern w:val="2"/>
                      <w:sz w:val="18"/>
                      <w:szCs w:val="18"/>
                      <w:lang w:val="en-US" w:eastAsia="zh-CN" w:bidi="ar-SA"/>
                    </w:rPr>
                  </w:pPr>
                  <w:r>
                    <w:rPr>
                      <w:color w:val="auto"/>
                      <w:sz w:val="18"/>
                      <w:szCs w:val="18"/>
                    </w:rPr>
                    <w:t>环境风险系统</w:t>
                  </w:r>
                </w:p>
              </w:tc>
              <w:tc>
                <w:tcPr>
                  <w:tcW w:w="2062" w:type="pct"/>
                  <w:tcBorders>
                    <w:tl2br w:val="nil"/>
                    <w:tr2bl w:val="nil"/>
                  </w:tcBorders>
                  <w:shd w:val="clear" w:color="auto" w:fill="auto"/>
                  <w:noWrap w:val="0"/>
                  <w:vAlign w:val="center"/>
                </w:tcPr>
                <w:p w14:paraId="31EEFC8A">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拟</w:t>
                  </w:r>
                  <w:r>
                    <w:rPr>
                      <w:color w:val="auto"/>
                      <w:sz w:val="18"/>
                      <w:szCs w:val="18"/>
                    </w:rPr>
                    <w:t>设置可燃气体浓度监测和报警装置，</w:t>
                  </w:r>
                  <w:r>
                    <w:rPr>
                      <w:rFonts w:hint="eastAsia"/>
                      <w:color w:val="auto"/>
                      <w:sz w:val="18"/>
                      <w:szCs w:val="18"/>
                    </w:rPr>
                    <w:t>并对</w:t>
                  </w:r>
                  <w:r>
                    <w:rPr>
                      <w:color w:val="auto"/>
                      <w:sz w:val="18"/>
                      <w:szCs w:val="18"/>
                    </w:rPr>
                    <w:t>环境应急预案</w:t>
                  </w:r>
                  <w:r>
                    <w:rPr>
                      <w:rFonts w:hint="eastAsia"/>
                      <w:color w:val="auto"/>
                      <w:sz w:val="18"/>
                      <w:szCs w:val="18"/>
                    </w:rPr>
                    <w:t>进行修编</w:t>
                  </w:r>
                  <w:r>
                    <w:rPr>
                      <w:color w:val="auto"/>
                      <w:sz w:val="18"/>
                      <w:szCs w:val="18"/>
                    </w:rPr>
                    <w:t>。</w:t>
                  </w:r>
                </w:p>
              </w:tc>
              <w:tc>
                <w:tcPr>
                  <w:tcW w:w="1860" w:type="pct"/>
                  <w:tcBorders>
                    <w:tl2br w:val="nil"/>
                    <w:tr2bl w:val="nil"/>
                  </w:tcBorders>
                  <w:shd w:val="clear" w:color="auto" w:fill="auto"/>
                  <w:noWrap w:val="0"/>
                  <w:vAlign w:val="center"/>
                </w:tcPr>
                <w:p w14:paraId="680A5F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2F2E27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r w14:paraId="7E9FD3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restart"/>
                  <w:tcBorders>
                    <w:tl2br w:val="nil"/>
                    <w:tr2bl w:val="nil"/>
                  </w:tcBorders>
                  <w:noWrap w:val="0"/>
                  <w:vAlign w:val="center"/>
                </w:tcPr>
                <w:p w14:paraId="4B33DD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储运工程</w:t>
                  </w:r>
                </w:p>
              </w:tc>
              <w:tc>
                <w:tcPr>
                  <w:tcW w:w="374" w:type="pct"/>
                  <w:gridSpan w:val="2"/>
                  <w:tcBorders>
                    <w:tl2br w:val="nil"/>
                    <w:tr2bl w:val="nil"/>
                  </w:tcBorders>
                  <w:shd w:val="clear" w:color="auto" w:fill="auto"/>
                  <w:noWrap w:val="0"/>
                  <w:vAlign w:val="center"/>
                </w:tcPr>
                <w:p w14:paraId="3F39695D">
                  <w:pPr>
                    <w:pStyle w:val="135"/>
                    <w:jc w:val="center"/>
                    <w:rPr>
                      <w:rFonts w:hint="eastAsia" w:ascii="Times New Roman" w:hAnsi="Times New Roman" w:eastAsia="宋体" w:cs="Times New Roman"/>
                      <w:color w:val="auto"/>
                      <w:kern w:val="2"/>
                      <w:sz w:val="18"/>
                      <w:szCs w:val="18"/>
                      <w:lang w:val="en-US" w:eastAsia="zh-CN" w:bidi="ar-SA"/>
                    </w:rPr>
                  </w:pPr>
                  <w:r>
                    <w:rPr>
                      <w:rFonts w:hint="eastAsia" w:eastAsia="宋体"/>
                      <w:color w:val="auto"/>
                      <w:szCs w:val="18"/>
                    </w:rPr>
                    <w:t>储存</w:t>
                  </w:r>
                </w:p>
              </w:tc>
              <w:tc>
                <w:tcPr>
                  <w:tcW w:w="2062" w:type="pct"/>
                  <w:tcBorders>
                    <w:tl2br w:val="nil"/>
                    <w:tr2bl w:val="nil"/>
                  </w:tcBorders>
                  <w:shd w:val="clear" w:color="auto" w:fill="auto"/>
                  <w:noWrap w:val="0"/>
                  <w:vAlign w:val="center"/>
                </w:tcPr>
                <w:p w14:paraId="425E469A">
                  <w:pPr>
                    <w:pStyle w:val="135"/>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textAlignment w:val="auto"/>
                    <w:rPr>
                      <w:rFonts w:hint="eastAsia" w:ascii="Times New Roman" w:hAnsi="Times New Roman" w:eastAsia="宋体" w:cs="Times New Roman"/>
                      <w:color w:val="auto"/>
                      <w:kern w:val="2"/>
                      <w:sz w:val="18"/>
                      <w:szCs w:val="18"/>
                      <w:lang w:val="en-US" w:eastAsia="zh-CN" w:bidi="ar-SA"/>
                    </w:rPr>
                  </w:pPr>
                  <w:r>
                    <w:rPr>
                      <w:rFonts w:hint="eastAsia" w:eastAsia="宋体"/>
                      <w:color w:val="auto"/>
                      <w:szCs w:val="18"/>
                      <w:lang w:eastAsia="zh-CN"/>
                    </w:rPr>
                    <w:t>续建工程</w:t>
                  </w:r>
                  <w:r>
                    <w:rPr>
                      <w:rFonts w:hint="eastAsia" w:eastAsia="宋体"/>
                      <w:color w:val="auto"/>
                      <w:szCs w:val="18"/>
                    </w:rPr>
                    <w:t>危险废物将依托现有工程已建的危废暂存间（</w:t>
                  </w:r>
                  <w:r>
                    <w:rPr>
                      <w:rFonts w:hint="eastAsia" w:eastAsia="宋体"/>
                      <w:color w:val="auto"/>
                      <w:szCs w:val="18"/>
                      <w:lang w:val="en-US" w:eastAsia="zh-CN"/>
                    </w:rPr>
                    <w:t>10</w:t>
                  </w:r>
                  <w:r>
                    <w:rPr>
                      <w:rFonts w:hint="eastAsia" w:eastAsia="宋体"/>
                      <w:color w:val="auto"/>
                      <w:szCs w:val="18"/>
                    </w:rPr>
                    <w:t>m</w:t>
                  </w:r>
                  <w:r>
                    <w:rPr>
                      <w:rFonts w:hint="eastAsia" w:eastAsia="宋体"/>
                      <w:color w:val="auto"/>
                      <w:szCs w:val="18"/>
                      <w:vertAlign w:val="superscript"/>
                      <w:lang w:val="en-US" w:eastAsia="zh-CN"/>
                    </w:rPr>
                    <w:t>2</w:t>
                  </w:r>
                  <w:r>
                    <w:rPr>
                      <w:rFonts w:hint="eastAsia" w:eastAsia="宋体"/>
                      <w:color w:val="auto"/>
                      <w:szCs w:val="18"/>
                    </w:rPr>
                    <w:t>）。</w:t>
                  </w:r>
                </w:p>
              </w:tc>
              <w:tc>
                <w:tcPr>
                  <w:tcW w:w="1860" w:type="pct"/>
                  <w:tcBorders>
                    <w:tl2br w:val="nil"/>
                    <w:tr2bl w:val="nil"/>
                  </w:tcBorders>
                  <w:shd w:val="clear" w:color="auto" w:fill="auto"/>
                  <w:noWrap w:val="0"/>
                  <w:vAlign w:val="center"/>
                </w:tcPr>
                <w:p w14:paraId="68916A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color w:val="auto"/>
                      <w:sz w:val="18"/>
                      <w:szCs w:val="18"/>
                      <w:highlight w:val="none"/>
                      <w:lang w:eastAsia="zh-CN"/>
                    </w:rPr>
                  </w:pPr>
                  <w:r>
                    <w:rPr>
                      <w:rFonts w:hint="eastAsia"/>
                      <w:color w:val="auto"/>
                      <w:sz w:val="18"/>
                      <w:szCs w:val="18"/>
                      <w:lang w:eastAsia="zh-CN"/>
                    </w:rPr>
                    <w:t>建设单位拆除了现有的危废暂存间（</w:t>
                  </w:r>
                  <w:r>
                    <w:rPr>
                      <w:rFonts w:hint="eastAsia"/>
                      <w:color w:val="auto"/>
                      <w:sz w:val="18"/>
                      <w:szCs w:val="18"/>
                      <w:lang w:val="en-US" w:eastAsia="zh-CN"/>
                    </w:rPr>
                    <w:t>10m</w:t>
                  </w:r>
                  <w:r>
                    <w:rPr>
                      <w:rFonts w:hint="eastAsia"/>
                      <w:color w:val="auto"/>
                      <w:sz w:val="18"/>
                      <w:szCs w:val="18"/>
                      <w:vertAlign w:val="superscript"/>
                      <w:lang w:val="en-US" w:eastAsia="zh-CN"/>
                    </w:rPr>
                    <w:t>2</w:t>
                  </w:r>
                  <w:r>
                    <w:rPr>
                      <w:rFonts w:hint="eastAsia"/>
                      <w:color w:val="auto"/>
                      <w:sz w:val="18"/>
                      <w:szCs w:val="18"/>
                      <w:lang w:eastAsia="zh-CN"/>
                    </w:rPr>
                    <w:t>），并于厂区南部空地新建了</w:t>
                  </w:r>
                  <w:r>
                    <w:rPr>
                      <w:rFonts w:hint="eastAsia"/>
                      <w:color w:val="auto"/>
                      <w:sz w:val="18"/>
                      <w:szCs w:val="18"/>
                      <w:lang w:val="en-US" w:eastAsia="zh-CN"/>
                    </w:rPr>
                    <w:t>2个危废暂存间，面积分别为12m</w:t>
                  </w:r>
                  <w:r>
                    <w:rPr>
                      <w:rFonts w:hint="eastAsia"/>
                      <w:color w:val="auto"/>
                      <w:sz w:val="18"/>
                      <w:szCs w:val="18"/>
                      <w:vertAlign w:val="superscript"/>
                      <w:lang w:val="en-US" w:eastAsia="zh-CN"/>
                    </w:rPr>
                    <w:t>2</w:t>
                  </w:r>
                  <w:r>
                    <w:rPr>
                      <w:rFonts w:hint="eastAsia"/>
                      <w:color w:val="auto"/>
                      <w:sz w:val="18"/>
                      <w:szCs w:val="18"/>
                      <w:lang w:val="en-US" w:eastAsia="zh-CN"/>
                    </w:rPr>
                    <w:t>和8m</w:t>
                  </w:r>
                  <w:r>
                    <w:rPr>
                      <w:rFonts w:hint="eastAsia"/>
                      <w:color w:val="auto"/>
                      <w:sz w:val="18"/>
                      <w:szCs w:val="18"/>
                      <w:vertAlign w:val="superscript"/>
                      <w:lang w:val="en-US" w:eastAsia="zh-CN"/>
                    </w:rPr>
                    <w:t>2</w:t>
                  </w:r>
                  <w:r>
                    <w:rPr>
                      <w:rFonts w:hint="eastAsia"/>
                      <w:color w:val="auto"/>
                      <w:sz w:val="18"/>
                      <w:szCs w:val="18"/>
                      <w:lang w:val="en-US" w:eastAsia="zh-CN"/>
                    </w:rPr>
                    <w:t>。</w:t>
                  </w:r>
                </w:p>
              </w:tc>
              <w:tc>
                <w:tcPr>
                  <w:tcW w:w="567" w:type="pct"/>
                  <w:tcBorders>
                    <w:tl2br w:val="nil"/>
                    <w:tr2bl w:val="nil"/>
                  </w:tcBorders>
                  <w:shd w:val="clear" w:color="auto" w:fill="auto"/>
                  <w:noWrap w:val="0"/>
                  <w:vAlign w:val="center"/>
                </w:tcPr>
                <w:p w14:paraId="2131B8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eastAsia"/>
                      <w:color w:val="auto"/>
                      <w:sz w:val="18"/>
                      <w:szCs w:val="18"/>
                      <w:lang w:eastAsia="zh-CN"/>
                    </w:rPr>
                    <w:t>建设单位拆除了现有的危废暂存间（</w:t>
                  </w:r>
                  <w:r>
                    <w:rPr>
                      <w:rFonts w:hint="eastAsia"/>
                      <w:color w:val="auto"/>
                      <w:sz w:val="18"/>
                      <w:szCs w:val="18"/>
                      <w:lang w:val="en-US" w:eastAsia="zh-CN"/>
                    </w:rPr>
                    <w:t>10m</w:t>
                  </w:r>
                  <w:r>
                    <w:rPr>
                      <w:rFonts w:hint="eastAsia"/>
                      <w:color w:val="auto"/>
                      <w:sz w:val="18"/>
                      <w:szCs w:val="18"/>
                      <w:vertAlign w:val="superscript"/>
                      <w:lang w:val="en-US" w:eastAsia="zh-CN"/>
                    </w:rPr>
                    <w:t>2</w:t>
                  </w:r>
                  <w:r>
                    <w:rPr>
                      <w:rFonts w:hint="eastAsia"/>
                      <w:color w:val="auto"/>
                      <w:sz w:val="18"/>
                      <w:szCs w:val="18"/>
                      <w:lang w:eastAsia="zh-CN"/>
                    </w:rPr>
                    <w:t>），并于厂区南部空地新建了</w:t>
                  </w:r>
                  <w:r>
                    <w:rPr>
                      <w:rFonts w:hint="eastAsia"/>
                      <w:color w:val="auto"/>
                      <w:sz w:val="18"/>
                      <w:szCs w:val="18"/>
                      <w:lang w:val="en-US" w:eastAsia="zh-CN"/>
                    </w:rPr>
                    <w:t>2个危废暂存间，面积分别为12m</w:t>
                  </w:r>
                  <w:r>
                    <w:rPr>
                      <w:rFonts w:hint="eastAsia"/>
                      <w:color w:val="auto"/>
                      <w:sz w:val="18"/>
                      <w:szCs w:val="18"/>
                      <w:vertAlign w:val="superscript"/>
                      <w:lang w:val="en-US" w:eastAsia="zh-CN"/>
                    </w:rPr>
                    <w:t>2</w:t>
                  </w:r>
                  <w:r>
                    <w:rPr>
                      <w:rFonts w:hint="eastAsia"/>
                      <w:color w:val="auto"/>
                      <w:sz w:val="18"/>
                      <w:szCs w:val="18"/>
                      <w:lang w:val="en-US" w:eastAsia="zh-CN"/>
                    </w:rPr>
                    <w:t>和8m</w:t>
                  </w:r>
                  <w:r>
                    <w:rPr>
                      <w:rFonts w:hint="eastAsia"/>
                      <w:color w:val="auto"/>
                      <w:sz w:val="18"/>
                      <w:szCs w:val="18"/>
                      <w:vertAlign w:val="superscript"/>
                      <w:lang w:val="en-US" w:eastAsia="zh-CN"/>
                    </w:rPr>
                    <w:t>2</w:t>
                  </w:r>
                  <w:r>
                    <w:rPr>
                      <w:rFonts w:hint="eastAsia"/>
                      <w:color w:val="auto"/>
                      <w:sz w:val="18"/>
                      <w:szCs w:val="18"/>
                      <w:lang w:val="en-US" w:eastAsia="zh-CN"/>
                    </w:rPr>
                    <w:t>。</w:t>
                  </w:r>
                </w:p>
              </w:tc>
            </w:tr>
            <w:tr w14:paraId="58EAF0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6" w:type="pct"/>
                  <w:vMerge w:val="continue"/>
                  <w:tcBorders>
                    <w:tl2br w:val="nil"/>
                    <w:tr2bl w:val="nil"/>
                  </w:tcBorders>
                  <w:noWrap w:val="0"/>
                  <w:vAlign w:val="center"/>
                </w:tcPr>
                <w:p w14:paraId="4779FC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p>
              </w:tc>
              <w:tc>
                <w:tcPr>
                  <w:tcW w:w="374" w:type="pct"/>
                  <w:gridSpan w:val="2"/>
                  <w:tcBorders>
                    <w:tl2br w:val="nil"/>
                    <w:tr2bl w:val="nil"/>
                  </w:tcBorders>
                  <w:shd w:val="clear" w:color="auto" w:fill="auto"/>
                  <w:noWrap w:val="0"/>
                  <w:vAlign w:val="center"/>
                </w:tcPr>
                <w:p w14:paraId="3C4A2281">
                  <w:pPr>
                    <w:pStyle w:val="135"/>
                    <w:jc w:val="center"/>
                    <w:rPr>
                      <w:rFonts w:hint="eastAsia" w:ascii="Times New Roman" w:hAnsi="Times New Roman" w:eastAsia="宋体" w:cs="Times New Roman"/>
                      <w:color w:val="auto"/>
                      <w:kern w:val="2"/>
                      <w:sz w:val="18"/>
                      <w:szCs w:val="18"/>
                      <w:lang w:val="en-US" w:eastAsia="zh-CN" w:bidi="ar-SA"/>
                    </w:rPr>
                  </w:pPr>
                  <w:r>
                    <w:rPr>
                      <w:rFonts w:hint="eastAsia" w:eastAsia="宋体"/>
                      <w:color w:val="auto"/>
                      <w:szCs w:val="18"/>
                    </w:rPr>
                    <w:t>运输</w:t>
                  </w:r>
                </w:p>
              </w:tc>
              <w:tc>
                <w:tcPr>
                  <w:tcW w:w="2062" w:type="pct"/>
                  <w:tcBorders>
                    <w:tl2br w:val="nil"/>
                    <w:tr2bl w:val="nil"/>
                  </w:tcBorders>
                  <w:shd w:val="clear" w:color="auto" w:fill="auto"/>
                  <w:noWrap w:val="0"/>
                  <w:vAlign w:val="center"/>
                </w:tcPr>
                <w:p w14:paraId="25F8027D">
                  <w:pPr>
                    <w:pStyle w:val="135"/>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textAlignment w:val="auto"/>
                    <w:rPr>
                      <w:rFonts w:hint="eastAsia" w:ascii="Times New Roman" w:hAnsi="Times New Roman" w:eastAsia="宋体" w:cs="Times New Roman"/>
                      <w:color w:val="auto"/>
                      <w:kern w:val="2"/>
                      <w:sz w:val="18"/>
                      <w:szCs w:val="18"/>
                      <w:lang w:val="en-US" w:eastAsia="zh-CN" w:bidi="ar-SA"/>
                    </w:rPr>
                  </w:pPr>
                  <w:r>
                    <w:rPr>
                      <w:rFonts w:hint="eastAsia" w:eastAsia="宋体"/>
                      <w:color w:val="auto"/>
                      <w:szCs w:val="18"/>
                      <w:lang w:eastAsia="zh-CN"/>
                    </w:rPr>
                    <w:t>续建工程</w:t>
                  </w:r>
                  <w:r>
                    <w:rPr>
                      <w:rFonts w:hint="eastAsia" w:eastAsia="宋体"/>
                      <w:color w:val="auto"/>
                      <w:szCs w:val="18"/>
                    </w:rPr>
                    <w:t>运行所需的填埋气依托填埋场内的管道进行输送，其它原辅料采用汽车运输。</w:t>
                  </w:r>
                </w:p>
              </w:tc>
              <w:tc>
                <w:tcPr>
                  <w:tcW w:w="1860" w:type="pct"/>
                  <w:tcBorders>
                    <w:tl2br w:val="nil"/>
                    <w:tr2bl w:val="nil"/>
                  </w:tcBorders>
                  <w:shd w:val="clear" w:color="auto" w:fill="auto"/>
                  <w:noWrap w:val="0"/>
                  <w:vAlign w:val="center"/>
                </w:tcPr>
                <w:p w14:paraId="2C3CEA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sz w:val="18"/>
                      <w:szCs w:val="18"/>
                      <w:highlight w:val="none"/>
                      <w:lang w:eastAsia="zh-CN"/>
                    </w:rPr>
                    <w:t>与环评一致</w:t>
                  </w:r>
                </w:p>
              </w:tc>
              <w:tc>
                <w:tcPr>
                  <w:tcW w:w="567" w:type="pct"/>
                  <w:tcBorders>
                    <w:tl2br w:val="nil"/>
                    <w:tr2bl w:val="nil"/>
                  </w:tcBorders>
                  <w:shd w:val="clear" w:color="auto" w:fill="auto"/>
                  <w:noWrap w:val="0"/>
                  <w:vAlign w:val="center"/>
                </w:tcPr>
                <w:p w14:paraId="0A2C73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无</w:t>
                  </w:r>
                </w:p>
              </w:tc>
            </w:tr>
          </w:tbl>
          <w:p w14:paraId="7F0460D9">
            <w:pPr>
              <w:pStyle w:val="124"/>
              <w:numPr>
                <w:ilvl w:val="0"/>
                <w:numId w:val="0"/>
              </w:numPr>
              <w:adjustRightInd/>
              <w:snapToGrid/>
              <w:jc w:val="both"/>
              <w:rPr>
                <w:color w:val="auto"/>
                <w:highlight w:val="none"/>
              </w:rPr>
            </w:pPr>
          </w:p>
        </w:tc>
      </w:tr>
    </w:tbl>
    <w:p w14:paraId="5765EB18">
      <w:pPr>
        <w:pStyle w:val="2"/>
        <w:rPr>
          <w:color w:val="auto"/>
          <w:highlight w:val="none"/>
        </w:rPr>
        <w:sectPr>
          <w:footerReference r:id="rId5" w:type="default"/>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30"/>
        <w:tblW w:w="9286" w:type="dxa"/>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228642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927" w:hRule="atLeast"/>
          <w:jc w:val="center"/>
        </w:trPr>
        <w:tc>
          <w:tcPr>
            <w:tcW w:w="9286" w:type="dxa"/>
            <w:tcBorders>
              <w:tl2br w:val="nil"/>
              <w:tr2bl w:val="nil"/>
            </w:tcBorders>
          </w:tcPr>
          <w:p w14:paraId="3A3D23F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2.</w:t>
            </w:r>
            <w:r>
              <w:rPr>
                <w:rFonts w:hint="eastAsia" w:ascii="Times New Roman" w:hAnsi="Times New Roman" w:eastAsia="黑体" w:cs="Times New Roman"/>
                <w:b/>
                <w:color w:val="auto"/>
                <w:sz w:val="24"/>
                <w:szCs w:val="24"/>
                <w:highlight w:val="none"/>
                <w:lang w:val="en-US" w:eastAsia="zh-CN"/>
              </w:rPr>
              <w:t>5</w:t>
            </w:r>
            <w:r>
              <w:rPr>
                <w:rFonts w:hint="eastAsia" w:ascii="Times New Roman" w:hAnsi="Times New Roman" w:eastAsia="黑体" w:cs="Times New Roman"/>
                <w:b/>
                <w:color w:val="auto"/>
                <w:sz w:val="24"/>
                <w:szCs w:val="24"/>
                <w:highlight w:val="none"/>
              </w:rPr>
              <w:t>产品方案</w:t>
            </w:r>
          </w:p>
          <w:p w14:paraId="58AF3754">
            <w:pPr>
              <w:pStyle w:val="103"/>
              <w:adjustRightInd/>
              <w:snapToGrid/>
              <w:spacing w:line="360" w:lineRule="auto"/>
              <w:rPr>
                <w:color w:val="auto"/>
                <w:highlight w:val="none"/>
              </w:rPr>
            </w:pPr>
            <w:r>
              <w:rPr>
                <w:rFonts w:hint="eastAsia"/>
                <w:color w:val="auto"/>
                <w:highlight w:val="none"/>
                <w:lang w:eastAsia="zh-CN"/>
              </w:rPr>
              <w:t>续建工程利用填埋场内垃圾填埋区产生的填埋气进行燃烧发电，扩建项目</w:t>
            </w:r>
            <w:r>
              <w:rPr>
                <w:rFonts w:hint="eastAsia"/>
                <w:color w:val="auto"/>
                <w:highlight w:val="none"/>
              </w:rPr>
              <w:t>年均发电量</w:t>
            </w:r>
            <w:r>
              <w:rPr>
                <w:rFonts w:hint="eastAsia"/>
                <w:color w:val="auto"/>
                <w:highlight w:val="none"/>
                <w:lang w:val="en-US" w:eastAsia="zh-CN"/>
              </w:rPr>
              <w:t>3407</w:t>
            </w:r>
            <w:r>
              <w:rPr>
                <w:rFonts w:hint="eastAsia"/>
                <w:color w:val="auto"/>
                <w:highlight w:val="none"/>
              </w:rPr>
              <w:t>万度</w:t>
            </w:r>
            <w:r>
              <w:rPr>
                <w:rFonts w:hint="eastAsia"/>
                <w:bCs/>
                <w:color w:val="auto"/>
                <w:szCs w:val="24"/>
                <w:highlight w:val="none"/>
              </w:rPr>
              <w:t>。</w:t>
            </w:r>
          </w:p>
          <w:p w14:paraId="27106682">
            <w:pPr>
              <w:pStyle w:val="121"/>
              <w:adjustRightInd/>
              <w:snapToGrid/>
              <w:rPr>
                <w:color w:val="auto"/>
                <w:sz w:val="21"/>
                <w:highlight w:val="none"/>
              </w:rPr>
            </w:pPr>
            <w:r>
              <w:rPr>
                <w:rFonts w:hint="eastAsia"/>
                <w:color w:val="auto"/>
                <w:sz w:val="21"/>
                <w:highlight w:val="none"/>
                <w:lang w:eastAsia="zh-CN"/>
              </w:rPr>
              <w:t>续建工程</w:t>
            </w:r>
            <w:r>
              <w:rPr>
                <w:rFonts w:hint="eastAsia"/>
                <w:color w:val="auto"/>
                <w:sz w:val="21"/>
                <w:highlight w:val="none"/>
              </w:rPr>
              <w:t>产品方案一览表</w:t>
            </w:r>
          </w:p>
          <w:tbl>
            <w:tblPr>
              <w:tblStyle w:val="29"/>
              <w:tblW w:w="494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2"/>
              <w:gridCol w:w="1788"/>
              <w:gridCol w:w="1864"/>
              <w:gridCol w:w="1635"/>
              <w:gridCol w:w="2657"/>
            </w:tblGrid>
            <w:tr w14:paraId="1C13A8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32" w:type="dxa"/>
                  <w:tcBorders>
                    <w:bottom w:val="single" w:color="auto" w:sz="12" w:space="0"/>
                  </w:tcBorders>
                  <w:vAlign w:val="center"/>
                </w:tcPr>
                <w:p w14:paraId="5408541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序号</w:t>
                  </w:r>
                </w:p>
              </w:tc>
              <w:tc>
                <w:tcPr>
                  <w:tcW w:w="1788" w:type="dxa"/>
                  <w:tcBorders>
                    <w:bottom w:val="single" w:color="auto" w:sz="12" w:space="0"/>
                  </w:tcBorders>
                  <w:vAlign w:val="center"/>
                </w:tcPr>
                <w:p w14:paraId="1762E14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eastAsia="zh-CN"/>
                    </w:rPr>
                  </w:pPr>
                  <w:r>
                    <w:rPr>
                      <w:rFonts w:hint="default" w:ascii="Times New Roman" w:hAnsi="Times New Roman" w:eastAsia="宋体" w:cs="Times New Roman"/>
                      <w:b/>
                      <w:bCs/>
                      <w:color w:val="auto"/>
                      <w:kern w:val="0"/>
                      <w:sz w:val="18"/>
                      <w:szCs w:val="18"/>
                      <w:highlight w:val="none"/>
                    </w:rPr>
                    <w:t>产品</w:t>
                  </w:r>
                  <w:r>
                    <w:rPr>
                      <w:rFonts w:hint="default" w:ascii="Times New Roman" w:hAnsi="Times New Roman" w:eastAsia="宋体" w:cs="Times New Roman"/>
                      <w:b/>
                      <w:bCs/>
                      <w:color w:val="auto"/>
                      <w:kern w:val="0"/>
                      <w:sz w:val="18"/>
                      <w:szCs w:val="18"/>
                      <w:highlight w:val="none"/>
                      <w:lang w:eastAsia="zh-CN"/>
                    </w:rPr>
                    <w:t>名称</w:t>
                  </w:r>
                </w:p>
              </w:tc>
              <w:tc>
                <w:tcPr>
                  <w:tcW w:w="1864" w:type="dxa"/>
                  <w:tcBorders>
                    <w:bottom w:val="single" w:color="auto" w:sz="12" w:space="0"/>
                  </w:tcBorders>
                  <w:vAlign w:val="center"/>
                </w:tcPr>
                <w:p w14:paraId="42AAA61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环评设计规模</w:t>
                  </w:r>
                </w:p>
              </w:tc>
              <w:tc>
                <w:tcPr>
                  <w:tcW w:w="1635" w:type="dxa"/>
                  <w:tcBorders>
                    <w:bottom w:val="single" w:color="auto" w:sz="12" w:space="0"/>
                  </w:tcBorders>
                  <w:vAlign w:val="center"/>
                </w:tcPr>
                <w:p w14:paraId="4D5CDD4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实际规模</w:t>
                  </w:r>
                </w:p>
              </w:tc>
              <w:tc>
                <w:tcPr>
                  <w:tcW w:w="2657" w:type="dxa"/>
                  <w:tcBorders>
                    <w:bottom w:val="single" w:color="auto" w:sz="12" w:space="0"/>
                  </w:tcBorders>
                  <w:vAlign w:val="center"/>
                </w:tcPr>
                <w:p w14:paraId="4C9F2C4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eastAsia="zh-CN"/>
                    </w:rPr>
                  </w:pPr>
                  <w:r>
                    <w:rPr>
                      <w:rFonts w:hint="default" w:ascii="Times New Roman" w:hAnsi="Times New Roman" w:eastAsia="宋体" w:cs="Times New Roman"/>
                      <w:b/>
                      <w:bCs/>
                      <w:color w:val="auto"/>
                      <w:kern w:val="0"/>
                      <w:sz w:val="18"/>
                      <w:szCs w:val="18"/>
                      <w:highlight w:val="none"/>
                      <w:lang w:eastAsia="zh-CN"/>
                    </w:rPr>
                    <w:t>备注</w:t>
                  </w:r>
                </w:p>
              </w:tc>
            </w:tr>
            <w:tr w14:paraId="2367B5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32" w:type="dxa"/>
                  <w:tcBorders>
                    <w:top w:val="single" w:color="auto" w:sz="12" w:space="0"/>
                    <w:tl2br w:val="nil"/>
                    <w:tr2bl w:val="nil"/>
                  </w:tcBorders>
                  <w:vAlign w:val="center"/>
                </w:tcPr>
                <w:p w14:paraId="45CC45C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1</w:t>
                  </w:r>
                </w:p>
              </w:tc>
              <w:tc>
                <w:tcPr>
                  <w:tcW w:w="1788" w:type="dxa"/>
                  <w:tcBorders>
                    <w:top w:val="single" w:color="auto" w:sz="12" w:space="0"/>
                    <w:tl2br w:val="nil"/>
                    <w:tr2bl w:val="nil"/>
                  </w:tcBorders>
                  <w:vAlign w:val="center"/>
                </w:tcPr>
                <w:p w14:paraId="06B6A95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电</w:t>
                  </w:r>
                </w:p>
              </w:tc>
              <w:tc>
                <w:tcPr>
                  <w:tcW w:w="1864" w:type="dxa"/>
                  <w:tcBorders>
                    <w:top w:val="single" w:color="auto" w:sz="12" w:space="0"/>
                    <w:tl2br w:val="nil"/>
                    <w:tr2bl w:val="nil"/>
                  </w:tcBorders>
                  <w:vAlign w:val="center"/>
                </w:tcPr>
                <w:p w14:paraId="086B1D3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eastAsia" w:cs="Times New Roman"/>
                      <w:color w:val="auto"/>
                      <w:sz w:val="18"/>
                      <w:szCs w:val="18"/>
                      <w:highlight w:val="none"/>
                      <w:lang w:val="en-US" w:eastAsia="zh-CN"/>
                    </w:rPr>
                    <w:t>3407</w:t>
                  </w:r>
                  <w:r>
                    <w:rPr>
                      <w:rFonts w:hint="default" w:ascii="Times New Roman" w:hAnsi="Times New Roman" w:eastAsia="宋体" w:cs="Times New Roman"/>
                      <w:color w:val="auto"/>
                      <w:sz w:val="18"/>
                      <w:szCs w:val="18"/>
                      <w:highlight w:val="none"/>
                    </w:rPr>
                    <w:t>万度/年</w:t>
                  </w:r>
                </w:p>
              </w:tc>
              <w:tc>
                <w:tcPr>
                  <w:tcW w:w="1635" w:type="dxa"/>
                  <w:tcBorders>
                    <w:top w:val="single" w:color="auto" w:sz="12" w:space="0"/>
                    <w:tl2br w:val="nil"/>
                    <w:tr2bl w:val="nil"/>
                  </w:tcBorders>
                  <w:vAlign w:val="center"/>
                </w:tcPr>
                <w:p w14:paraId="2064C9F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eastAsia" w:cs="Times New Roman"/>
                      <w:color w:val="auto"/>
                      <w:sz w:val="18"/>
                      <w:szCs w:val="18"/>
                      <w:highlight w:val="none"/>
                      <w:lang w:val="en-US" w:eastAsia="zh-CN"/>
                    </w:rPr>
                    <w:t>3407万kw·h/a</w:t>
                  </w:r>
                </w:p>
              </w:tc>
              <w:tc>
                <w:tcPr>
                  <w:tcW w:w="2657" w:type="dxa"/>
                  <w:tcBorders>
                    <w:top w:val="single" w:color="auto" w:sz="12" w:space="0"/>
                    <w:tl2br w:val="nil"/>
                    <w:tr2bl w:val="nil"/>
                  </w:tcBorders>
                  <w:vAlign w:val="center"/>
                </w:tcPr>
                <w:p w14:paraId="210B850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与环评一致</w:t>
                  </w:r>
                </w:p>
              </w:tc>
            </w:tr>
          </w:tbl>
          <w:p w14:paraId="02DB2DC6">
            <w:pPr>
              <w:pStyle w:val="103"/>
              <w:adjustRightInd/>
              <w:snapToGrid/>
              <w:spacing w:line="360" w:lineRule="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续建工程建成后，全厂发电情况详见下表。</w:t>
            </w:r>
          </w:p>
          <w:p w14:paraId="08736B94">
            <w:pPr>
              <w:pStyle w:val="121"/>
              <w:adjustRightInd/>
              <w:snapToGrid/>
              <w:rPr>
                <w:rFonts w:hint="eastAsia" w:ascii="Times New Roman" w:hAnsi="Times New Roman" w:cs="Times New Roman"/>
                <w:color w:val="auto"/>
                <w:sz w:val="21"/>
                <w:highlight w:val="none"/>
                <w:lang w:eastAsia="zh-CN"/>
              </w:rPr>
            </w:pPr>
            <w:r>
              <w:rPr>
                <w:rFonts w:hint="eastAsia" w:ascii="Times New Roman" w:hAnsi="Times New Roman" w:cs="Times New Roman"/>
                <w:color w:val="auto"/>
                <w:sz w:val="21"/>
                <w:highlight w:val="none"/>
                <w:lang w:eastAsia="zh-CN"/>
              </w:rPr>
              <w:t>项目主要产品产能及规格一览表单位：万kw·h/a</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12" w:space="0"/>
                <w:insideV w:val="single" w:color="auto" w:sz="6" w:space="0"/>
              </w:tblBorders>
              <w:tblLayout w:type="autofit"/>
              <w:tblCellMar>
                <w:top w:w="0" w:type="dxa"/>
                <w:left w:w="108" w:type="dxa"/>
                <w:bottom w:w="0" w:type="dxa"/>
                <w:right w:w="108" w:type="dxa"/>
              </w:tblCellMar>
            </w:tblPr>
            <w:tblGrid>
              <w:gridCol w:w="1811"/>
              <w:gridCol w:w="1811"/>
              <w:gridCol w:w="1813"/>
              <w:gridCol w:w="1430"/>
              <w:gridCol w:w="2205"/>
            </w:tblGrid>
            <w:tr w14:paraId="6C6337B5">
              <w:tblPrEx>
                <w:tblBorders>
                  <w:top w:val="single" w:color="auto" w:sz="12" w:space="0"/>
                  <w:left w:val="none" w:color="auto" w:sz="0" w:space="0"/>
                  <w:bottom w:val="single" w:color="auto" w:sz="12" w:space="0"/>
                  <w:right w:val="none" w:color="auto" w:sz="0" w:space="0"/>
                  <w:insideH w:val="single" w:color="auto" w:sz="12" w:space="0"/>
                  <w:insideV w:val="single" w:color="auto" w:sz="6" w:space="0"/>
                </w:tblBorders>
                <w:tblCellMar>
                  <w:top w:w="0" w:type="dxa"/>
                  <w:left w:w="108" w:type="dxa"/>
                  <w:bottom w:w="0" w:type="dxa"/>
                  <w:right w:w="108" w:type="dxa"/>
                </w:tblCellMar>
              </w:tblPrEx>
              <w:trPr>
                <w:trHeight w:val="340" w:hRule="atLeast"/>
                <w:jc w:val="center"/>
              </w:trPr>
              <w:tc>
                <w:tcPr>
                  <w:tcW w:w="998" w:type="pct"/>
                  <w:vMerge w:val="restart"/>
                  <w:noWrap w:val="0"/>
                  <w:vAlign w:val="center"/>
                </w:tcPr>
                <w:p w14:paraId="09D33F5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序号</w:t>
                  </w:r>
                </w:p>
              </w:tc>
              <w:tc>
                <w:tcPr>
                  <w:tcW w:w="998" w:type="pct"/>
                  <w:vMerge w:val="restart"/>
                  <w:noWrap w:val="0"/>
                  <w:vAlign w:val="center"/>
                </w:tcPr>
                <w:p w14:paraId="1E77A13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产品名称</w:t>
                  </w:r>
                </w:p>
              </w:tc>
              <w:tc>
                <w:tcPr>
                  <w:tcW w:w="3002" w:type="pct"/>
                  <w:gridSpan w:val="3"/>
                  <w:tcBorders>
                    <w:bottom w:val="single" w:color="auto" w:sz="4" w:space="0"/>
                  </w:tcBorders>
                  <w:noWrap w:val="0"/>
                  <w:vAlign w:val="center"/>
                </w:tcPr>
                <w:p w14:paraId="7AAEF0E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产品产能</w:t>
                  </w:r>
                </w:p>
              </w:tc>
            </w:tr>
            <w:tr w14:paraId="2227844F">
              <w:tblPrEx>
                <w:tblBorders>
                  <w:top w:val="single" w:color="auto" w:sz="12" w:space="0"/>
                  <w:left w:val="none" w:color="auto" w:sz="0" w:space="0"/>
                  <w:bottom w:val="single" w:color="auto" w:sz="12" w:space="0"/>
                  <w:right w:val="none" w:color="auto" w:sz="0" w:space="0"/>
                  <w:insideH w:val="single" w:color="auto" w:sz="12" w:space="0"/>
                  <w:insideV w:val="single" w:color="auto" w:sz="6" w:space="0"/>
                </w:tblBorders>
                <w:tblCellMar>
                  <w:top w:w="0" w:type="dxa"/>
                  <w:left w:w="108" w:type="dxa"/>
                  <w:bottom w:w="0" w:type="dxa"/>
                  <w:right w:w="108" w:type="dxa"/>
                </w:tblCellMar>
              </w:tblPrEx>
              <w:trPr>
                <w:trHeight w:val="340" w:hRule="atLeast"/>
                <w:jc w:val="center"/>
              </w:trPr>
              <w:tc>
                <w:tcPr>
                  <w:tcW w:w="998" w:type="pct"/>
                  <w:vMerge w:val="continue"/>
                  <w:noWrap w:val="0"/>
                  <w:vAlign w:val="center"/>
                </w:tcPr>
                <w:p w14:paraId="5CD5C57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p>
              </w:tc>
              <w:tc>
                <w:tcPr>
                  <w:tcW w:w="998" w:type="pct"/>
                  <w:vMerge w:val="continue"/>
                  <w:noWrap w:val="0"/>
                  <w:vAlign w:val="center"/>
                </w:tcPr>
                <w:p w14:paraId="36883D5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rPr>
                  </w:pPr>
                </w:p>
              </w:tc>
              <w:tc>
                <w:tcPr>
                  <w:tcW w:w="999" w:type="pct"/>
                  <w:tcBorders>
                    <w:top w:val="single" w:color="auto" w:sz="4" w:space="0"/>
                    <w:bottom w:val="single" w:color="auto" w:sz="12" w:space="0"/>
                  </w:tcBorders>
                  <w:noWrap w:val="0"/>
                  <w:vAlign w:val="center"/>
                </w:tcPr>
                <w:p w14:paraId="7249EBA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0"/>
                      <w:sz w:val="18"/>
                      <w:szCs w:val="18"/>
                      <w:highlight w:val="none"/>
                    </w:rPr>
                  </w:pPr>
                  <w:r>
                    <w:rPr>
                      <w:rFonts w:hint="eastAsia" w:ascii="Times New Roman" w:hAnsi="Times New Roman" w:eastAsia="宋体" w:cs="Times New Roman"/>
                      <w:b/>
                      <w:bCs/>
                      <w:color w:val="auto"/>
                      <w:kern w:val="0"/>
                      <w:sz w:val="18"/>
                      <w:szCs w:val="18"/>
                      <w:highlight w:val="none"/>
                    </w:rPr>
                    <w:t>现有工程</w:t>
                  </w:r>
                </w:p>
              </w:tc>
              <w:tc>
                <w:tcPr>
                  <w:tcW w:w="788" w:type="pct"/>
                  <w:tcBorders>
                    <w:top w:val="single" w:color="auto" w:sz="4" w:space="0"/>
                    <w:bottom w:val="single" w:color="auto" w:sz="12" w:space="0"/>
                  </w:tcBorders>
                  <w:noWrap w:val="0"/>
                  <w:vAlign w:val="center"/>
                </w:tcPr>
                <w:p w14:paraId="362510D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0"/>
                      <w:sz w:val="18"/>
                      <w:szCs w:val="18"/>
                      <w:highlight w:val="none"/>
                      <w:lang w:eastAsia="zh-CN"/>
                    </w:rPr>
                  </w:pPr>
                  <w:r>
                    <w:rPr>
                      <w:rFonts w:hint="eastAsia" w:ascii="Times New Roman" w:hAnsi="Times New Roman" w:eastAsia="宋体" w:cs="Times New Roman"/>
                      <w:b/>
                      <w:bCs/>
                      <w:color w:val="auto"/>
                      <w:kern w:val="0"/>
                      <w:sz w:val="18"/>
                      <w:szCs w:val="18"/>
                      <w:highlight w:val="none"/>
                      <w:lang w:eastAsia="zh-CN"/>
                    </w:rPr>
                    <w:t>续建工程</w:t>
                  </w:r>
                </w:p>
              </w:tc>
              <w:tc>
                <w:tcPr>
                  <w:tcW w:w="1213" w:type="pct"/>
                  <w:tcBorders>
                    <w:top w:val="single" w:color="auto" w:sz="4" w:space="0"/>
                    <w:bottom w:val="single" w:color="auto" w:sz="12" w:space="0"/>
                  </w:tcBorders>
                  <w:noWrap w:val="0"/>
                  <w:vAlign w:val="center"/>
                </w:tcPr>
                <w:p w14:paraId="34D87B6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0"/>
                      <w:sz w:val="18"/>
                      <w:szCs w:val="18"/>
                      <w:highlight w:val="none"/>
                    </w:rPr>
                  </w:pPr>
                  <w:r>
                    <w:rPr>
                      <w:rFonts w:hint="eastAsia" w:ascii="Times New Roman" w:hAnsi="Times New Roman" w:eastAsia="宋体" w:cs="Times New Roman"/>
                      <w:b/>
                      <w:bCs/>
                      <w:color w:val="auto"/>
                      <w:kern w:val="0"/>
                      <w:sz w:val="18"/>
                      <w:szCs w:val="18"/>
                      <w:highlight w:val="none"/>
                    </w:rPr>
                    <w:t>全厂</w:t>
                  </w:r>
                </w:p>
              </w:tc>
            </w:tr>
            <w:tr w14:paraId="034B50F2">
              <w:tblPrEx>
                <w:tblBorders>
                  <w:top w:val="single" w:color="auto" w:sz="12" w:space="0"/>
                  <w:left w:val="none" w:color="auto" w:sz="0" w:space="0"/>
                  <w:bottom w:val="single" w:color="auto" w:sz="12" w:space="0"/>
                  <w:right w:val="none" w:color="auto" w:sz="0" w:space="0"/>
                  <w:insideH w:val="single" w:color="auto" w:sz="12" w:space="0"/>
                  <w:insideV w:val="single" w:color="auto" w:sz="6" w:space="0"/>
                </w:tblBorders>
                <w:tblCellMar>
                  <w:top w:w="0" w:type="dxa"/>
                  <w:left w:w="108" w:type="dxa"/>
                  <w:bottom w:w="0" w:type="dxa"/>
                  <w:right w:w="108" w:type="dxa"/>
                </w:tblCellMar>
              </w:tblPrEx>
              <w:trPr>
                <w:trHeight w:val="340" w:hRule="atLeast"/>
                <w:jc w:val="center"/>
              </w:trPr>
              <w:tc>
                <w:tcPr>
                  <w:tcW w:w="998" w:type="pct"/>
                  <w:tcBorders>
                    <w:bottom w:val="single" w:color="auto" w:sz="12" w:space="0"/>
                  </w:tcBorders>
                  <w:noWrap w:val="0"/>
                  <w:vAlign w:val="center"/>
                </w:tcPr>
                <w:p w14:paraId="358F30E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1</w:t>
                  </w:r>
                </w:p>
              </w:tc>
              <w:tc>
                <w:tcPr>
                  <w:tcW w:w="998" w:type="pct"/>
                  <w:tcBorders>
                    <w:bottom w:val="single" w:color="auto" w:sz="12" w:space="0"/>
                  </w:tcBorders>
                  <w:noWrap w:val="0"/>
                  <w:vAlign w:val="center"/>
                </w:tcPr>
                <w:p w14:paraId="5BC92A3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rPr>
                  </w:pPr>
                  <w:r>
                    <w:rPr>
                      <w:rFonts w:hint="eastAsia" w:ascii="Times New Roman" w:hAnsi="Times New Roman" w:eastAsia="宋体" w:cs="Times New Roman"/>
                      <w:color w:val="auto"/>
                      <w:kern w:val="0"/>
                      <w:sz w:val="18"/>
                      <w:szCs w:val="18"/>
                      <w:highlight w:val="none"/>
                    </w:rPr>
                    <w:t>电能</w:t>
                  </w:r>
                </w:p>
              </w:tc>
              <w:tc>
                <w:tcPr>
                  <w:tcW w:w="999" w:type="pct"/>
                  <w:tcBorders>
                    <w:top w:val="single" w:color="auto" w:sz="12" w:space="0"/>
                    <w:bottom w:val="single" w:color="auto" w:sz="12" w:space="0"/>
                  </w:tcBorders>
                  <w:noWrap w:val="0"/>
                  <w:vAlign w:val="center"/>
                </w:tcPr>
                <w:p w14:paraId="77A80EE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eastAsia" w:ascii="Times New Roman" w:hAnsi="Times New Roman" w:eastAsia="宋体" w:cs="Times New Roman"/>
                      <w:color w:val="auto"/>
                      <w:kern w:val="0"/>
                      <w:sz w:val="18"/>
                      <w:szCs w:val="18"/>
                      <w:highlight w:val="none"/>
                    </w:rPr>
                    <w:t>5000</w:t>
                  </w:r>
                </w:p>
              </w:tc>
              <w:tc>
                <w:tcPr>
                  <w:tcW w:w="788" w:type="pct"/>
                  <w:tcBorders>
                    <w:top w:val="single" w:color="auto" w:sz="12" w:space="0"/>
                    <w:bottom w:val="single" w:color="auto" w:sz="12" w:space="0"/>
                  </w:tcBorders>
                  <w:noWrap w:val="0"/>
                  <w:vAlign w:val="center"/>
                </w:tcPr>
                <w:p w14:paraId="7D1FB65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eastAsia" w:ascii="Times New Roman" w:hAnsi="Times New Roman" w:eastAsia="宋体" w:cs="Times New Roman"/>
                      <w:color w:val="auto"/>
                      <w:kern w:val="0"/>
                      <w:sz w:val="18"/>
                      <w:szCs w:val="18"/>
                      <w:highlight w:val="none"/>
                    </w:rPr>
                    <w:t>3407</w:t>
                  </w:r>
                </w:p>
              </w:tc>
              <w:tc>
                <w:tcPr>
                  <w:tcW w:w="1213" w:type="pct"/>
                  <w:tcBorders>
                    <w:top w:val="single" w:color="auto" w:sz="12" w:space="0"/>
                    <w:bottom w:val="single" w:color="auto" w:sz="12" w:space="0"/>
                  </w:tcBorders>
                  <w:noWrap w:val="0"/>
                  <w:vAlign w:val="center"/>
                </w:tcPr>
                <w:p w14:paraId="3A70936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eastAsia" w:ascii="Times New Roman" w:hAnsi="Times New Roman" w:eastAsia="宋体" w:cs="Times New Roman"/>
                      <w:color w:val="auto"/>
                      <w:kern w:val="0"/>
                      <w:sz w:val="18"/>
                      <w:szCs w:val="18"/>
                      <w:highlight w:val="none"/>
                    </w:rPr>
                    <w:t>8407</w:t>
                  </w:r>
                </w:p>
              </w:tc>
            </w:tr>
          </w:tbl>
          <w:p w14:paraId="1833FBB4">
            <w:pPr>
              <w:pStyle w:val="2"/>
              <w:rPr>
                <w:rFonts w:hint="eastAsia" w:ascii="Times New Roman" w:hAnsi="Times New Roman" w:eastAsia="黑体" w:cs="Times New Roman"/>
                <w:b/>
                <w:color w:val="auto"/>
                <w:sz w:val="24"/>
                <w:szCs w:val="24"/>
                <w:highlight w:val="none"/>
                <w:lang w:eastAsia="zh-CN"/>
              </w:rPr>
            </w:pPr>
          </w:p>
          <w:p w14:paraId="25CCED10">
            <w:pPr>
              <w:rPr>
                <w:rFonts w:hint="eastAsia"/>
                <w:lang w:eastAsia="zh-CN"/>
              </w:rPr>
            </w:pPr>
          </w:p>
          <w:p w14:paraId="431B96E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2.</w:t>
            </w:r>
            <w:r>
              <w:rPr>
                <w:rFonts w:hint="eastAsia" w:ascii="Times New Roman" w:hAnsi="Times New Roman" w:eastAsia="黑体" w:cs="Times New Roman"/>
                <w:b/>
                <w:color w:val="auto"/>
                <w:sz w:val="24"/>
                <w:szCs w:val="24"/>
                <w:highlight w:val="none"/>
                <w:lang w:val="en-US" w:eastAsia="zh-CN"/>
              </w:rPr>
              <w:t>6</w:t>
            </w:r>
            <w:r>
              <w:rPr>
                <w:rFonts w:hint="eastAsia" w:ascii="Times New Roman" w:hAnsi="Times New Roman" w:eastAsia="黑体" w:cs="Times New Roman"/>
                <w:b/>
                <w:color w:val="auto"/>
                <w:sz w:val="24"/>
                <w:szCs w:val="24"/>
                <w:highlight w:val="none"/>
              </w:rPr>
              <w:t>项目主要设备</w:t>
            </w:r>
          </w:p>
          <w:p w14:paraId="7DE7C469">
            <w:pPr>
              <w:pStyle w:val="103"/>
              <w:adjustRightInd/>
              <w:snapToGrid/>
              <w:spacing w:line="360" w:lineRule="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续建工程主要生产设备详见下表。</w:t>
            </w:r>
          </w:p>
          <w:p w14:paraId="66E63DC3">
            <w:pPr>
              <w:pStyle w:val="121"/>
              <w:adjustRightInd/>
              <w:snapToGrid/>
              <w:rPr>
                <w:rFonts w:hint="eastAsia" w:ascii="Times New Roman" w:hAnsi="Times New Roman" w:cs="Times New Roman"/>
                <w:color w:val="auto"/>
                <w:sz w:val="21"/>
                <w:highlight w:val="none"/>
                <w:lang w:eastAsia="zh-CN"/>
              </w:rPr>
            </w:pPr>
            <w:r>
              <w:rPr>
                <w:rFonts w:hint="eastAsia" w:ascii="Times New Roman" w:hAnsi="Times New Roman" w:cs="Times New Roman"/>
                <w:color w:val="auto"/>
                <w:sz w:val="21"/>
                <w:highlight w:val="none"/>
                <w:lang w:eastAsia="zh-CN"/>
              </w:rPr>
              <w:t>续建工程主要新增生产设备情况一览表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608"/>
              <w:gridCol w:w="960"/>
              <w:gridCol w:w="1473"/>
              <w:gridCol w:w="1034"/>
              <w:gridCol w:w="1112"/>
              <w:gridCol w:w="1108"/>
              <w:gridCol w:w="1816"/>
              <w:gridCol w:w="954"/>
            </w:tblGrid>
            <w:tr w14:paraId="54F58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vMerge w:val="restart"/>
                  <w:tcBorders>
                    <w:top w:val="single" w:color="auto" w:sz="12" w:space="0"/>
                  </w:tcBorders>
                  <w:noWrap w:val="0"/>
                  <w:vAlign w:val="center"/>
                </w:tcPr>
                <w:p w14:paraId="62FF7999">
                  <w:pPr>
                    <w:keepNext/>
                    <w:adjustRightInd w:val="0"/>
                    <w:snapToGrid w:val="0"/>
                    <w:spacing w:line="300" w:lineRule="auto"/>
                    <w:jc w:val="center"/>
                    <w:rPr>
                      <w:b/>
                      <w:color w:val="auto"/>
                      <w:sz w:val="18"/>
                    </w:rPr>
                  </w:pPr>
                  <w:r>
                    <w:rPr>
                      <w:b/>
                      <w:color w:val="auto"/>
                      <w:sz w:val="18"/>
                    </w:rPr>
                    <w:t>序号</w:t>
                  </w:r>
                </w:p>
              </w:tc>
              <w:tc>
                <w:tcPr>
                  <w:tcW w:w="529" w:type="pct"/>
                  <w:vMerge w:val="restart"/>
                  <w:tcBorders>
                    <w:top w:val="single" w:color="auto" w:sz="12" w:space="0"/>
                  </w:tcBorders>
                  <w:noWrap w:val="0"/>
                  <w:vAlign w:val="center"/>
                </w:tcPr>
                <w:p w14:paraId="288EDF18">
                  <w:pPr>
                    <w:keepNext/>
                    <w:adjustRightInd w:val="0"/>
                    <w:snapToGrid w:val="0"/>
                    <w:spacing w:line="300" w:lineRule="auto"/>
                    <w:jc w:val="center"/>
                    <w:rPr>
                      <w:b/>
                      <w:color w:val="auto"/>
                      <w:sz w:val="18"/>
                    </w:rPr>
                  </w:pPr>
                  <w:r>
                    <w:rPr>
                      <w:b/>
                      <w:color w:val="auto"/>
                      <w:sz w:val="18"/>
                    </w:rPr>
                    <w:t>生产单元/</w:t>
                  </w:r>
                </w:p>
                <w:p w14:paraId="49947F14">
                  <w:pPr>
                    <w:keepNext/>
                    <w:adjustRightInd w:val="0"/>
                    <w:snapToGrid w:val="0"/>
                    <w:spacing w:line="300" w:lineRule="auto"/>
                    <w:jc w:val="center"/>
                    <w:rPr>
                      <w:b/>
                      <w:color w:val="auto"/>
                      <w:sz w:val="18"/>
                    </w:rPr>
                  </w:pPr>
                  <w:r>
                    <w:rPr>
                      <w:b/>
                      <w:color w:val="auto"/>
                      <w:sz w:val="18"/>
                    </w:rPr>
                    <w:t>生产工艺</w:t>
                  </w:r>
                </w:p>
              </w:tc>
              <w:tc>
                <w:tcPr>
                  <w:tcW w:w="812" w:type="pct"/>
                  <w:vMerge w:val="restart"/>
                  <w:tcBorders>
                    <w:top w:val="single" w:color="auto" w:sz="12" w:space="0"/>
                  </w:tcBorders>
                  <w:noWrap w:val="0"/>
                  <w:vAlign w:val="center"/>
                </w:tcPr>
                <w:p w14:paraId="69995E99">
                  <w:pPr>
                    <w:keepNext/>
                    <w:adjustRightInd w:val="0"/>
                    <w:snapToGrid w:val="0"/>
                    <w:spacing w:line="300" w:lineRule="auto"/>
                    <w:jc w:val="center"/>
                    <w:rPr>
                      <w:b/>
                      <w:color w:val="auto"/>
                      <w:sz w:val="18"/>
                    </w:rPr>
                  </w:pPr>
                  <w:r>
                    <w:rPr>
                      <w:b/>
                      <w:color w:val="auto"/>
                      <w:sz w:val="18"/>
                    </w:rPr>
                    <w:t>设备名称</w:t>
                  </w:r>
                </w:p>
              </w:tc>
              <w:tc>
                <w:tcPr>
                  <w:tcW w:w="1183" w:type="pct"/>
                  <w:gridSpan w:val="2"/>
                  <w:tcBorders>
                    <w:top w:val="single" w:color="auto" w:sz="12" w:space="0"/>
                    <w:bottom w:val="single" w:color="auto" w:sz="4" w:space="0"/>
                  </w:tcBorders>
                  <w:noWrap w:val="0"/>
                  <w:vAlign w:val="center"/>
                </w:tcPr>
                <w:p w14:paraId="563BEA33">
                  <w:pPr>
                    <w:keepNext/>
                    <w:adjustRightInd w:val="0"/>
                    <w:snapToGrid w:val="0"/>
                    <w:spacing w:line="300" w:lineRule="auto"/>
                    <w:jc w:val="center"/>
                    <w:rPr>
                      <w:b/>
                      <w:color w:val="auto"/>
                      <w:sz w:val="18"/>
                    </w:rPr>
                  </w:pPr>
                  <w:r>
                    <w:rPr>
                      <w:b/>
                      <w:color w:val="auto"/>
                      <w:sz w:val="18"/>
                    </w:rPr>
                    <w:t>设备台数</w:t>
                  </w:r>
                </w:p>
              </w:tc>
              <w:tc>
                <w:tcPr>
                  <w:tcW w:w="611" w:type="pct"/>
                  <w:vMerge w:val="restart"/>
                  <w:tcBorders>
                    <w:top w:val="single" w:color="auto" w:sz="12" w:space="0"/>
                  </w:tcBorders>
                  <w:noWrap w:val="0"/>
                  <w:vAlign w:val="center"/>
                </w:tcPr>
                <w:p w14:paraId="44869098">
                  <w:pPr>
                    <w:keepNext/>
                    <w:adjustRightInd w:val="0"/>
                    <w:snapToGrid w:val="0"/>
                    <w:spacing w:line="300" w:lineRule="auto"/>
                    <w:jc w:val="center"/>
                    <w:rPr>
                      <w:b/>
                      <w:color w:val="auto"/>
                      <w:sz w:val="18"/>
                    </w:rPr>
                  </w:pPr>
                  <w:r>
                    <w:rPr>
                      <w:rFonts w:hint="eastAsia"/>
                      <w:b/>
                      <w:color w:val="auto"/>
                      <w:sz w:val="18"/>
                    </w:rPr>
                    <w:t>设备</w:t>
                  </w:r>
                  <w:r>
                    <w:rPr>
                      <w:b/>
                      <w:color w:val="auto"/>
                      <w:sz w:val="18"/>
                    </w:rPr>
                    <w:t>型号</w:t>
                  </w:r>
                </w:p>
              </w:tc>
              <w:tc>
                <w:tcPr>
                  <w:tcW w:w="1001" w:type="pct"/>
                  <w:vMerge w:val="restart"/>
                  <w:tcBorders>
                    <w:top w:val="single" w:color="auto" w:sz="12" w:space="0"/>
                  </w:tcBorders>
                  <w:noWrap w:val="0"/>
                  <w:vAlign w:val="center"/>
                </w:tcPr>
                <w:p w14:paraId="2B8613B2">
                  <w:pPr>
                    <w:keepNext/>
                    <w:adjustRightInd w:val="0"/>
                    <w:snapToGrid w:val="0"/>
                    <w:spacing w:line="300" w:lineRule="auto"/>
                    <w:jc w:val="center"/>
                    <w:rPr>
                      <w:b/>
                      <w:color w:val="auto"/>
                      <w:sz w:val="18"/>
                    </w:rPr>
                  </w:pPr>
                  <w:r>
                    <w:rPr>
                      <w:b/>
                      <w:color w:val="auto"/>
                      <w:sz w:val="18"/>
                    </w:rPr>
                    <w:t>设施参数</w:t>
                  </w:r>
                </w:p>
              </w:tc>
              <w:tc>
                <w:tcPr>
                  <w:tcW w:w="526" w:type="pct"/>
                  <w:vMerge w:val="restart"/>
                  <w:tcBorders>
                    <w:top w:val="single" w:color="auto" w:sz="12" w:space="0"/>
                  </w:tcBorders>
                  <w:noWrap w:val="0"/>
                  <w:vAlign w:val="center"/>
                </w:tcPr>
                <w:p w14:paraId="5589E403">
                  <w:pPr>
                    <w:keepNext/>
                    <w:adjustRightInd w:val="0"/>
                    <w:snapToGrid w:val="0"/>
                    <w:spacing w:line="300" w:lineRule="auto"/>
                    <w:jc w:val="center"/>
                    <w:rPr>
                      <w:rFonts w:hint="eastAsia" w:eastAsia="宋体"/>
                      <w:b/>
                      <w:color w:val="auto"/>
                      <w:sz w:val="18"/>
                      <w:lang w:eastAsia="zh-CN"/>
                    </w:rPr>
                  </w:pPr>
                  <w:r>
                    <w:rPr>
                      <w:rFonts w:hint="eastAsia"/>
                      <w:b/>
                      <w:color w:val="auto"/>
                      <w:sz w:val="18"/>
                      <w:lang w:eastAsia="zh-CN"/>
                    </w:rPr>
                    <w:t>变化情况</w:t>
                  </w:r>
                </w:p>
              </w:tc>
            </w:tr>
            <w:tr w14:paraId="480E9C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vMerge w:val="continue"/>
                  <w:tcBorders>
                    <w:bottom w:val="single" w:color="auto" w:sz="12" w:space="0"/>
                  </w:tcBorders>
                  <w:noWrap w:val="0"/>
                  <w:vAlign w:val="center"/>
                </w:tcPr>
                <w:p w14:paraId="36220EBC">
                  <w:pPr>
                    <w:keepNext/>
                    <w:adjustRightInd w:val="0"/>
                    <w:snapToGrid w:val="0"/>
                    <w:spacing w:line="300" w:lineRule="auto"/>
                    <w:jc w:val="center"/>
                  </w:pPr>
                </w:p>
              </w:tc>
              <w:tc>
                <w:tcPr>
                  <w:tcW w:w="529" w:type="pct"/>
                  <w:vMerge w:val="continue"/>
                  <w:tcBorders>
                    <w:bottom w:val="single" w:color="auto" w:sz="12" w:space="0"/>
                  </w:tcBorders>
                  <w:noWrap w:val="0"/>
                  <w:vAlign w:val="center"/>
                </w:tcPr>
                <w:p w14:paraId="6F02026A">
                  <w:pPr>
                    <w:keepNext/>
                    <w:adjustRightInd w:val="0"/>
                    <w:snapToGrid w:val="0"/>
                    <w:spacing w:line="300" w:lineRule="auto"/>
                    <w:jc w:val="center"/>
                  </w:pPr>
                </w:p>
              </w:tc>
              <w:tc>
                <w:tcPr>
                  <w:tcW w:w="812" w:type="pct"/>
                  <w:vMerge w:val="continue"/>
                  <w:tcBorders>
                    <w:bottom w:val="single" w:color="auto" w:sz="12" w:space="0"/>
                  </w:tcBorders>
                  <w:noWrap w:val="0"/>
                  <w:vAlign w:val="center"/>
                </w:tcPr>
                <w:p w14:paraId="28951BAB">
                  <w:pPr>
                    <w:keepNext/>
                    <w:adjustRightInd w:val="0"/>
                    <w:snapToGrid w:val="0"/>
                    <w:spacing w:line="300" w:lineRule="auto"/>
                    <w:jc w:val="center"/>
                  </w:pPr>
                </w:p>
              </w:tc>
              <w:tc>
                <w:tcPr>
                  <w:tcW w:w="570" w:type="pct"/>
                  <w:tcBorders>
                    <w:top w:val="single" w:color="auto" w:sz="4" w:space="0"/>
                    <w:bottom w:val="single" w:color="auto" w:sz="12" w:space="0"/>
                  </w:tcBorders>
                  <w:shd w:val="clear" w:color="auto" w:fill="auto"/>
                  <w:noWrap w:val="0"/>
                  <w:vAlign w:val="center"/>
                </w:tcPr>
                <w:p w14:paraId="3B85ED51">
                  <w:pPr>
                    <w:keepNext/>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kern w:val="2"/>
                      <w:sz w:val="18"/>
                      <w:szCs w:val="18"/>
                      <w:highlight w:val="none"/>
                      <w:lang w:val="en-US" w:eastAsia="zh-CN" w:bidi="ar-SA"/>
                    </w:rPr>
                  </w:pPr>
                  <w:r>
                    <w:rPr>
                      <w:rFonts w:hint="default" w:ascii="Times New Roman" w:hAnsi="Times New Roman" w:eastAsia="宋体" w:cs="Times New Roman"/>
                      <w:b/>
                      <w:color w:val="auto"/>
                      <w:sz w:val="18"/>
                      <w:szCs w:val="18"/>
                      <w:highlight w:val="none"/>
                      <w:lang w:eastAsia="zh-CN"/>
                    </w:rPr>
                    <w:t>环评情况</w:t>
                  </w:r>
                </w:p>
              </w:tc>
              <w:tc>
                <w:tcPr>
                  <w:tcW w:w="612" w:type="pct"/>
                  <w:tcBorders>
                    <w:top w:val="single" w:color="auto" w:sz="4" w:space="0"/>
                    <w:bottom w:val="single" w:color="auto" w:sz="12" w:space="0"/>
                  </w:tcBorders>
                  <w:shd w:val="clear" w:color="auto" w:fill="auto"/>
                  <w:noWrap w:val="0"/>
                  <w:vAlign w:val="center"/>
                </w:tcPr>
                <w:p w14:paraId="79278BB9">
                  <w:pPr>
                    <w:keepNext/>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kern w:val="2"/>
                      <w:sz w:val="18"/>
                      <w:szCs w:val="18"/>
                      <w:highlight w:val="none"/>
                      <w:lang w:val="en-US" w:eastAsia="zh-CN" w:bidi="ar-SA"/>
                    </w:rPr>
                  </w:pPr>
                  <w:r>
                    <w:rPr>
                      <w:rFonts w:hint="default" w:ascii="Times New Roman" w:hAnsi="Times New Roman" w:eastAsia="宋体" w:cs="Times New Roman"/>
                      <w:b/>
                      <w:color w:val="auto"/>
                      <w:sz w:val="18"/>
                      <w:szCs w:val="18"/>
                      <w:highlight w:val="none"/>
                      <w:lang w:eastAsia="zh-CN"/>
                    </w:rPr>
                    <w:t>实际情况</w:t>
                  </w:r>
                </w:p>
              </w:tc>
              <w:tc>
                <w:tcPr>
                  <w:tcW w:w="611" w:type="pct"/>
                  <w:vMerge w:val="continue"/>
                  <w:tcBorders>
                    <w:bottom w:val="single" w:color="auto" w:sz="12" w:space="0"/>
                  </w:tcBorders>
                  <w:noWrap w:val="0"/>
                  <w:vAlign w:val="center"/>
                </w:tcPr>
                <w:p w14:paraId="440AA752">
                  <w:pPr>
                    <w:keepNext/>
                    <w:adjustRightInd w:val="0"/>
                    <w:snapToGrid w:val="0"/>
                    <w:spacing w:line="300" w:lineRule="auto"/>
                    <w:jc w:val="center"/>
                  </w:pPr>
                </w:p>
              </w:tc>
              <w:tc>
                <w:tcPr>
                  <w:tcW w:w="1001" w:type="pct"/>
                  <w:vMerge w:val="continue"/>
                  <w:tcBorders>
                    <w:bottom w:val="single" w:color="auto" w:sz="12" w:space="0"/>
                  </w:tcBorders>
                  <w:noWrap w:val="0"/>
                  <w:vAlign w:val="center"/>
                </w:tcPr>
                <w:p w14:paraId="7A7C7AF5">
                  <w:pPr>
                    <w:keepNext/>
                    <w:adjustRightInd w:val="0"/>
                    <w:snapToGrid w:val="0"/>
                    <w:spacing w:line="300" w:lineRule="auto"/>
                    <w:jc w:val="center"/>
                  </w:pPr>
                </w:p>
              </w:tc>
              <w:tc>
                <w:tcPr>
                  <w:tcW w:w="526" w:type="pct"/>
                  <w:vMerge w:val="continue"/>
                  <w:tcBorders>
                    <w:bottom w:val="single" w:color="auto" w:sz="12" w:space="0"/>
                  </w:tcBorders>
                  <w:noWrap w:val="0"/>
                  <w:vAlign w:val="center"/>
                </w:tcPr>
                <w:p w14:paraId="6C54DF00">
                  <w:pPr>
                    <w:keepNext/>
                    <w:adjustRightInd w:val="0"/>
                    <w:snapToGrid w:val="0"/>
                    <w:spacing w:line="300" w:lineRule="auto"/>
                    <w:jc w:val="center"/>
                  </w:pPr>
                </w:p>
              </w:tc>
            </w:tr>
            <w:tr w14:paraId="3920D8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tcBorders>
                    <w:top w:val="single" w:color="auto" w:sz="12" w:space="0"/>
                  </w:tcBorders>
                  <w:noWrap w:val="0"/>
                  <w:vAlign w:val="center"/>
                </w:tcPr>
                <w:p w14:paraId="2E64E6BA">
                  <w:pPr>
                    <w:pStyle w:val="136"/>
                    <w:rPr>
                      <w:rFonts w:hint="eastAsia"/>
                      <w:color w:val="auto"/>
                      <w:spacing w:val="-4"/>
                    </w:rPr>
                  </w:pPr>
                  <w:r>
                    <w:rPr>
                      <w:rFonts w:hint="eastAsia"/>
                      <w:color w:val="auto"/>
                      <w:spacing w:val="-4"/>
                    </w:rPr>
                    <w:t>1</w:t>
                  </w:r>
                </w:p>
              </w:tc>
              <w:tc>
                <w:tcPr>
                  <w:tcW w:w="529" w:type="pct"/>
                  <w:vMerge w:val="restart"/>
                  <w:tcBorders>
                    <w:top w:val="single" w:color="auto" w:sz="12" w:space="0"/>
                  </w:tcBorders>
                  <w:noWrap w:val="0"/>
                  <w:vAlign w:val="center"/>
                </w:tcPr>
                <w:p w14:paraId="35787602">
                  <w:pPr>
                    <w:pStyle w:val="136"/>
                    <w:rPr>
                      <w:rFonts w:hint="eastAsia"/>
                      <w:color w:val="auto"/>
                      <w:spacing w:val="-4"/>
                    </w:rPr>
                  </w:pPr>
                  <w:r>
                    <w:rPr>
                      <w:rFonts w:hint="eastAsia"/>
                      <w:color w:val="auto"/>
                      <w:spacing w:val="-4"/>
                    </w:rPr>
                    <w:t>预处理系统</w:t>
                  </w:r>
                </w:p>
              </w:tc>
              <w:tc>
                <w:tcPr>
                  <w:tcW w:w="812" w:type="pct"/>
                  <w:tcBorders>
                    <w:top w:val="single" w:color="auto" w:sz="12" w:space="0"/>
                  </w:tcBorders>
                  <w:noWrap w:val="0"/>
                  <w:vAlign w:val="center"/>
                </w:tcPr>
                <w:p w14:paraId="56AD0600">
                  <w:pPr>
                    <w:pStyle w:val="136"/>
                    <w:rPr>
                      <w:rFonts w:hint="eastAsia"/>
                      <w:color w:val="auto"/>
                      <w:spacing w:val="-4"/>
                    </w:rPr>
                  </w:pPr>
                  <w:r>
                    <w:rPr>
                      <w:rFonts w:hint="eastAsia"/>
                      <w:color w:val="auto"/>
                      <w:spacing w:val="-4"/>
                    </w:rPr>
                    <w:t>罗茨鼓风机</w:t>
                  </w:r>
                </w:p>
              </w:tc>
              <w:tc>
                <w:tcPr>
                  <w:tcW w:w="570" w:type="pct"/>
                  <w:tcBorders>
                    <w:top w:val="single" w:color="auto" w:sz="12" w:space="0"/>
                  </w:tcBorders>
                  <w:noWrap w:val="0"/>
                  <w:vAlign w:val="center"/>
                </w:tcPr>
                <w:p w14:paraId="6599C10A">
                  <w:pPr>
                    <w:pStyle w:val="136"/>
                    <w:rPr>
                      <w:rFonts w:hint="eastAsia"/>
                      <w:color w:val="auto"/>
                      <w:spacing w:val="-4"/>
                    </w:rPr>
                  </w:pPr>
                  <w:r>
                    <w:rPr>
                      <w:rFonts w:hint="eastAsia"/>
                      <w:color w:val="auto"/>
                      <w:spacing w:val="-4"/>
                    </w:rPr>
                    <w:t>3套</w:t>
                  </w:r>
                </w:p>
              </w:tc>
              <w:tc>
                <w:tcPr>
                  <w:tcW w:w="612" w:type="pct"/>
                  <w:tcBorders>
                    <w:top w:val="single" w:color="auto" w:sz="12" w:space="0"/>
                  </w:tcBorders>
                  <w:shd w:val="clear" w:color="auto" w:fill="auto"/>
                  <w:noWrap w:val="0"/>
                  <w:vAlign w:val="center"/>
                </w:tcPr>
                <w:p w14:paraId="791F350C">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3套</w:t>
                  </w:r>
                </w:p>
              </w:tc>
              <w:tc>
                <w:tcPr>
                  <w:tcW w:w="611" w:type="pct"/>
                  <w:tcBorders>
                    <w:top w:val="single" w:color="auto" w:sz="12" w:space="0"/>
                  </w:tcBorders>
                  <w:noWrap w:val="0"/>
                  <w:vAlign w:val="center"/>
                </w:tcPr>
                <w:p w14:paraId="78D2D75F">
                  <w:pPr>
                    <w:pStyle w:val="136"/>
                    <w:rPr>
                      <w:rFonts w:hint="eastAsia"/>
                      <w:color w:val="auto"/>
                      <w:spacing w:val="-4"/>
                    </w:rPr>
                  </w:pPr>
                  <w:r>
                    <w:rPr>
                      <w:rFonts w:hint="eastAsia"/>
                      <w:color w:val="auto"/>
                      <w:spacing w:val="-4"/>
                    </w:rPr>
                    <w:t>/</w:t>
                  </w:r>
                </w:p>
              </w:tc>
              <w:tc>
                <w:tcPr>
                  <w:tcW w:w="1001" w:type="pct"/>
                  <w:tcBorders>
                    <w:top w:val="single" w:color="auto" w:sz="12" w:space="0"/>
                  </w:tcBorders>
                  <w:noWrap w:val="0"/>
                  <w:vAlign w:val="center"/>
                </w:tcPr>
                <w:p w14:paraId="025FB644">
                  <w:pPr>
                    <w:pStyle w:val="136"/>
                    <w:rPr>
                      <w:rFonts w:hint="eastAsia"/>
                      <w:color w:val="auto"/>
                      <w:spacing w:val="-4"/>
                    </w:rPr>
                  </w:pPr>
                  <w:r>
                    <w:rPr>
                      <w:rFonts w:hint="eastAsia"/>
                      <w:color w:val="auto"/>
                      <w:spacing w:val="-4"/>
                    </w:rPr>
                    <w:t>升压：39.2KPa；</w:t>
                  </w:r>
                </w:p>
                <w:p w14:paraId="04055AF9">
                  <w:pPr>
                    <w:pStyle w:val="136"/>
                    <w:rPr>
                      <w:rFonts w:hint="eastAsia"/>
                      <w:color w:val="auto"/>
                      <w:spacing w:val="-4"/>
                    </w:rPr>
                  </w:pPr>
                  <w:r>
                    <w:rPr>
                      <w:rFonts w:hint="eastAsia"/>
                      <w:color w:val="auto"/>
                      <w:spacing w:val="-4"/>
                    </w:rPr>
                    <w:t>流量：2500m</w:t>
                  </w:r>
                  <w:r>
                    <w:rPr>
                      <w:rFonts w:hint="eastAsia"/>
                      <w:color w:val="auto"/>
                      <w:spacing w:val="-4"/>
                      <w:vertAlign w:val="superscript"/>
                    </w:rPr>
                    <w:t>3</w:t>
                  </w:r>
                  <w:r>
                    <w:rPr>
                      <w:rFonts w:hint="eastAsia"/>
                      <w:color w:val="auto"/>
                      <w:spacing w:val="-4"/>
                    </w:rPr>
                    <w:t>/h；</w:t>
                  </w:r>
                </w:p>
                <w:p w14:paraId="2A236B24">
                  <w:pPr>
                    <w:pStyle w:val="136"/>
                    <w:rPr>
                      <w:rFonts w:hint="eastAsia"/>
                      <w:color w:val="auto"/>
                      <w:spacing w:val="-4"/>
                    </w:rPr>
                  </w:pPr>
                  <w:r>
                    <w:rPr>
                      <w:rFonts w:hint="eastAsia"/>
                      <w:color w:val="auto"/>
                      <w:spacing w:val="-4"/>
                    </w:rPr>
                    <w:t>防爆变频电机(功率55kw)；三相/380V/50Hz；</w:t>
                  </w:r>
                </w:p>
              </w:tc>
              <w:tc>
                <w:tcPr>
                  <w:tcW w:w="526" w:type="pct"/>
                  <w:tcBorders>
                    <w:top w:val="single" w:color="auto" w:sz="12" w:space="0"/>
                  </w:tcBorders>
                  <w:shd w:val="clear" w:color="auto" w:fill="auto"/>
                  <w:noWrap w:val="0"/>
                  <w:vAlign w:val="center"/>
                </w:tcPr>
                <w:p w14:paraId="21470910">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593927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2614D1C2">
                  <w:pPr>
                    <w:pStyle w:val="136"/>
                    <w:rPr>
                      <w:rFonts w:hint="eastAsia"/>
                      <w:color w:val="auto"/>
                      <w:spacing w:val="-4"/>
                    </w:rPr>
                  </w:pPr>
                  <w:r>
                    <w:rPr>
                      <w:rFonts w:hint="eastAsia"/>
                      <w:color w:val="auto"/>
                      <w:spacing w:val="-4"/>
                    </w:rPr>
                    <w:t>2</w:t>
                  </w:r>
                </w:p>
              </w:tc>
              <w:tc>
                <w:tcPr>
                  <w:tcW w:w="529" w:type="pct"/>
                  <w:vMerge w:val="continue"/>
                  <w:noWrap w:val="0"/>
                  <w:vAlign w:val="center"/>
                </w:tcPr>
                <w:p w14:paraId="03FAA942">
                  <w:pPr>
                    <w:pStyle w:val="136"/>
                    <w:rPr>
                      <w:rFonts w:hint="eastAsia"/>
                      <w:color w:val="auto"/>
                      <w:spacing w:val="-4"/>
                    </w:rPr>
                  </w:pPr>
                </w:p>
              </w:tc>
              <w:tc>
                <w:tcPr>
                  <w:tcW w:w="812" w:type="pct"/>
                  <w:noWrap w:val="0"/>
                  <w:vAlign w:val="center"/>
                </w:tcPr>
                <w:p w14:paraId="26EF20CE">
                  <w:pPr>
                    <w:pStyle w:val="136"/>
                    <w:rPr>
                      <w:rFonts w:hint="eastAsia"/>
                      <w:color w:val="auto"/>
                      <w:spacing w:val="-4"/>
                    </w:rPr>
                  </w:pPr>
                  <w:r>
                    <w:rPr>
                      <w:rFonts w:hint="eastAsia"/>
                      <w:color w:val="auto"/>
                      <w:spacing w:val="-4"/>
                    </w:rPr>
                    <w:t>粗过滤器</w:t>
                  </w:r>
                </w:p>
              </w:tc>
              <w:tc>
                <w:tcPr>
                  <w:tcW w:w="570" w:type="pct"/>
                  <w:noWrap w:val="0"/>
                  <w:vAlign w:val="center"/>
                </w:tcPr>
                <w:p w14:paraId="325E976C">
                  <w:pPr>
                    <w:pStyle w:val="136"/>
                    <w:rPr>
                      <w:rFonts w:hint="eastAsia"/>
                      <w:color w:val="auto"/>
                      <w:spacing w:val="-4"/>
                    </w:rPr>
                  </w:pPr>
                  <w:r>
                    <w:rPr>
                      <w:rFonts w:hint="eastAsia"/>
                      <w:color w:val="auto"/>
                      <w:spacing w:val="-4"/>
                    </w:rPr>
                    <w:t>1套</w:t>
                  </w:r>
                </w:p>
              </w:tc>
              <w:tc>
                <w:tcPr>
                  <w:tcW w:w="612" w:type="pct"/>
                  <w:shd w:val="clear" w:color="auto" w:fill="auto"/>
                  <w:noWrap w:val="0"/>
                  <w:vAlign w:val="center"/>
                </w:tcPr>
                <w:p w14:paraId="23E25F9E">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3882124F">
                  <w:pPr>
                    <w:pStyle w:val="136"/>
                    <w:rPr>
                      <w:rFonts w:hint="eastAsia"/>
                      <w:color w:val="auto"/>
                      <w:spacing w:val="-4"/>
                    </w:rPr>
                  </w:pPr>
                  <w:r>
                    <w:rPr>
                      <w:rFonts w:hint="eastAsia"/>
                      <w:color w:val="auto"/>
                      <w:spacing w:val="-4"/>
                    </w:rPr>
                    <w:t>QY-CU500-10</w:t>
                  </w:r>
                </w:p>
              </w:tc>
              <w:tc>
                <w:tcPr>
                  <w:tcW w:w="1001" w:type="pct"/>
                  <w:noWrap w:val="0"/>
                  <w:vAlign w:val="center"/>
                </w:tcPr>
                <w:p w14:paraId="33C3AB57">
                  <w:pPr>
                    <w:pStyle w:val="136"/>
                    <w:rPr>
                      <w:rFonts w:hint="eastAsia"/>
                      <w:color w:val="auto"/>
                      <w:spacing w:val="-4"/>
                    </w:rPr>
                  </w:pPr>
                  <w:r>
                    <w:rPr>
                      <w:rFonts w:hint="eastAsia"/>
                      <w:color w:val="auto"/>
                      <w:spacing w:val="-4"/>
                    </w:rPr>
                    <w:t>过滤精度:≤10μm</w:t>
                  </w:r>
                </w:p>
                <w:p w14:paraId="5138A358">
                  <w:pPr>
                    <w:pStyle w:val="136"/>
                    <w:rPr>
                      <w:rFonts w:hint="eastAsia"/>
                      <w:color w:val="auto"/>
                      <w:spacing w:val="-4"/>
                    </w:rPr>
                  </w:pPr>
                  <w:r>
                    <w:rPr>
                      <w:rFonts w:hint="eastAsia"/>
                      <w:color w:val="auto"/>
                      <w:spacing w:val="-4"/>
                    </w:rPr>
                    <w:t>处理能力：5000m</w:t>
                  </w:r>
                  <w:r>
                    <w:rPr>
                      <w:rFonts w:hint="eastAsia"/>
                      <w:color w:val="auto"/>
                      <w:spacing w:val="-4"/>
                      <w:vertAlign w:val="superscript"/>
                    </w:rPr>
                    <w:t>3</w:t>
                  </w:r>
                  <w:r>
                    <w:rPr>
                      <w:rFonts w:hint="eastAsia"/>
                      <w:color w:val="auto"/>
                      <w:spacing w:val="-4"/>
                    </w:rPr>
                    <w:t>/h</w:t>
                  </w:r>
                </w:p>
              </w:tc>
              <w:tc>
                <w:tcPr>
                  <w:tcW w:w="526" w:type="pct"/>
                  <w:shd w:val="clear" w:color="auto" w:fill="auto"/>
                  <w:noWrap w:val="0"/>
                  <w:vAlign w:val="center"/>
                </w:tcPr>
                <w:p w14:paraId="644B4681">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32721C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2351593E">
                  <w:pPr>
                    <w:pStyle w:val="136"/>
                    <w:rPr>
                      <w:color w:val="auto"/>
                      <w:spacing w:val="-4"/>
                    </w:rPr>
                  </w:pPr>
                  <w:r>
                    <w:rPr>
                      <w:rFonts w:hint="eastAsia"/>
                      <w:color w:val="auto"/>
                      <w:spacing w:val="-4"/>
                    </w:rPr>
                    <w:t>3</w:t>
                  </w:r>
                </w:p>
              </w:tc>
              <w:tc>
                <w:tcPr>
                  <w:tcW w:w="529" w:type="pct"/>
                  <w:vMerge w:val="continue"/>
                  <w:noWrap w:val="0"/>
                  <w:vAlign w:val="center"/>
                </w:tcPr>
                <w:p w14:paraId="385EAEE6">
                  <w:pPr>
                    <w:pStyle w:val="136"/>
                    <w:rPr>
                      <w:rFonts w:hint="eastAsia"/>
                      <w:color w:val="auto"/>
                      <w:spacing w:val="-4"/>
                    </w:rPr>
                  </w:pPr>
                </w:p>
              </w:tc>
              <w:tc>
                <w:tcPr>
                  <w:tcW w:w="812" w:type="pct"/>
                  <w:noWrap w:val="0"/>
                  <w:vAlign w:val="center"/>
                </w:tcPr>
                <w:p w14:paraId="5B00E8AE">
                  <w:pPr>
                    <w:pStyle w:val="136"/>
                    <w:rPr>
                      <w:rFonts w:hint="eastAsia"/>
                      <w:color w:val="auto"/>
                      <w:spacing w:val="-4"/>
                    </w:rPr>
                  </w:pPr>
                  <w:r>
                    <w:rPr>
                      <w:rFonts w:hint="eastAsia"/>
                      <w:color w:val="auto"/>
                      <w:spacing w:val="-4"/>
                    </w:rPr>
                    <w:t>精密过滤器</w:t>
                  </w:r>
                </w:p>
              </w:tc>
              <w:tc>
                <w:tcPr>
                  <w:tcW w:w="570" w:type="pct"/>
                  <w:noWrap w:val="0"/>
                  <w:vAlign w:val="center"/>
                </w:tcPr>
                <w:p w14:paraId="65A48B88">
                  <w:pPr>
                    <w:pStyle w:val="136"/>
                    <w:rPr>
                      <w:color w:val="auto"/>
                      <w:spacing w:val="-4"/>
                    </w:rPr>
                  </w:pPr>
                  <w:r>
                    <w:rPr>
                      <w:rFonts w:hint="eastAsia"/>
                      <w:color w:val="auto"/>
                      <w:spacing w:val="-4"/>
                    </w:rPr>
                    <w:t>1套</w:t>
                  </w:r>
                </w:p>
              </w:tc>
              <w:tc>
                <w:tcPr>
                  <w:tcW w:w="612" w:type="pct"/>
                  <w:shd w:val="clear" w:color="auto" w:fill="auto"/>
                  <w:noWrap w:val="0"/>
                  <w:vAlign w:val="center"/>
                </w:tcPr>
                <w:p w14:paraId="63680941">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2844E1C2">
                  <w:pPr>
                    <w:pStyle w:val="136"/>
                    <w:rPr>
                      <w:rFonts w:hint="eastAsia"/>
                      <w:color w:val="auto"/>
                      <w:spacing w:val="-4"/>
                    </w:rPr>
                  </w:pPr>
                  <w:r>
                    <w:rPr>
                      <w:rFonts w:hint="eastAsia"/>
                      <w:color w:val="auto"/>
                      <w:spacing w:val="-4"/>
                    </w:rPr>
                    <w:t>QY-CU500-1</w:t>
                  </w:r>
                </w:p>
              </w:tc>
              <w:tc>
                <w:tcPr>
                  <w:tcW w:w="1001" w:type="pct"/>
                  <w:noWrap w:val="0"/>
                  <w:vAlign w:val="center"/>
                </w:tcPr>
                <w:p w14:paraId="4F4161F0">
                  <w:pPr>
                    <w:pStyle w:val="136"/>
                    <w:rPr>
                      <w:rFonts w:hint="eastAsia"/>
                      <w:color w:val="auto"/>
                      <w:spacing w:val="-4"/>
                    </w:rPr>
                  </w:pPr>
                  <w:r>
                    <w:rPr>
                      <w:rFonts w:hint="eastAsia"/>
                      <w:color w:val="auto"/>
                      <w:spacing w:val="-4"/>
                    </w:rPr>
                    <w:t>过滤精度:&lt;10um</w:t>
                  </w:r>
                </w:p>
                <w:p w14:paraId="2DE1EFB1">
                  <w:pPr>
                    <w:pStyle w:val="136"/>
                    <w:rPr>
                      <w:rFonts w:hint="eastAsia"/>
                      <w:color w:val="auto"/>
                      <w:spacing w:val="-4"/>
                    </w:rPr>
                  </w:pPr>
                  <w:r>
                    <w:rPr>
                      <w:rFonts w:hint="eastAsia"/>
                      <w:color w:val="auto"/>
                      <w:spacing w:val="-4"/>
                    </w:rPr>
                    <w:t>处理能力:5000m</w:t>
                  </w:r>
                  <w:r>
                    <w:rPr>
                      <w:rFonts w:hint="eastAsia"/>
                      <w:color w:val="auto"/>
                      <w:spacing w:val="-4"/>
                      <w:vertAlign w:val="superscript"/>
                    </w:rPr>
                    <w:t>3</w:t>
                  </w:r>
                  <w:r>
                    <w:rPr>
                      <w:rFonts w:hint="eastAsia"/>
                      <w:color w:val="auto"/>
                      <w:spacing w:val="-4"/>
                    </w:rPr>
                    <w:t>/h</w:t>
                  </w:r>
                </w:p>
              </w:tc>
              <w:tc>
                <w:tcPr>
                  <w:tcW w:w="526" w:type="pct"/>
                  <w:shd w:val="clear" w:color="auto" w:fill="auto"/>
                  <w:noWrap w:val="0"/>
                  <w:vAlign w:val="center"/>
                </w:tcPr>
                <w:p w14:paraId="5D3583EB">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5F0527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45F06619">
                  <w:pPr>
                    <w:pStyle w:val="136"/>
                    <w:rPr>
                      <w:color w:val="auto"/>
                      <w:spacing w:val="-4"/>
                    </w:rPr>
                  </w:pPr>
                  <w:r>
                    <w:rPr>
                      <w:rFonts w:hint="eastAsia"/>
                      <w:color w:val="auto"/>
                      <w:spacing w:val="-4"/>
                    </w:rPr>
                    <w:t>4</w:t>
                  </w:r>
                </w:p>
              </w:tc>
              <w:tc>
                <w:tcPr>
                  <w:tcW w:w="529" w:type="pct"/>
                  <w:vMerge w:val="continue"/>
                  <w:noWrap w:val="0"/>
                  <w:vAlign w:val="center"/>
                </w:tcPr>
                <w:p w14:paraId="3F3F2001">
                  <w:pPr>
                    <w:pStyle w:val="136"/>
                    <w:rPr>
                      <w:rFonts w:hint="eastAsia"/>
                      <w:color w:val="auto"/>
                      <w:spacing w:val="-4"/>
                    </w:rPr>
                  </w:pPr>
                </w:p>
              </w:tc>
              <w:tc>
                <w:tcPr>
                  <w:tcW w:w="812" w:type="pct"/>
                  <w:noWrap w:val="0"/>
                  <w:vAlign w:val="center"/>
                </w:tcPr>
                <w:p w14:paraId="5356D08D">
                  <w:pPr>
                    <w:pStyle w:val="136"/>
                    <w:rPr>
                      <w:rFonts w:hint="eastAsia"/>
                      <w:color w:val="auto"/>
                      <w:spacing w:val="-4"/>
                    </w:rPr>
                  </w:pPr>
                  <w:r>
                    <w:rPr>
                      <w:rFonts w:hint="eastAsia"/>
                      <w:color w:val="auto"/>
                      <w:spacing w:val="-4"/>
                    </w:rPr>
                    <w:t>沼气冷凝器</w:t>
                  </w:r>
                </w:p>
              </w:tc>
              <w:tc>
                <w:tcPr>
                  <w:tcW w:w="570" w:type="pct"/>
                  <w:noWrap w:val="0"/>
                  <w:vAlign w:val="center"/>
                </w:tcPr>
                <w:p w14:paraId="52972D95">
                  <w:pPr>
                    <w:pStyle w:val="136"/>
                    <w:rPr>
                      <w:color w:val="auto"/>
                      <w:spacing w:val="-4"/>
                    </w:rPr>
                  </w:pPr>
                  <w:r>
                    <w:rPr>
                      <w:rFonts w:hint="eastAsia"/>
                      <w:color w:val="auto"/>
                      <w:spacing w:val="-4"/>
                    </w:rPr>
                    <w:t>1套</w:t>
                  </w:r>
                </w:p>
              </w:tc>
              <w:tc>
                <w:tcPr>
                  <w:tcW w:w="612" w:type="pct"/>
                  <w:shd w:val="clear" w:color="auto" w:fill="auto"/>
                  <w:noWrap w:val="0"/>
                  <w:vAlign w:val="center"/>
                </w:tcPr>
                <w:p w14:paraId="2915154E">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4903C9CF">
                  <w:pPr>
                    <w:pStyle w:val="136"/>
                    <w:rPr>
                      <w:rFonts w:hint="eastAsia"/>
                      <w:color w:val="auto"/>
                      <w:spacing w:val="-4"/>
                    </w:rPr>
                  </w:pPr>
                  <w:r>
                    <w:rPr>
                      <w:rFonts w:hint="eastAsia"/>
                      <w:color w:val="auto"/>
                      <w:spacing w:val="-4"/>
                    </w:rPr>
                    <w:t>QY-LN500-M1</w:t>
                  </w:r>
                </w:p>
              </w:tc>
              <w:tc>
                <w:tcPr>
                  <w:tcW w:w="1001" w:type="pct"/>
                  <w:noWrap w:val="0"/>
                  <w:vAlign w:val="center"/>
                </w:tcPr>
                <w:p w14:paraId="3EFA356F">
                  <w:pPr>
                    <w:pStyle w:val="136"/>
                    <w:rPr>
                      <w:rFonts w:hint="eastAsia"/>
                      <w:color w:val="auto"/>
                      <w:spacing w:val="-4"/>
                    </w:rPr>
                  </w:pPr>
                  <w:r>
                    <w:rPr>
                      <w:rFonts w:hint="eastAsia"/>
                      <w:color w:val="auto"/>
                      <w:spacing w:val="-4"/>
                    </w:rPr>
                    <w:t>处理能力:5000m</w:t>
                  </w:r>
                  <w:r>
                    <w:rPr>
                      <w:rFonts w:hint="eastAsia"/>
                      <w:color w:val="auto"/>
                      <w:spacing w:val="-4"/>
                      <w:vertAlign w:val="superscript"/>
                    </w:rPr>
                    <w:t>3</w:t>
                  </w:r>
                  <w:r>
                    <w:rPr>
                      <w:rFonts w:hint="eastAsia"/>
                      <w:color w:val="auto"/>
                      <w:spacing w:val="-4"/>
                    </w:rPr>
                    <w:t>//h</w:t>
                  </w:r>
                </w:p>
              </w:tc>
              <w:tc>
                <w:tcPr>
                  <w:tcW w:w="526" w:type="pct"/>
                  <w:shd w:val="clear" w:color="auto" w:fill="auto"/>
                  <w:noWrap w:val="0"/>
                  <w:vAlign w:val="center"/>
                </w:tcPr>
                <w:p w14:paraId="1C605689">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00EE50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3C87A60D">
                  <w:pPr>
                    <w:pStyle w:val="136"/>
                    <w:rPr>
                      <w:color w:val="auto"/>
                      <w:spacing w:val="-4"/>
                    </w:rPr>
                  </w:pPr>
                  <w:r>
                    <w:rPr>
                      <w:rFonts w:hint="eastAsia"/>
                      <w:color w:val="auto"/>
                      <w:spacing w:val="-4"/>
                    </w:rPr>
                    <w:t>5</w:t>
                  </w:r>
                </w:p>
              </w:tc>
              <w:tc>
                <w:tcPr>
                  <w:tcW w:w="529" w:type="pct"/>
                  <w:vMerge w:val="continue"/>
                  <w:noWrap w:val="0"/>
                  <w:vAlign w:val="center"/>
                </w:tcPr>
                <w:p w14:paraId="163CF79F">
                  <w:pPr>
                    <w:pStyle w:val="136"/>
                    <w:rPr>
                      <w:rFonts w:hint="eastAsia"/>
                      <w:color w:val="auto"/>
                      <w:spacing w:val="-4"/>
                    </w:rPr>
                  </w:pPr>
                </w:p>
              </w:tc>
              <w:tc>
                <w:tcPr>
                  <w:tcW w:w="812" w:type="pct"/>
                  <w:noWrap w:val="0"/>
                  <w:vAlign w:val="center"/>
                </w:tcPr>
                <w:p w14:paraId="1A559F8A">
                  <w:pPr>
                    <w:pStyle w:val="136"/>
                    <w:rPr>
                      <w:rFonts w:hint="eastAsia"/>
                      <w:color w:val="auto"/>
                      <w:spacing w:val="-4"/>
                    </w:rPr>
                  </w:pPr>
                  <w:r>
                    <w:rPr>
                      <w:rFonts w:hint="eastAsia"/>
                      <w:color w:val="auto"/>
                      <w:spacing w:val="-4"/>
                    </w:rPr>
                    <w:t>制冷机组</w:t>
                  </w:r>
                </w:p>
              </w:tc>
              <w:tc>
                <w:tcPr>
                  <w:tcW w:w="570" w:type="pct"/>
                  <w:noWrap w:val="0"/>
                  <w:vAlign w:val="center"/>
                </w:tcPr>
                <w:p w14:paraId="1A4BC48B">
                  <w:pPr>
                    <w:pStyle w:val="136"/>
                    <w:rPr>
                      <w:color w:val="auto"/>
                      <w:spacing w:val="-4"/>
                    </w:rPr>
                  </w:pPr>
                  <w:r>
                    <w:rPr>
                      <w:rFonts w:hint="eastAsia"/>
                      <w:color w:val="auto"/>
                      <w:spacing w:val="-4"/>
                    </w:rPr>
                    <w:t>3套</w:t>
                  </w:r>
                </w:p>
              </w:tc>
              <w:tc>
                <w:tcPr>
                  <w:tcW w:w="612" w:type="pct"/>
                  <w:shd w:val="clear" w:color="auto" w:fill="auto"/>
                  <w:noWrap w:val="0"/>
                  <w:vAlign w:val="center"/>
                </w:tcPr>
                <w:p w14:paraId="74237AEE">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3套</w:t>
                  </w:r>
                </w:p>
              </w:tc>
              <w:tc>
                <w:tcPr>
                  <w:tcW w:w="611" w:type="pct"/>
                  <w:noWrap w:val="0"/>
                  <w:vAlign w:val="center"/>
                </w:tcPr>
                <w:p w14:paraId="50F3383B">
                  <w:pPr>
                    <w:pStyle w:val="136"/>
                    <w:rPr>
                      <w:rFonts w:hint="eastAsia"/>
                      <w:color w:val="auto"/>
                      <w:spacing w:val="-4"/>
                    </w:rPr>
                  </w:pPr>
                  <w:r>
                    <w:rPr>
                      <w:rFonts w:hint="eastAsia"/>
                      <w:color w:val="auto"/>
                      <w:spacing w:val="-4"/>
                    </w:rPr>
                    <w:t>FS-L-R-130</w:t>
                  </w:r>
                </w:p>
              </w:tc>
              <w:tc>
                <w:tcPr>
                  <w:tcW w:w="1001" w:type="pct"/>
                  <w:noWrap w:val="0"/>
                  <w:vAlign w:val="center"/>
                </w:tcPr>
                <w:p w14:paraId="65E9B3FE">
                  <w:pPr>
                    <w:pStyle w:val="136"/>
                    <w:rPr>
                      <w:rFonts w:hint="eastAsia"/>
                      <w:color w:val="auto"/>
                      <w:spacing w:val="-4"/>
                    </w:rPr>
                  </w:pPr>
                  <w:r>
                    <w:rPr>
                      <w:rFonts w:hint="eastAsia"/>
                      <w:color w:val="auto"/>
                      <w:spacing w:val="-4"/>
                    </w:rPr>
                    <w:t>制量:111745Kcal/h</w:t>
                  </w:r>
                </w:p>
                <w:p w14:paraId="62492C51">
                  <w:pPr>
                    <w:pStyle w:val="136"/>
                    <w:rPr>
                      <w:rFonts w:hint="eastAsia"/>
                      <w:color w:val="auto"/>
                      <w:spacing w:val="-4"/>
                    </w:rPr>
                  </w:pPr>
                  <w:r>
                    <w:rPr>
                      <w:rFonts w:hint="eastAsia"/>
                      <w:color w:val="auto"/>
                      <w:spacing w:val="-4"/>
                    </w:rPr>
                    <w:t>输入功率:41.4kw</w:t>
                  </w:r>
                </w:p>
                <w:p w14:paraId="02C8D39B">
                  <w:pPr>
                    <w:pStyle w:val="136"/>
                    <w:rPr>
                      <w:rFonts w:hint="eastAsia"/>
                      <w:color w:val="auto"/>
                      <w:spacing w:val="-4"/>
                    </w:rPr>
                  </w:pPr>
                  <w:r>
                    <w:rPr>
                      <w:rFonts w:hint="eastAsia"/>
                      <w:color w:val="auto"/>
                      <w:spacing w:val="-4"/>
                    </w:rPr>
                    <w:t>三相/380V/50Hz</w:t>
                  </w:r>
                </w:p>
              </w:tc>
              <w:tc>
                <w:tcPr>
                  <w:tcW w:w="526" w:type="pct"/>
                  <w:shd w:val="clear" w:color="auto" w:fill="auto"/>
                  <w:noWrap w:val="0"/>
                  <w:vAlign w:val="center"/>
                </w:tcPr>
                <w:p w14:paraId="68472666">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577300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64E8F543">
                  <w:pPr>
                    <w:pStyle w:val="136"/>
                    <w:rPr>
                      <w:color w:val="auto"/>
                      <w:spacing w:val="-4"/>
                    </w:rPr>
                  </w:pPr>
                  <w:r>
                    <w:rPr>
                      <w:rFonts w:hint="eastAsia"/>
                      <w:color w:val="auto"/>
                      <w:spacing w:val="-4"/>
                    </w:rPr>
                    <w:t>6</w:t>
                  </w:r>
                </w:p>
              </w:tc>
              <w:tc>
                <w:tcPr>
                  <w:tcW w:w="529" w:type="pct"/>
                  <w:vMerge w:val="continue"/>
                  <w:noWrap w:val="0"/>
                  <w:vAlign w:val="center"/>
                </w:tcPr>
                <w:p w14:paraId="3528445A">
                  <w:pPr>
                    <w:pStyle w:val="136"/>
                    <w:rPr>
                      <w:rFonts w:hint="eastAsia"/>
                      <w:color w:val="auto"/>
                      <w:spacing w:val="-4"/>
                    </w:rPr>
                  </w:pPr>
                </w:p>
              </w:tc>
              <w:tc>
                <w:tcPr>
                  <w:tcW w:w="812" w:type="pct"/>
                  <w:noWrap w:val="0"/>
                  <w:vAlign w:val="center"/>
                </w:tcPr>
                <w:p w14:paraId="34BFACA2">
                  <w:pPr>
                    <w:pStyle w:val="136"/>
                    <w:rPr>
                      <w:rFonts w:hint="eastAsia"/>
                      <w:color w:val="auto"/>
                      <w:spacing w:val="-4"/>
                    </w:rPr>
                  </w:pPr>
                  <w:r>
                    <w:rPr>
                      <w:rFonts w:hint="eastAsia"/>
                      <w:color w:val="auto"/>
                      <w:spacing w:val="-4"/>
                    </w:rPr>
                    <w:t>冷却循环泵</w:t>
                  </w:r>
                </w:p>
              </w:tc>
              <w:tc>
                <w:tcPr>
                  <w:tcW w:w="570" w:type="pct"/>
                  <w:noWrap w:val="0"/>
                  <w:vAlign w:val="center"/>
                </w:tcPr>
                <w:p w14:paraId="5189C14E">
                  <w:pPr>
                    <w:pStyle w:val="136"/>
                    <w:rPr>
                      <w:color w:val="auto"/>
                      <w:spacing w:val="-4"/>
                    </w:rPr>
                  </w:pPr>
                  <w:r>
                    <w:rPr>
                      <w:rFonts w:hint="eastAsia"/>
                      <w:color w:val="auto"/>
                      <w:spacing w:val="-4"/>
                    </w:rPr>
                    <w:t>2套</w:t>
                  </w:r>
                </w:p>
              </w:tc>
              <w:tc>
                <w:tcPr>
                  <w:tcW w:w="612" w:type="pct"/>
                  <w:shd w:val="clear" w:color="auto" w:fill="auto"/>
                  <w:noWrap w:val="0"/>
                  <w:vAlign w:val="center"/>
                </w:tcPr>
                <w:p w14:paraId="1975DA8D">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2套</w:t>
                  </w:r>
                </w:p>
              </w:tc>
              <w:tc>
                <w:tcPr>
                  <w:tcW w:w="611" w:type="pct"/>
                  <w:noWrap w:val="0"/>
                  <w:vAlign w:val="center"/>
                </w:tcPr>
                <w:p w14:paraId="122EB008">
                  <w:pPr>
                    <w:pStyle w:val="136"/>
                    <w:rPr>
                      <w:rFonts w:hint="eastAsia"/>
                      <w:color w:val="auto"/>
                      <w:spacing w:val="-4"/>
                    </w:rPr>
                  </w:pPr>
                  <w:r>
                    <w:rPr>
                      <w:rFonts w:hint="eastAsia"/>
                      <w:color w:val="auto"/>
                      <w:spacing w:val="-4"/>
                    </w:rPr>
                    <w:t>IRG-100-16</w:t>
                  </w:r>
                </w:p>
              </w:tc>
              <w:tc>
                <w:tcPr>
                  <w:tcW w:w="1001" w:type="pct"/>
                  <w:noWrap w:val="0"/>
                  <w:vAlign w:val="center"/>
                </w:tcPr>
                <w:p w14:paraId="33155D3E">
                  <w:pPr>
                    <w:pStyle w:val="136"/>
                    <w:rPr>
                      <w:rFonts w:hint="eastAsia"/>
                      <w:color w:val="auto"/>
                      <w:spacing w:val="-4"/>
                    </w:rPr>
                  </w:pPr>
                  <w:r>
                    <w:rPr>
                      <w:rFonts w:hint="eastAsia"/>
                      <w:color w:val="auto"/>
                      <w:spacing w:val="-4"/>
                    </w:rPr>
                    <w:t>380V/50Hz(4.0kw)</w:t>
                  </w:r>
                </w:p>
                <w:p w14:paraId="71732D99">
                  <w:pPr>
                    <w:pStyle w:val="136"/>
                    <w:rPr>
                      <w:rFonts w:hint="eastAsia"/>
                      <w:color w:val="auto"/>
                      <w:spacing w:val="-4"/>
                    </w:rPr>
                  </w:pPr>
                  <w:r>
                    <w:rPr>
                      <w:rFonts w:hint="eastAsia"/>
                      <w:color w:val="auto"/>
                      <w:spacing w:val="-4"/>
                    </w:rPr>
                    <w:t>扬程:12.5m</w:t>
                  </w:r>
                </w:p>
                <w:p w14:paraId="65C16C1A">
                  <w:pPr>
                    <w:pStyle w:val="136"/>
                    <w:rPr>
                      <w:rFonts w:hint="eastAsia"/>
                      <w:color w:val="auto"/>
                      <w:spacing w:val="-4"/>
                    </w:rPr>
                  </w:pPr>
                  <w:r>
                    <w:rPr>
                      <w:rFonts w:hint="eastAsia"/>
                      <w:color w:val="auto"/>
                      <w:spacing w:val="-4"/>
                    </w:rPr>
                    <w:t>流量:50m/h</w:t>
                  </w:r>
                </w:p>
              </w:tc>
              <w:tc>
                <w:tcPr>
                  <w:tcW w:w="526" w:type="pct"/>
                  <w:shd w:val="clear" w:color="auto" w:fill="auto"/>
                  <w:noWrap w:val="0"/>
                  <w:vAlign w:val="center"/>
                </w:tcPr>
                <w:p w14:paraId="586D3DF1">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5E12A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53E72B88">
                  <w:pPr>
                    <w:pStyle w:val="136"/>
                    <w:rPr>
                      <w:color w:val="auto"/>
                      <w:spacing w:val="-4"/>
                    </w:rPr>
                  </w:pPr>
                  <w:r>
                    <w:rPr>
                      <w:rFonts w:hint="eastAsia"/>
                      <w:color w:val="auto"/>
                      <w:spacing w:val="-4"/>
                    </w:rPr>
                    <w:t>7</w:t>
                  </w:r>
                </w:p>
              </w:tc>
              <w:tc>
                <w:tcPr>
                  <w:tcW w:w="529" w:type="pct"/>
                  <w:vMerge w:val="continue"/>
                  <w:noWrap w:val="0"/>
                  <w:vAlign w:val="center"/>
                </w:tcPr>
                <w:p w14:paraId="37218DE9">
                  <w:pPr>
                    <w:pStyle w:val="136"/>
                    <w:rPr>
                      <w:rFonts w:hint="eastAsia"/>
                      <w:color w:val="auto"/>
                      <w:spacing w:val="-4"/>
                    </w:rPr>
                  </w:pPr>
                </w:p>
              </w:tc>
              <w:tc>
                <w:tcPr>
                  <w:tcW w:w="812" w:type="pct"/>
                  <w:noWrap w:val="0"/>
                  <w:vAlign w:val="center"/>
                </w:tcPr>
                <w:p w14:paraId="1D0D25CA">
                  <w:pPr>
                    <w:pStyle w:val="136"/>
                    <w:rPr>
                      <w:rFonts w:hint="eastAsia"/>
                      <w:color w:val="auto"/>
                      <w:spacing w:val="-4"/>
                    </w:rPr>
                  </w:pPr>
                  <w:r>
                    <w:rPr>
                      <w:rFonts w:hint="eastAsia"/>
                      <w:color w:val="auto"/>
                      <w:spacing w:val="-4"/>
                    </w:rPr>
                    <w:t>冷却储能罐</w:t>
                  </w:r>
                </w:p>
              </w:tc>
              <w:tc>
                <w:tcPr>
                  <w:tcW w:w="570" w:type="pct"/>
                  <w:noWrap w:val="0"/>
                  <w:vAlign w:val="center"/>
                </w:tcPr>
                <w:p w14:paraId="7A8A73B1">
                  <w:pPr>
                    <w:pStyle w:val="136"/>
                    <w:rPr>
                      <w:color w:val="auto"/>
                      <w:spacing w:val="-4"/>
                    </w:rPr>
                  </w:pPr>
                  <w:r>
                    <w:rPr>
                      <w:rFonts w:hint="eastAsia"/>
                      <w:color w:val="auto"/>
                      <w:spacing w:val="-4"/>
                    </w:rPr>
                    <w:t>1套</w:t>
                  </w:r>
                </w:p>
              </w:tc>
              <w:tc>
                <w:tcPr>
                  <w:tcW w:w="612" w:type="pct"/>
                  <w:shd w:val="clear" w:color="auto" w:fill="auto"/>
                  <w:noWrap w:val="0"/>
                  <w:vAlign w:val="center"/>
                </w:tcPr>
                <w:p w14:paraId="2ED08D0B">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598E0F0F">
                  <w:pPr>
                    <w:pStyle w:val="136"/>
                    <w:rPr>
                      <w:rFonts w:hint="eastAsia"/>
                      <w:color w:val="auto"/>
                      <w:spacing w:val="-4"/>
                    </w:rPr>
                  </w:pPr>
                  <w:r>
                    <w:rPr>
                      <w:rFonts w:hint="eastAsia"/>
                      <w:color w:val="auto"/>
                      <w:spacing w:val="-4"/>
                    </w:rPr>
                    <w:t>OY-2000-1</w:t>
                  </w:r>
                </w:p>
              </w:tc>
              <w:tc>
                <w:tcPr>
                  <w:tcW w:w="1001" w:type="pct"/>
                  <w:noWrap w:val="0"/>
                  <w:vAlign w:val="center"/>
                </w:tcPr>
                <w:p w14:paraId="61A9C108">
                  <w:pPr>
                    <w:pStyle w:val="136"/>
                    <w:rPr>
                      <w:rFonts w:hint="eastAsia"/>
                      <w:color w:val="auto"/>
                      <w:spacing w:val="-4"/>
                    </w:rPr>
                  </w:pPr>
                  <w:r>
                    <w:rPr>
                      <w:rFonts w:hint="eastAsia"/>
                      <w:color w:val="auto"/>
                      <w:spacing w:val="-4"/>
                    </w:rPr>
                    <w:t>容积:1000L</w:t>
                  </w:r>
                </w:p>
              </w:tc>
              <w:tc>
                <w:tcPr>
                  <w:tcW w:w="526" w:type="pct"/>
                  <w:shd w:val="clear" w:color="auto" w:fill="auto"/>
                  <w:noWrap w:val="0"/>
                  <w:vAlign w:val="center"/>
                </w:tcPr>
                <w:p w14:paraId="144FB2B6">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3AB8A8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624FDB8D">
                  <w:pPr>
                    <w:pStyle w:val="136"/>
                    <w:rPr>
                      <w:color w:val="auto"/>
                      <w:spacing w:val="-4"/>
                    </w:rPr>
                  </w:pPr>
                  <w:r>
                    <w:rPr>
                      <w:rFonts w:hint="eastAsia"/>
                      <w:color w:val="auto"/>
                      <w:spacing w:val="-4"/>
                    </w:rPr>
                    <w:t>8</w:t>
                  </w:r>
                </w:p>
              </w:tc>
              <w:tc>
                <w:tcPr>
                  <w:tcW w:w="529" w:type="pct"/>
                  <w:vMerge w:val="continue"/>
                  <w:noWrap w:val="0"/>
                  <w:vAlign w:val="center"/>
                </w:tcPr>
                <w:p w14:paraId="153F58F7">
                  <w:pPr>
                    <w:pStyle w:val="136"/>
                    <w:rPr>
                      <w:rFonts w:hint="eastAsia"/>
                      <w:color w:val="auto"/>
                      <w:spacing w:val="-4"/>
                    </w:rPr>
                  </w:pPr>
                </w:p>
              </w:tc>
              <w:tc>
                <w:tcPr>
                  <w:tcW w:w="812" w:type="pct"/>
                  <w:noWrap w:val="0"/>
                  <w:vAlign w:val="center"/>
                </w:tcPr>
                <w:p w14:paraId="64A0A5DF">
                  <w:pPr>
                    <w:pStyle w:val="136"/>
                    <w:rPr>
                      <w:rFonts w:hint="eastAsia"/>
                      <w:color w:val="auto"/>
                      <w:spacing w:val="-4"/>
                    </w:rPr>
                  </w:pPr>
                  <w:r>
                    <w:rPr>
                      <w:rFonts w:hint="eastAsia"/>
                      <w:color w:val="auto"/>
                      <w:spacing w:val="-4"/>
                    </w:rPr>
                    <w:t>隔膜压力罐</w:t>
                  </w:r>
                </w:p>
              </w:tc>
              <w:tc>
                <w:tcPr>
                  <w:tcW w:w="570" w:type="pct"/>
                  <w:noWrap w:val="0"/>
                  <w:vAlign w:val="center"/>
                </w:tcPr>
                <w:p w14:paraId="1F0B40CB">
                  <w:pPr>
                    <w:pStyle w:val="136"/>
                    <w:rPr>
                      <w:color w:val="auto"/>
                      <w:spacing w:val="-4"/>
                    </w:rPr>
                  </w:pPr>
                  <w:r>
                    <w:rPr>
                      <w:rFonts w:hint="eastAsia"/>
                      <w:color w:val="auto"/>
                      <w:spacing w:val="-4"/>
                    </w:rPr>
                    <w:t>1套</w:t>
                  </w:r>
                </w:p>
              </w:tc>
              <w:tc>
                <w:tcPr>
                  <w:tcW w:w="612" w:type="pct"/>
                  <w:shd w:val="clear" w:color="auto" w:fill="auto"/>
                  <w:noWrap w:val="0"/>
                  <w:vAlign w:val="center"/>
                </w:tcPr>
                <w:p w14:paraId="5DF4D6E4">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2EEA4645">
                  <w:pPr>
                    <w:pStyle w:val="136"/>
                    <w:rPr>
                      <w:rFonts w:hint="eastAsia"/>
                      <w:color w:val="auto"/>
                      <w:spacing w:val="-4"/>
                    </w:rPr>
                  </w:pPr>
                  <w:r>
                    <w:rPr>
                      <w:rFonts w:hint="eastAsia"/>
                      <w:color w:val="auto"/>
                      <w:spacing w:val="-4"/>
                    </w:rPr>
                    <w:t>RU-100</w:t>
                  </w:r>
                </w:p>
              </w:tc>
              <w:tc>
                <w:tcPr>
                  <w:tcW w:w="1001" w:type="pct"/>
                  <w:noWrap w:val="0"/>
                  <w:vAlign w:val="center"/>
                </w:tcPr>
                <w:p w14:paraId="4487AC77">
                  <w:pPr>
                    <w:pStyle w:val="136"/>
                    <w:rPr>
                      <w:rFonts w:hint="eastAsia"/>
                      <w:color w:val="auto"/>
                      <w:spacing w:val="-4"/>
                    </w:rPr>
                  </w:pPr>
                  <w:r>
                    <w:rPr>
                      <w:rFonts w:hint="eastAsia"/>
                      <w:color w:val="auto"/>
                      <w:spacing w:val="-4"/>
                    </w:rPr>
                    <w:t>100L</w:t>
                  </w:r>
                </w:p>
              </w:tc>
              <w:tc>
                <w:tcPr>
                  <w:tcW w:w="526" w:type="pct"/>
                  <w:shd w:val="clear" w:color="auto" w:fill="auto"/>
                  <w:noWrap w:val="0"/>
                  <w:vAlign w:val="center"/>
                </w:tcPr>
                <w:p w14:paraId="52532F3E">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2ED15C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4D3E5CA7">
                  <w:pPr>
                    <w:pStyle w:val="136"/>
                    <w:rPr>
                      <w:color w:val="auto"/>
                      <w:spacing w:val="-4"/>
                    </w:rPr>
                  </w:pPr>
                  <w:r>
                    <w:rPr>
                      <w:rFonts w:hint="eastAsia"/>
                      <w:color w:val="auto"/>
                      <w:spacing w:val="-4"/>
                    </w:rPr>
                    <w:t>9</w:t>
                  </w:r>
                </w:p>
              </w:tc>
              <w:tc>
                <w:tcPr>
                  <w:tcW w:w="529" w:type="pct"/>
                  <w:vMerge w:val="continue"/>
                  <w:noWrap w:val="0"/>
                  <w:vAlign w:val="center"/>
                </w:tcPr>
                <w:p w14:paraId="0CABB993">
                  <w:pPr>
                    <w:pStyle w:val="136"/>
                    <w:rPr>
                      <w:rFonts w:hint="eastAsia"/>
                      <w:color w:val="auto"/>
                      <w:spacing w:val="-4"/>
                    </w:rPr>
                  </w:pPr>
                </w:p>
              </w:tc>
              <w:tc>
                <w:tcPr>
                  <w:tcW w:w="812" w:type="pct"/>
                  <w:noWrap w:val="0"/>
                  <w:vAlign w:val="center"/>
                </w:tcPr>
                <w:p w14:paraId="12A25E90">
                  <w:pPr>
                    <w:pStyle w:val="136"/>
                    <w:rPr>
                      <w:rFonts w:hint="eastAsia"/>
                      <w:color w:val="auto"/>
                      <w:spacing w:val="-4"/>
                    </w:rPr>
                  </w:pPr>
                  <w:r>
                    <w:rPr>
                      <w:rFonts w:hint="eastAsia"/>
                      <w:color w:val="auto"/>
                      <w:spacing w:val="-4"/>
                    </w:rPr>
                    <w:t>自动排水器</w:t>
                  </w:r>
                </w:p>
              </w:tc>
              <w:tc>
                <w:tcPr>
                  <w:tcW w:w="570" w:type="pct"/>
                  <w:noWrap w:val="0"/>
                  <w:vAlign w:val="center"/>
                </w:tcPr>
                <w:p w14:paraId="2F50072A">
                  <w:pPr>
                    <w:pStyle w:val="136"/>
                    <w:rPr>
                      <w:color w:val="auto"/>
                      <w:spacing w:val="-4"/>
                    </w:rPr>
                  </w:pPr>
                  <w:r>
                    <w:rPr>
                      <w:rFonts w:hint="eastAsia"/>
                      <w:color w:val="auto"/>
                      <w:spacing w:val="-4"/>
                    </w:rPr>
                    <w:t>1套</w:t>
                  </w:r>
                </w:p>
              </w:tc>
              <w:tc>
                <w:tcPr>
                  <w:tcW w:w="612" w:type="pct"/>
                  <w:shd w:val="clear" w:color="auto" w:fill="auto"/>
                  <w:noWrap w:val="0"/>
                  <w:vAlign w:val="center"/>
                </w:tcPr>
                <w:p w14:paraId="7C1EF30C">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6A5D74C7">
                  <w:pPr>
                    <w:pStyle w:val="136"/>
                    <w:rPr>
                      <w:rFonts w:hint="eastAsia"/>
                      <w:color w:val="auto"/>
                      <w:spacing w:val="-4"/>
                    </w:rPr>
                  </w:pPr>
                  <w:r>
                    <w:rPr>
                      <w:rFonts w:hint="eastAsia"/>
                      <w:color w:val="auto"/>
                      <w:spacing w:val="-4"/>
                    </w:rPr>
                    <w:t>FL-PS-100</w:t>
                  </w:r>
                </w:p>
              </w:tc>
              <w:tc>
                <w:tcPr>
                  <w:tcW w:w="1001" w:type="pct"/>
                  <w:noWrap w:val="0"/>
                  <w:vAlign w:val="center"/>
                </w:tcPr>
                <w:p w14:paraId="6720A326">
                  <w:pPr>
                    <w:pStyle w:val="136"/>
                    <w:rPr>
                      <w:rFonts w:hint="eastAsia"/>
                      <w:color w:val="auto"/>
                      <w:spacing w:val="-4"/>
                    </w:rPr>
                  </w:pPr>
                  <w:r>
                    <w:rPr>
                      <w:rFonts w:hint="eastAsia"/>
                      <w:color w:val="auto"/>
                      <w:spacing w:val="-4"/>
                    </w:rPr>
                    <w:t>排放能力:200L/h</w:t>
                  </w:r>
                </w:p>
              </w:tc>
              <w:tc>
                <w:tcPr>
                  <w:tcW w:w="526" w:type="pct"/>
                  <w:shd w:val="clear" w:color="auto" w:fill="auto"/>
                  <w:noWrap w:val="0"/>
                  <w:vAlign w:val="center"/>
                </w:tcPr>
                <w:p w14:paraId="28B2A583">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1042A5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75867140">
                  <w:pPr>
                    <w:pStyle w:val="136"/>
                    <w:rPr>
                      <w:color w:val="auto"/>
                      <w:spacing w:val="-4"/>
                    </w:rPr>
                  </w:pPr>
                  <w:r>
                    <w:rPr>
                      <w:rFonts w:hint="eastAsia"/>
                      <w:color w:val="auto"/>
                      <w:spacing w:val="-4"/>
                    </w:rPr>
                    <w:t>10</w:t>
                  </w:r>
                </w:p>
              </w:tc>
              <w:tc>
                <w:tcPr>
                  <w:tcW w:w="529" w:type="pct"/>
                  <w:vMerge w:val="continue"/>
                  <w:noWrap w:val="0"/>
                  <w:vAlign w:val="center"/>
                </w:tcPr>
                <w:p w14:paraId="3BF80822">
                  <w:pPr>
                    <w:pStyle w:val="136"/>
                    <w:rPr>
                      <w:rFonts w:hint="eastAsia"/>
                      <w:color w:val="auto"/>
                      <w:spacing w:val="-4"/>
                    </w:rPr>
                  </w:pPr>
                </w:p>
              </w:tc>
              <w:tc>
                <w:tcPr>
                  <w:tcW w:w="812" w:type="pct"/>
                  <w:noWrap w:val="0"/>
                  <w:vAlign w:val="center"/>
                </w:tcPr>
                <w:p w14:paraId="56F0B541">
                  <w:pPr>
                    <w:pStyle w:val="136"/>
                    <w:rPr>
                      <w:rFonts w:hint="eastAsia"/>
                      <w:color w:val="auto"/>
                      <w:spacing w:val="-4"/>
                    </w:rPr>
                  </w:pPr>
                  <w:r>
                    <w:rPr>
                      <w:rFonts w:hint="eastAsia"/>
                      <w:color w:val="auto"/>
                      <w:spacing w:val="-4"/>
                    </w:rPr>
                    <w:t>沼气缓冲罐</w:t>
                  </w:r>
                </w:p>
              </w:tc>
              <w:tc>
                <w:tcPr>
                  <w:tcW w:w="570" w:type="pct"/>
                  <w:noWrap w:val="0"/>
                  <w:vAlign w:val="center"/>
                </w:tcPr>
                <w:p w14:paraId="4B763DF4">
                  <w:pPr>
                    <w:pStyle w:val="136"/>
                    <w:rPr>
                      <w:color w:val="auto"/>
                      <w:spacing w:val="-4"/>
                    </w:rPr>
                  </w:pPr>
                  <w:r>
                    <w:rPr>
                      <w:rFonts w:hint="eastAsia"/>
                      <w:color w:val="auto"/>
                      <w:spacing w:val="-4"/>
                    </w:rPr>
                    <w:t>1套</w:t>
                  </w:r>
                </w:p>
              </w:tc>
              <w:tc>
                <w:tcPr>
                  <w:tcW w:w="612" w:type="pct"/>
                  <w:shd w:val="clear" w:color="auto" w:fill="auto"/>
                  <w:noWrap w:val="0"/>
                  <w:vAlign w:val="center"/>
                </w:tcPr>
                <w:p w14:paraId="151E3756">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1套</w:t>
                  </w:r>
                </w:p>
              </w:tc>
              <w:tc>
                <w:tcPr>
                  <w:tcW w:w="611" w:type="pct"/>
                  <w:noWrap w:val="0"/>
                  <w:vAlign w:val="center"/>
                </w:tcPr>
                <w:p w14:paraId="6E7043B9">
                  <w:pPr>
                    <w:pStyle w:val="136"/>
                    <w:rPr>
                      <w:rFonts w:hint="eastAsia"/>
                      <w:color w:val="auto"/>
                      <w:spacing w:val="-4"/>
                    </w:rPr>
                  </w:pPr>
                  <w:r>
                    <w:rPr>
                      <w:rFonts w:hint="eastAsia"/>
                      <w:color w:val="auto"/>
                      <w:spacing w:val="-4"/>
                    </w:rPr>
                    <w:t>QY-HC4800</w:t>
                  </w:r>
                </w:p>
              </w:tc>
              <w:tc>
                <w:tcPr>
                  <w:tcW w:w="1001" w:type="pct"/>
                  <w:noWrap w:val="0"/>
                  <w:vAlign w:val="center"/>
                </w:tcPr>
                <w:p w14:paraId="6737ABFE">
                  <w:pPr>
                    <w:pStyle w:val="136"/>
                    <w:rPr>
                      <w:color w:val="auto"/>
                      <w:spacing w:val="-4"/>
                    </w:rPr>
                  </w:pPr>
                  <w:r>
                    <w:rPr>
                      <w:rFonts w:hint="eastAsia"/>
                      <w:color w:val="auto"/>
                      <w:spacing w:val="-4"/>
                    </w:rPr>
                    <w:t>/</w:t>
                  </w:r>
                </w:p>
              </w:tc>
              <w:tc>
                <w:tcPr>
                  <w:tcW w:w="526" w:type="pct"/>
                  <w:shd w:val="clear" w:color="auto" w:fill="auto"/>
                  <w:noWrap w:val="0"/>
                  <w:vAlign w:val="center"/>
                </w:tcPr>
                <w:p w14:paraId="57CC0FF9">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316BBE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2898958F">
                  <w:pPr>
                    <w:pStyle w:val="136"/>
                    <w:rPr>
                      <w:color w:val="auto"/>
                      <w:spacing w:val="-4"/>
                    </w:rPr>
                  </w:pPr>
                  <w:r>
                    <w:rPr>
                      <w:rFonts w:hint="eastAsia"/>
                      <w:color w:val="auto"/>
                      <w:spacing w:val="-4"/>
                    </w:rPr>
                    <w:t>11</w:t>
                  </w:r>
                </w:p>
              </w:tc>
              <w:tc>
                <w:tcPr>
                  <w:tcW w:w="529" w:type="pct"/>
                  <w:vMerge w:val="restart"/>
                  <w:noWrap w:val="0"/>
                  <w:vAlign w:val="center"/>
                </w:tcPr>
                <w:p w14:paraId="4BA46BEA">
                  <w:pPr>
                    <w:pStyle w:val="136"/>
                    <w:rPr>
                      <w:rFonts w:hint="eastAsia"/>
                      <w:color w:val="auto"/>
                      <w:spacing w:val="-4"/>
                    </w:rPr>
                  </w:pPr>
                  <w:r>
                    <w:rPr>
                      <w:rFonts w:hint="eastAsia"/>
                      <w:color w:val="auto"/>
                      <w:spacing w:val="-4"/>
                    </w:rPr>
                    <w:t>发电机组</w:t>
                  </w:r>
                </w:p>
              </w:tc>
              <w:tc>
                <w:tcPr>
                  <w:tcW w:w="812" w:type="pct"/>
                  <w:noWrap w:val="0"/>
                  <w:vAlign w:val="center"/>
                </w:tcPr>
                <w:p w14:paraId="5FD54851">
                  <w:pPr>
                    <w:pStyle w:val="132"/>
                    <w:adjustRightInd w:val="0"/>
                    <w:snapToGrid w:val="0"/>
                    <w:rPr>
                      <w:rFonts w:hint="eastAsia"/>
                      <w:color w:val="auto"/>
                    </w:rPr>
                  </w:pPr>
                  <w:r>
                    <w:rPr>
                      <w:rFonts w:hint="eastAsia"/>
                      <w:snapToGrid/>
                      <w:color w:val="auto"/>
                      <w:szCs w:val="24"/>
                    </w:rPr>
                    <w:t>燃气内燃发电机</w:t>
                  </w:r>
                </w:p>
              </w:tc>
              <w:tc>
                <w:tcPr>
                  <w:tcW w:w="570" w:type="pct"/>
                  <w:noWrap w:val="0"/>
                  <w:vAlign w:val="center"/>
                </w:tcPr>
                <w:p w14:paraId="22CA5486">
                  <w:pPr>
                    <w:pStyle w:val="132"/>
                    <w:adjustRightInd w:val="0"/>
                    <w:snapToGrid w:val="0"/>
                    <w:rPr>
                      <w:rFonts w:hint="eastAsia"/>
                      <w:color w:val="auto"/>
                    </w:rPr>
                  </w:pPr>
                  <w:r>
                    <w:rPr>
                      <w:rFonts w:hint="eastAsia"/>
                      <w:snapToGrid/>
                      <w:color w:val="auto"/>
                      <w:szCs w:val="24"/>
                    </w:rPr>
                    <w:t>6台</w:t>
                  </w:r>
                </w:p>
              </w:tc>
              <w:tc>
                <w:tcPr>
                  <w:tcW w:w="612" w:type="pct"/>
                  <w:shd w:val="clear" w:color="auto" w:fill="auto"/>
                  <w:noWrap w:val="0"/>
                  <w:vAlign w:val="center"/>
                </w:tcPr>
                <w:p w14:paraId="68D77947">
                  <w:pPr>
                    <w:pStyle w:val="132"/>
                    <w:adjustRightInd w:val="0"/>
                    <w:snapToGrid w:val="0"/>
                    <w:rPr>
                      <w:rFonts w:hint="eastAsia" w:ascii="Times New Roman" w:hAnsi="Times New Roman" w:eastAsia="宋体" w:cs="Times New Roman"/>
                      <w:snapToGrid w:val="0"/>
                      <w:color w:val="auto"/>
                      <w:kern w:val="2"/>
                      <w:sz w:val="18"/>
                      <w:szCs w:val="20"/>
                      <w:lang w:val="en-US" w:eastAsia="zh-CN" w:bidi="ar-SA"/>
                    </w:rPr>
                  </w:pPr>
                  <w:r>
                    <w:rPr>
                      <w:rFonts w:hint="eastAsia"/>
                      <w:snapToGrid/>
                      <w:color w:val="auto"/>
                      <w:szCs w:val="24"/>
                    </w:rPr>
                    <w:t>6台</w:t>
                  </w:r>
                </w:p>
              </w:tc>
              <w:tc>
                <w:tcPr>
                  <w:tcW w:w="611" w:type="pct"/>
                  <w:noWrap w:val="0"/>
                  <w:vAlign w:val="center"/>
                </w:tcPr>
                <w:p w14:paraId="0FBF6220">
                  <w:pPr>
                    <w:pStyle w:val="132"/>
                    <w:adjustRightInd w:val="0"/>
                    <w:snapToGrid w:val="0"/>
                    <w:rPr>
                      <w:rFonts w:hint="eastAsia"/>
                      <w:color w:val="auto"/>
                    </w:rPr>
                  </w:pPr>
                  <w:r>
                    <w:rPr>
                      <w:rFonts w:hint="eastAsia"/>
                      <w:snapToGrid/>
                      <w:color w:val="auto"/>
                      <w:szCs w:val="24"/>
                    </w:rPr>
                    <w:t>颜巴赫J320GS-S.L</w:t>
                  </w:r>
                </w:p>
              </w:tc>
              <w:tc>
                <w:tcPr>
                  <w:tcW w:w="1001" w:type="pct"/>
                  <w:noWrap w:val="0"/>
                  <w:vAlign w:val="center"/>
                </w:tcPr>
                <w:p w14:paraId="475E8F31">
                  <w:pPr>
                    <w:adjustRightInd w:val="0"/>
                    <w:snapToGrid w:val="0"/>
                    <w:jc w:val="center"/>
                    <w:rPr>
                      <w:rFonts w:hint="eastAsia"/>
                      <w:color w:val="auto"/>
                      <w:sz w:val="18"/>
                    </w:rPr>
                  </w:pPr>
                  <w:r>
                    <w:rPr>
                      <w:rFonts w:hint="eastAsia"/>
                      <w:color w:val="auto"/>
                      <w:sz w:val="18"/>
                    </w:rPr>
                    <w:t>功率1067KW</w:t>
                  </w:r>
                </w:p>
                <w:p w14:paraId="582D95D8">
                  <w:pPr>
                    <w:adjustRightInd w:val="0"/>
                    <w:snapToGrid w:val="0"/>
                    <w:jc w:val="center"/>
                    <w:rPr>
                      <w:rFonts w:hint="eastAsia"/>
                      <w:color w:val="auto"/>
                      <w:sz w:val="18"/>
                    </w:rPr>
                  </w:pPr>
                  <w:r>
                    <w:rPr>
                      <w:rFonts w:hint="eastAsia"/>
                      <w:color w:val="auto"/>
                      <w:sz w:val="18"/>
                    </w:rPr>
                    <w:t>外形尺寸7005×1700×2300mm</w:t>
                  </w:r>
                </w:p>
              </w:tc>
              <w:tc>
                <w:tcPr>
                  <w:tcW w:w="526" w:type="pct"/>
                  <w:shd w:val="clear" w:color="auto" w:fill="auto"/>
                  <w:noWrap w:val="0"/>
                  <w:vAlign w:val="center"/>
                </w:tcPr>
                <w:p w14:paraId="260955F9">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2A073B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056A950F">
                  <w:pPr>
                    <w:pStyle w:val="136"/>
                    <w:rPr>
                      <w:color w:val="auto"/>
                      <w:spacing w:val="-4"/>
                    </w:rPr>
                  </w:pPr>
                  <w:r>
                    <w:rPr>
                      <w:rFonts w:hint="eastAsia"/>
                      <w:color w:val="auto"/>
                      <w:spacing w:val="-4"/>
                    </w:rPr>
                    <w:t>12</w:t>
                  </w:r>
                </w:p>
              </w:tc>
              <w:tc>
                <w:tcPr>
                  <w:tcW w:w="529" w:type="pct"/>
                  <w:vMerge w:val="continue"/>
                  <w:noWrap w:val="0"/>
                  <w:vAlign w:val="center"/>
                </w:tcPr>
                <w:p w14:paraId="2DC4C42B">
                  <w:pPr>
                    <w:pStyle w:val="136"/>
                    <w:rPr>
                      <w:rFonts w:hint="eastAsia"/>
                      <w:color w:val="auto"/>
                      <w:spacing w:val="-4"/>
                    </w:rPr>
                  </w:pPr>
                </w:p>
              </w:tc>
              <w:tc>
                <w:tcPr>
                  <w:tcW w:w="812" w:type="pct"/>
                  <w:noWrap w:val="0"/>
                  <w:vAlign w:val="center"/>
                </w:tcPr>
                <w:p w14:paraId="0824AB15">
                  <w:pPr>
                    <w:pStyle w:val="136"/>
                    <w:rPr>
                      <w:rFonts w:hint="eastAsia"/>
                      <w:color w:val="auto"/>
                      <w:spacing w:val="-4"/>
                    </w:rPr>
                  </w:pPr>
                  <w:r>
                    <w:rPr>
                      <w:rFonts w:hint="eastAsia"/>
                      <w:color w:val="auto"/>
                      <w:spacing w:val="-4"/>
                    </w:rPr>
                    <w:t>控制柜</w:t>
                  </w:r>
                </w:p>
              </w:tc>
              <w:tc>
                <w:tcPr>
                  <w:tcW w:w="570" w:type="pct"/>
                  <w:noWrap w:val="0"/>
                  <w:vAlign w:val="center"/>
                </w:tcPr>
                <w:p w14:paraId="0B135F40">
                  <w:pPr>
                    <w:pStyle w:val="136"/>
                    <w:rPr>
                      <w:color w:val="auto"/>
                      <w:spacing w:val="-4"/>
                    </w:rPr>
                  </w:pPr>
                  <w:r>
                    <w:rPr>
                      <w:rFonts w:hint="eastAsia"/>
                      <w:color w:val="auto"/>
                      <w:spacing w:val="-4"/>
                    </w:rPr>
                    <w:t>6套</w:t>
                  </w:r>
                </w:p>
              </w:tc>
              <w:tc>
                <w:tcPr>
                  <w:tcW w:w="612" w:type="pct"/>
                  <w:shd w:val="clear" w:color="auto" w:fill="auto"/>
                  <w:noWrap w:val="0"/>
                  <w:vAlign w:val="center"/>
                </w:tcPr>
                <w:p w14:paraId="57B4E7C3">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6套</w:t>
                  </w:r>
                </w:p>
              </w:tc>
              <w:tc>
                <w:tcPr>
                  <w:tcW w:w="611" w:type="pct"/>
                  <w:noWrap w:val="0"/>
                  <w:vAlign w:val="center"/>
                </w:tcPr>
                <w:p w14:paraId="689F0ED7">
                  <w:pPr>
                    <w:pStyle w:val="136"/>
                    <w:rPr>
                      <w:color w:val="auto"/>
                      <w:spacing w:val="-4"/>
                    </w:rPr>
                  </w:pPr>
                  <w:r>
                    <w:rPr>
                      <w:rFonts w:hint="eastAsia"/>
                      <w:color w:val="auto"/>
                      <w:spacing w:val="-4"/>
                    </w:rPr>
                    <w:t>/</w:t>
                  </w:r>
                </w:p>
              </w:tc>
              <w:tc>
                <w:tcPr>
                  <w:tcW w:w="1001" w:type="pct"/>
                  <w:noWrap w:val="0"/>
                  <w:vAlign w:val="center"/>
                </w:tcPr>
                <w:p w14:paraId="4932CC68">
                  <w:pPr>
                    <w:pStyle w:val="136"/>
                    <w:rPr>
                      <w:color w:val="auto"/>
                      <w:spacing w:val="-4"/>
                    </w:rPr>
                  </w:pPr>
                  <w:r>
                    <w:rPr>
                      <w:rFonts w:hint="eastAsia"/>
                      <w:color w:val="auto"/>
                      <w:spacing w:val="-4"/>
                    </w:rPr>
                    <w:t>/</w:t>
                  </w:r>
                </w:p>
              </w:tc>
              <w:tc>
                <w:tcPr>
                  <w:tcW w:w="526" w:type="pct"/>
                  <w:shd w:val="clear" w:color="auto" w:fill="auto"/>
                  <w:noWrap w:val="0"/>
                  <w:vAlign w:val="center"/>
                </w:tcPr>
                <w:p w14:paraId="739B9BE1">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705595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5EED9212">
                  <w:pPr>
                    <w:pStyle w:val="136"/>
                    <w:rPr>
                      <w:color w:val="auto"/>
                      <w:spacing w:val="-4"/>
                    </w:rPr>
                  </w:pPr>
                  <w:r>
                    <w:rPr>
                      <w:rFonts w:hint="eastAsia"/>
                      <w:color w:val="auto"/>
                      <w:spacing w:val="-4"/>
                    </w:rPr>
                    <w:t>13</w:t>
                  </w:r>
                </w:p>
              </w:tc>
              <w:tc>
                <w:tcPr>
                  <w:tcW w:w="529" w:type="pct"/>
                  <w:vMerge w:val="continue"/>
                  <w:noWrap w:val="0"/>
                  <w:vAlign w:val="center"/>
                </w:tcPr>
                <w:p w14:paraId="354BD58B">
                  <w:pPr>
                    <w:pStyle w:val="136"/>
                    <w:rPr>
                      <w:rFonts w:hint="eastAsia"/>
                      <w:color w:val="auto"/>
                      <w:spacing w:val="-4"/>
                    </w:rPr>
                  </w:pPr>
                </w:p>
              </w:tc>
              <w:tc>
                <w:tcPr>
                  <w:tcW w:w="812" w:type="pct"/>
                  <w:noWrap w:val="0"/>
                  <w:vAlign w:val="center"/>
                </w:tcPr>
                <w:p w14:paraId="5836FC44">
                  <w:pPr>
                    <w:pStyle w:val="136"/>
                    <w:rPr>
                      <w:rFonts w:hint="eastAsia"/>
                      <w:color w:val="auto"/>
                      <w:spacing w:val="-4"/>
                    </w:rPr>
                  </w:pPr>
                  <w:r>
                    <w:rPr>
                      <w:rFonts w:hint="eastAsia"/>
                      <w:color w:val="auto"/>
                      <w:spacing w:val="-4"/>
                    </w:rPr>
                    <w:t>燃气阀组</w:t>
                  </w:r>
                </w:p>
              </w:tc>
              <w:tc>
                <w:tcPr>
                  <w:tcW w:w="570" w:type="pct"/>
                  <w:noWrap w:val="0"/>
                  <w:vAlign w:val="center"/>
                </w:tcPr>
                <w:p w14:paraId="24F5882E">
                  <w:pPr>
                    <w:pStyle w:val="136"/>
                    <w:rPr>
                      <w:color w:val="auto"/>
                      <w:spacing w:val="-4"/>
                    </w:rPr>
                  </w:pPr>
                  <w:r>
                    <w:rPr>
                      <w:rFonts w:hint="eastAsia"/>
                      <w:color w:val="auto"/>
                      <w:spacing w:val="-4"/>
                    </w:rPr>
                    <w:t>6台</w:t>
                  </w:r>
                </w:p>
              </w:tc>
              <w:tc>
                <w:tcPr>
                  <w:tcW w:w="612" w:type="pct"/>
                  <w:shd w:val="clear" w:color="auto" w:fill="auto"/>
                  <w:noWrap w:val="0"/>
                  <w:vAlign w:val="center"/>
                </w:tcPr>
                <w:p w14:paraId="57BF950F">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6台</w:t>
                  </w:r>
                </w:p>
              </w:tc>
              <w:tc>
                <w:tcPr>
                  <w:tcW w:w="611" w:type="pct"/>
                  <w:noWrap w:val="0"/>
                  <w:vAlign w:val="center"/>
                </w:tcPr>
                <w:p w14:paraId="2CB94CA6">
                  <w:pPr>
                    <w:pStyle w:val="136"/>
                    <w:rPr>
                      <w:color w:val="auto"/>
                      <w:spacing w:val="-4"/>
                    </w:rPr>
                  </w:pPr>
                  <w:r>
                    <w:rPr>
                      <w:rFonts w:hint="eastAsia"/>
                      <w:color w:val="auto"/>
                      <w:spacing w:val="-4"/>
                    </w:rPr>
                    <w:t>/</w:t>
                  </w:r>
                </w:p>
              </w:tc>
              <w:tc>
                <w:tcPr>
                  <w:tcW w:w="1001" w:type="pct"/>
                  <w:noWrap w:val="0"/>
                  <w:vAlign w:val="center"/>
                </w:tcPr>
                <w:p w14:paraId="5E94697B">
                  <w:pPr>
                    <w:pStyle w:val="136"/>
                    <w:rPr>
                      <w:color w:val="auto"/>
                      <w:spacing w:val="-4"/>
                    </w:rPr>
                  </w:pPr>
                  <w:r>
                    <w:rPr>
                      <w:rFonts w:hint="eastAsia"/>
                      <w:color w:val="auto"/>
                      <w:spacing w:val="-4"/>
                    </w:rPr>
                    <w:t>/</w:t>
                  </w:r>
                </w:p>
              </w:tc>
              <w:tc>
                <w:tcPr>
                  <w:tcW w:w="526" w:type="pct"/>
                  <w:shd w:val="clear" w:color="auto" w:fill="auto"/>
                  <w:noWrap w:val="0"/>
                  <w:vAlign w:val="center"/>
                </w:tcPr>
                <w:p w14:paraId="23B44B09">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189075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58A87648">
                  <w:pPr>
                    <w:pStyle w:val="136"/>
                    <w:rPr>
                      <w:color w:val="auto"/>
                      <w:spacing w:val="-4"/>
                    </w:rPr>
                  </w:pPr>
                  <w:r>
                    <w:rPr>
                      <w:rFonts w:hint="eastAsia"/>
                      <w:color w:val="auto"/>
                      <w:spacing w:val="-4"/>
                    </w:rPr>
                    <w:t>14</w:t>
                  </w:r>
                </w:p>
              </w:tc>
              <w:tc>
                <w:tcPr>
                  <w:tcW w:w="529" w:type="pct"/>
                  <w:vMerge w:val="continue"/>
                  <w:noWrap w:val="0"/>
                  <w:vAlign w:val="center"/>
                </w:tcPr>
                <w:p w14:paraId="15AF5633">
                  <w:pPr>
                    <w:pStyle w:val="136"/>
                    <w:rPr>
                      <w:rFonts w:hint="eastAsia"/>
                      <w:color w:val="auto"/>
                      <w:spacing w:val="-4"/>
                    </w:rPr>
                  </w:pPr>
                </w:p>
              </w:tc>
              <w:tc>
                <w:tcPr>
                  <w:tcW w:w="812" w:type="pct"/>
                  <w:noWrap w:val="0"/>
                  <w:vAlign w:val="center"/>
                </w:tcPr>
                <w:p w14:paraId="26C7CA11">
                  <w:pPr>
                    <w:pStyle w:val="136"/>
                    <w:rPr>
                      <w:rFonts w:hint="eastAsia"/>
                      <w:color w:val="auto"/>
                      <w:spacing w:val="-4"/>
                    </w:rPr>
                  </w:pPr>
                  <w:r>
                    <w:rPr>
                      <w:rFonts w:hint="eastAsia"/>
                      <w:color w:val="auto"/>
                      <w:spacing w:val="-4"/>
                    </w:rPr>
                    <w:t>MCC辅助设备控制柜</w:t>
                  </w:r>
                </w:p>
              </w:tc>
              <w:tc>
                <w:tcPr>
                  <w:tcW w:w="570" w:type="pct"/>
                  <w:noWrap w:val="0"/>
                  <w:vAlign w:val="center"/>
                </w:tcPr>
                <w:p w14:paraId="16B9A48C">
                  <w:pPr>
                    <w:pStyle w:val="136"/>
                    <w:rPr>
                      <w:color w:val="auto"/>
                      <w:spacing w:val="-4"/>
                    </w:rPr>
                  </w:pPr>
                  <w:r>
                    <w:rPr>
                      <w:rFonts w:hint="eastAsia"/>
                      <w:color w:val="auto"/>
                      <w:spacing w:val="-4"/>
                    </w:rPr>
                    <w:t>6个</w:t>
                  </w:r>
                </w:p>
              </w:tc>
              <w:tc>
                <w:tcPr>
                  <w:tcW w:w="612" w:type="pct"/>
                  <w:shd w:val="clear" w:color="auto" w:fill="auto"/>
                  <w:noWrap w:val="0"/>
                  <w:vAlign w:val="center"/>
                </w:tcPr>
                <w:p w14:paraId="5BC22719">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6个</w:t>
                  </w:r>
                </w:p>
              </w:tc>
              <w:tc>
                <w:tcPr>
                  <w:tcW w:w="611" w:type="pct"/>
                  <w:noWrap w:val="0"/>
                  <w:vAlign w:val="center"/>
                </w:tcPr>
                <w:p w14:paraId="58B642B2">
                  <w:pPr>
                    <w:pStyle w:val="136"/>
                    <w:rPr>
                      <w:color w:val="auto"/>
                      <w:spacing w:val="-4"/>
                    </w:rPr>
                  </w:pPr>
                  <w:r>
                    <w:rPr>
                      <w:rFonts w:hint="eastAsia"/>
                      <w:color w:val="auto"/>
                      <w:spacing w:val="-4"/>
                    </w:rPr>
                    <w:t>/</w:t>
                  </w:r>
                </w:p>
              </w:tc>
              <w:tc>
                <w:tcPr>
                  <w:tcW w:w="1001" w:type="pct"/>
                  <w:noWrap w:val="0"/>
                  <w:vAlign w:val="center"/>
                </w:tcPr>
                <w:p w14:paraId="1B56C3CC">
                  <w:pPr>
                    <w:pStyle w:val="136"/>
                    <w:rPr>
                      <w:color w:val="auto"/>
                      <w:spacing w:val="-4"/>
                    </w:rPr>
                  </w:pPr>
                  <w:r>
                    <w:rPr>
                      <w:rFonts w:hint="eastAsia"/>
                      <w:color w:val="auto"/>
                      <w:spacing w:val="-4"/>
                    </w:rPr>
                    <w:t>/</w:t>
                  </w:r>
                </w:p>
              </w:tc>
              <w:tc>
                <w:tcPr>
                  <w:tcW w:w="526" w:type="pct"/>
                  <w:shd w:val="clear" w:color="auto" w:fill="auto"/>
                  <w:noWrap w:val="0"/>
                  <w:vAlign w:val="center"/>
                </w:tcPr>
                <w:p w14:paraId="6BA44101">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7ECE63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28B5456B">
                  <w:pPr>
                    <w:pStyle w:val="136"/>
                    <w:rPr>
                      <w:color w:val="auto"/>
                      <w:spacing w:val="-4"/>
                    </w:rPr>
                  </w:pPr>
                  <w:r>
                    <w:rPr>
                      <w:rFonts w:hint="eastAsia"/>
                      <w:color w:val="auto"/>
                      <w:spacing w:val="-4"/>
                    </w:rPr>
                    <w:t>15</w:t>
                  </w:r>
                </w:p>
              </w:tc>
              <w:tc>
                <w:tcPr>
                  <w:tcW w:w="529" w:type="pct"/>
                  <w:vMerge w:val="continue"/>
                  <w:noWrap w:val="0"/>
                  <w:vAlign w:val="center"/>
                </w:tcPr>
                <w:p w14:paraId="751642B4">
                  <w:pPr>
                    <w:pStyle w:val="136"/>
                    <w:rPr>
                      <w:rFonts w:hint="eastAsia"/>
                      <w:color w:val="auto"/>
                      <w:spacing w:val="-4"/>
                    </w:rPr>
                  </w:pPr>
                </w:p>
              </w:tc>
              <w:tc>
                <w:tcPr>
                  <w:tcW w:w="812" w:type="pct"/>
                  <w:noWrap w:val="0"/>
                  <w:vAlign w:val="center"/>
                </w:tcPr>
                <w:p w14:paraId="0D187CEA">
                  <w:pPr>
                    <w:pStyle w:val="136"/>
                    <w:rPr>
                      <w:rFonts w:hint="eastAsia"/>
                      <w:color w:val="auto"/>
                      <w:spacing w:val="-4"/>
                    </w:rPr>
                  </w:pPr>
                  <w:r>
                    <w:rPr>
                      <w:rFonts w:hint="eastAsia"/>
                      <w:color w:val="auto"/>
                      <w:spacing w:val="-4"/>
                    </w:rPr>
                    <w:t>配套集装箱（集成消防、隔音、补油等系统）</w:t>
                  </w:r>
                </w:p>
              </w:tc>
              <w:tc>
                <w:tcPr>
                  <w:tcW w:w="570" w:type="pct"/>
                  <w:noWrap w:val="0"/>
                  <w:vAlign w:val="center"/>
                </w:tcPr>
                <w:p w14:paraId="612D2E7E">
                  <w:pPr>
                    <w:pStyle w:val="136"/>
                    <w:rPr>
                      <w:color w:val="auto"/>
                      <w:spacing w:val="-4"/>
                    </w:rPr>
                  </w:pPr>
                  <w:r>
                    <w:rPr>
                      <w:rFonts w:hint="eastAsia"/>
                      <w:color w:val="auto"/>
                      <w:spacing w:val="-4"/>
                    </w:rPr>
                    <w:t>6个</w:t>
                  </w:r>
                </w:p>
              </w:tc>
              <w:tc>
                <w:tcPr>
                  <w:tcW w:w="612" w:type="pct"/>
                  <w:shd w:val="clear" w:color="auto" w:fill="auto"/>
                  <w:noWrap w:val="0"/>
                  <w:vAlign w:val="center"/>
                </w:tcPr>
                <w:p w14:paraId="67EB9BC0">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6个</w:t>
                  </w:r>
                </w:p>
              </w:tc>
              <w:tc>
                <w:tcPr>
                  <w:tcW w:w="611" w:type="pct"/>
                  <w:noWrap w:val="0"/>
                  <w:vAlign w:val="center"/>
                </w:tcPr>
                <w:p w14:paraId="481A2F59">
                  <w:pPr>
                    <w:pStyle w:val="136"/>
                    <w:rPr>
                      <w:color w:val="auto"/>
                      <w:spacing w:val="-4"/>
                    </w:rPr>
                  </w:pPr>
                  <w:r>
                    <w:rPr>
                      <w:rFonts w:hint="eastAsia"/>
                      <w:color w:val="auto"/>
                      <w:spacing w:val="-4"/>
                    </w:rPr>
                    <w:t>/</w:t>
                  </w:r>
                </w:p>
              </w:tc>
              <w:tc>
                <w:tcPr>
                  <w:tcW w:w="1001" w:type="pct"/>
                  <w:noWrap w:val="0"/>
                  <w:vAlign w:val="center"/>
                </w:tcPr>
                <w:p w14:paraId="441004CB">
                  <w:pPr>
                    <w:pStyle w:val="136"/>
                    <w:rPr>
                      <w:color w:val="auto"/>
                      <w:spacing w:val="-4"/>
                    </w:rPr>
                  </w:pPr>
                  <w:r>
                    <w:rPr>
                      <w:rFonts w:hint="eastAsia"/>
                      <w:color w:val="auto"/>
                      <w:spacing w:val="-4"/>
                    </w:rPr>
                    <w:t>/</w:t>
                  </w:r>
                </w:p>
              </w:tc>
              <w:tc>
                <w:tcPr>
                  <w:tcW w:w="526" w:type="pct"/>
                  <w:shd w:val="clear" w:color="auto" w:fill="auto"/>
                  <w:noWrap w:val="0"/>
                  <w:vAlign w:val="center"/>
                </w:tcPr>
                <w:p w14:paraId="4EAE0BBE">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26AC0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5ABCE9B9">
                  <w:pPr>
                    <w:pStyle w:val="136"/>
                    <w:rPr>
                      <w:color w:val="auto"/>
                      <w:spacing w:val="-4"/>
                    </w:rPr>
                  </w:pPr>
                  <w:r>
                    <w:rPr>
                      <w:rFonts w:hint="eastAsia"/>
                      <w:color w:val="auto"/>
                      <w:spacing w:val="-4"/>
                    </w:rPr>
                    <w:t>16</w:t>
                  </w:r>
                </w:p>
              </w:tc>
              <w:tc>
                <w:tcPr>
                  <w:tcW w:w="529" w:type="pct"/>
                  <w:vMerge w:val="continue"/>
                  <w:noWrap w:val="0"/>
                  <w:vAlign w:val="center"/>
                </w:tcPr>
                <w:p w14:paraId="7DA1D1BB">
                  <w:pPr>
                    <w:pStyle w:val="136"/>
                    <w:rPr>
                      <w:rFonts w:hint="eastAsia"/>
                      <w:color w:val="auto"/>
                      <w:spacing w:val="-4"/>
                    </w:rPr>
                  </w:pPr>
                </w:p>
              </w:tc>
              <w:tc>
                <w:tcPr>
                  <w:tcW w:w="812" w:type="pct"/>
                  <w:noWrap w:val="0"/>
                  <w:vAlign w:val="center"/>
                </w:tcPr>
                <w:p w14:paraId="08FCA439">
                  <w:pPr>
                    <w:pStyle w:val="136"/>
                    <w:rPr>
                      <w:rFonts w:hint="eastAsia"/>
                      <w:color w:val="auto"/>
                      <w:spacing w:val="-4"/>
                    </w:rPr>
                  </w:pPr>
                  <w:r>
                    <w:rPr>
                      <w:rFonts w:hint="eastAsia"/>
                      <w:color w:val="auto"/>
                      <w:spacing w:val="-4"/>
                    </w:rPr>
                    <w:t>配套消声器</w:t>
                  </w:r>
                </w:p>
              </w:tc>
              <w:tc>
                <w:tcPr>
                  <w:tcW w:w="570" w:type="pct"/>
                  <w:noWrap w:val="0"/>
                  <w:vAlign w:val="center"/>
                </w:tcPr>
                <w:p w14:paraId="0615442B">
                  <w:pPr>
                    <w:pStyle w:val="136"/>
                    <w:rPr>
                      <w:color w:val="auto"/>
                      <w:spacing w:val="-4"/>
                    </w:rPr>
                  </w:pPr>
                  <w:r>
                    <w:rPr>
                      <w:rFonts w:hint="eastAsia"/>
                      <w:color w:val="auto"/>
                      <w:spacing w:val="-4"/>
                    </w:rPr>
                    <w:t>6个</w:t>
                  </w:r>
                </w:p>
              </w:tc>
              <w:tc>
                <w:tcPr>
                  <w:tcW w:w="612" w:type="pct"/>
                  <w:shd w:val="clear" w:color="auto" w:fill="auto"/>
                  <w:noWrap w:val="0"/>
                  <w:vAlign w:val="center"/>
                </w:tcPr>
                <w:p w14:paraId="33CA664A">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6个</w:t>
                  </w:r>
                </w:p>
              </w:tc>
              <w:tc>
                <w:tcPr>
                  <w:tcW w:w="611" w:type="pct"/>
                  <w:noWrap w:val="0"/>
                  <w:vAlign w:val="center"/>
                </w:tcPr>
                <w:p w14:paraId="68754EF8">
                  <w:pPr>
                    <w:pStyle w:val="136"/>
                    <w:rPr>
                      <w:color w:val="auto"/>
                      <w:spacing w:val="-4"/>
                    </w:rPr>
                  </w:pPr>
                  <w:r>
                    <w:rPr>
                      <w:rFonts w:hint="eastAsia"/>
                      <w:color w:val="auto"/>
                      <w:spacing w:val="-4"/>
                    </w:rPr>
                    <w:t>/</w:t>
                  </w:r>
                </w:p>
              </w:tc>
              <w:tc>
                <w:tcPr>
                  <w:tcW w:w="1001" w:type="pct"/>
                  <w:noWrap w:val="0"/>
                  <w:vAlign w:val="center"/>
                </w:tcPr>
                <w:p w14:paraId="4EA1A6B7">
                  <w:pPr>
                    <w:pStyle w:val="136"/>
                    <w:rPr>
                      <w:color w:val="auto"/>
                      <w:spacing w:val="-4"/>
                    </w:rPr>
                  </w:pPr>
                  <w:r>
                    <w:rPr>
                      <w:rFonts w:hint="eastAsia"/>
                      <w:color w:val="auto"/>
                      <w:spacing w:val="-4"/>
                    </w:rPr>
                    <w:t>/</w:t>
                  </w:r>
                </w:p>
              </w:tc>
              <w:tc>
                <w:tcPr>
                  <w:tcW w:w="526" w:type="pct"/>
                  <w:shd w:val="clear" w:color="auto" w:fill="auto"/>
                  <w:noWrap w:val="0"/>
                  <w:vAlign w:val="center"/>
                </w:tcPr>
                <w:p w14:paraId="3C0DBE8A">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r w14:paraId="7932BB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40" w:hRule="atLeast"/>
                <w:tblHeader/>
                <w:jc w:val="center"/>
              </w:trPr>
              <w:tc>
                <w:tcPr>
                  <w:tcW w:w="335" w:type="pct"/>
                  <w:noWrap w:val="0"/>
                  <w:vAlign w:val="center"/>
                </w:tcPr>
                <w:p w14:paraId="411E2FE4">
                  <w:pPr>
                    <w:pStyle w:val="136"/>
                    <w:rPr>
                      <w:color w:val="auto"/>
                      <w:spacing w:val="-4"/>
                    </w:rPr>
                  </w:pPr>
                  <w:r>
                    <w:rPr>
                      <w:rFonts w:hint="eastAsia"/>
                      <w:color w:val="auto"/>
                      <w:spacing w:val="-4"/>
                    </w:rPr>
                    <w:t>17</w:t>
                  </w:r>
                </w:p>
              </w:tc>
              <w:tc>
                <w:tcPr>
                  <w:tcW w:w="529" w:type="pct"/>
                  <w:vMerge w:val="continue"/>
                  <w:noWrap w:val="0"/>
                  <w:vAlign w:val="center"/>
                </w:tcPr>
                <w:p w14:paraId="5B885D90">
                  <w:pPr>
                    <w:pStyle w:val="136"/>
                    <w:rPr>
                      <w:rFonts w:hint="eastAsia"/>
                      <w:color w:val="auto"/>
                      <w:spacing w:val="-4"/>
                    </w:rPr>
                  </w:pPr>
                </w:p>
              </w:tc>
              <w:tc>
                <w:tcPr>
                  <w:tcW w:w="812" w:type="pct"/>
                  <w:noWrap w:val="0"/>
                  <w:vAlign w:val="center"/>
                </w:tcPr>
                <w:p w14:paraId="06941D0A">
                  <w:pPr>
                    <w:pStyle w:val="136"/>
                    <w:rPr>
                      <w:rFonts w:hint="eastAsia"/>
                      <w:color w:val="auto"/>
                      <w:spacing w:val="-4"/>
                    </w:rPr>
                  </w:pPr>
                  <w:r>
                    <w:rPr>
                      <w:rFonts w:hint="eastAsia"/>
                      <w:color w:val="auto"/>
                      <w:spacing w:val="-4"/>
                    </w:rPr>
                    <w:t>配套散热器</w:t>
                  </w:r>
                </w:p>
              </w:tc>
              <w:tc>
                <w:tcPr>
                  <w:tcW w:w="570" w:type="pct"/>
                  <w:noWrap w:val="0"/>
                  <w:vAlign w:val="center"/>
                </w:tcPr>
                <w:p w14:paraId="3312B4BE">
                  <w:pPr>
                    <w:pStyle w:val="136"/>
                    <w:rPr>
                      <w:color w:val="auto"/>
                      <w:spacing w:val="-4"/>
                    </w:rPr>
                  </w:pPr>
                  <w:r>
                    <w:rPr>
                      <w:rFonts w:hint="eastAsia"/>
                      <w:color w:val="auto"/>
                      <w:spacing w:val="-4"/>
                    </w:rPr>
                    <w:t>6套</w:t>
                  </w:r>
                </w:p>
              </w:tc>
              <w:tc>
                <w:tcPr>
                  <w:tcW w:w="612" w:type="pct"/>
                  <w:shd w:val="clear" w:color="auto" w:fill="auto"/>
                  <w:noWrap w:val="0"/>
                  <w:vAlign w:val="center"/>
                </w:tcPr>
                <w:p w14:paraId="372CD83D">
                  <w:pPr>
                    <w:pStyle w:val="136"/>
                    <w:rPr>
                      <w:rFonts w:hint="eastAsia" w:ascii="Times New Roman" w:hAnsi="Times New Roman" w:eastAsia="宋体" w:cs="Times New Roman"/>
                      <w:color w:val="auto"/>
                      <w:spacing w:val="-4"/>
                      <w:kern w:val="2"/>
                      <w:sz w:val="18"/>
                      <w:szCs w:val="18"/>
                      <w:lang w:val="en-US" w:eastAsia="zh-CN" w:bidi="ar-SA"/>
                    </w:rPr>
                  </w:pPr>
                  <w:r>
                    <w:rPr>
                      <w:rFonts w:hint="eastAsia"/>
                      <w:color w:val="auto"/>
                      <w:spacing w:val="-4"/>
                    </w:rPr>
                    <w:t>6套</w:t>
                  </w:r>
                </w:p>
              </w:tc>
              <w:tc>
                <w:tcPr>
                  <w:tcW w:w="611" w:type="pct"/>
                  <w:noWrap w:val="0"/>
                  <w:vAlign w:val="center"/>
                </w:tcPr>
                <w:p w14:paraId="6224CDC7">
                  <w:pPr>
                    <w:pStyle w:val="136"/>
                    <w:rPr>
                      <w:color w:val="auto"/>
                      <w:spacing w:val="-4"/>
                    </w:rPr>
                  </w:pPr>
                  <w:r>
                    <w:rPr>
                      <w:rFonts w:hint="eastAsia"/>
                      <w:color w:val="auto"/>
                      <w:spacing w:val="-4"/>
                    </w:rPr>
                    <w:t>/</w:t>
                  </w:r>
                </w:p>
              </w:tc>
              <w:tc>
                <w:tcPr>
                  <w:tcW w:w="1001" w:type="pct"/>
                  <w:noWrap w:val="0"/>
                  <w:vAlign w:val="center"/>
                </w:tcPr>
                <w:p w14:paraId="5D0E3655">
                  <w:pPr>
                    <w:pStyle w:val="136"/>
                    <w:rPr>
                      <w:color w:val="auto"/>
                      <w:spacing w:val="-4"/>
                    </w:rPr>
                  </w:pPr>
                  <w:r>
                    <w:rPr>
                      <w:rFonts w:hint="eastAsia"/>
                      <w:color w:val="auto"/>
                      <w:spacing w:val="-4"/>
                    </w:rPr>
                    <w:t>/</w:t>
                  </w:r>
                </w:p>
              </w:tc>
              <w:tc>
                <w:tcPr>
                  <w:tcW w:w="526" w:type="pct"/>
                  <w:shd w:val="clear" w:color="auto" w:fill="auto"/>
                  <w:noWrap w:val="0"/>
                  <w:vAlign w:val="center"/>
                </w:tcPr>
                <w:p w14:paraId="4DEFEEA5">
                  <w:pPr>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无变化</w:t>
                  </w:r>
                </w:p>
              </w:tc>
            </w:tr>
          </w:tbl>
          <w:p w14:paraId="6006FF2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p>
          <w:p w14:paraId="4634ED8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2.</w:t>
            </w:r>
            <w:r>
              <w:rPr>
                <w:rFonts w:hint="eastAsia" w:ascii="Times New Roman" w:hAnsi="Times New Roman" w:eastAsia="黑体" w:cs="Times New Roman"/>
                <w:b/>
                <w:color w:val="auto"/>
                <w:sz w:val="24"/>
                <w:szCs w:val="24"/>
                <w:highlight w:val="none"/>
                <w:lang w:val="en-US" w:eastAsia="zh-CN"/>
              </w:rPr>
              <w:t>7</w:t>
            </w:r>
            <w:r>
              <w:rPr>
                <w:rFonts w:hint="eastAsia" w:ascii="Times New Roman" w:hAnsi="Times New Roman" w:eastAsia="黑体" w:cs="Times New Roman"/>
                <w:b/>
                <w:color w:val="auto"/>
                <w:sz w:val="24"/>
                <w:szCs w:val="24"/>
                <w:highlight w:val="none"/>
              </w:rPr>
              <w:t>主要原辅材料</w:t>
            </w:r>
          </w:p>
          <w:p w14:paraId="2CF649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Theme="minorEastAsia"/>
                <w:color w:val="auto"/>
                <w:sz w:val="24"/>
                <w:highlight w:val="none"/>
              </w:rPr>
            </w:pPr>
            <w:r>
              <w:rPr>
                <w:rFonts w:eastAsiaTheme="minorEastAsia"/>
                <w:color w:val="auto"/>
                <w:sz w:val="24"/>
                <w:highlight w:val="none"/>
              </w:rPr>
              <w:t>项目主要</w:t>
            </w:r>
            <w:r>
              <w:rPr>
                <w:rFonts w:hint="eastAsia" w:eastAsiaTheme="minorEastAsia"/>
                <w:color w:val="auto"/>
                <w:sz w:val="24"/>
                <w:highlight w:val="none"/>
              </w:rPr>
              <w:t>原辅材料</w:t>
            </w:r>
            <w:r>
              <w:rPr>
                <w:rFonts w:eastAsiaTheme="minorEastAsia"/>
                <w:color w:val="auto"/>
                <w:sz w:val="24"/>
                <w:highlight w:val="none"/>
              </w:rPr>
              <w:t>见</w:t>
            </w:r>
            <w:r>
              <w:rPr>
                <w:rFonts w:hint="eastAsia" w:eastAsiaTheme="minorEastAsia"/>
                <w:color w:val="auto"/>
                <w:sz w:val="24"/>
                <w:highlight w:val="none"/>
              </w:rPr>
              <w:t>下</w:t>
            </w:r>
            <w:r>
              <w:rPr>
                <w:rFonts w:eastAsiaTheme="minorEastAsia"/>
                <w:color w:val="auto"/>
                <w:sz w:val="24"/>
                <w:highlight w:val="none"/>
              </w:rPr>
              <w:t>表。</w:t>
            </w:r>
          </w:p>
          <w:p w14:paraId="054B28AB">
            <w:pPr>
              <w:pStyle w:val="121"/>
              <w:tabs>
                <w:tab w:val="clear" w:pos="680"/>
              </w:tabs>
              <w:rPr>
                <w:color w:val="auto"/>
              </w:rPr>
            </w:pPr>
            <w:r>
              <w:rPr>
                <w:rFonts w:hint="eastAsia" w:ascii="Times New Roman" w:hAnsi="Times New Roman" w:cs="Times New Roman"/>
                <w:color w:val="auto"/>
                <w:sz w:val="21"/>
                <w:highlight w:val="none"/>
                <w:lang w:eastAsia="zh-CN"/>
              </w:rPr>
              <w:t>续建工程主要原辅材料及燃料消耗情况一览表</w:t>
            </w:r>
          </w:p>
          <w:tbl>
            <w:tblPr>
              <w:tblStyle w:val="29"/>
              <w:tblW w:w="493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85"/>
              <w:gridCol w:w="1119"/>
              <w:gridCol w:w="1115"/>
              <w:gridCol w:w="616"/>
              <w:gridCol w:w="1239"/>
              <w:gridCol w:w="1241"/>
              <w:gridCol w:w="1251"/>
              <w:gridCol w:w="1190"/>
              <w:gridCol w:w="691"/>
            </w:tblGrid>
            <w:tr w14:paraId="3CA645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1" w:type="pct"/>
                  <w:vMerge w:val="restart"/>
                  <w:noWrap w:val="0"/>
                  <w:vAlign w:val="center"/>
                </w:tcPr>
                <w:p w14:paraId="501FAC51">
                  <w:pPr>
                    <w:pStyle w:val="107"/>
                    <w:rPr>
                      <w:b/>
                      <w:bCs/>
                      <w:color w:val="auto"/>
                    </w:rPr>
                  </w:pPr>
                  <w:r>
                    <w:rPr>
                      <w:b/>
                      <w:bCs/>
                      <w:color w:val="auto"/>
                    </w:rPr>
                    <w:t>序号</w:t>
                  </w:r>
                </w:p>
              </w:tc>
              <w:tc>
                <w:tcPr>
                  <w:tcW w:w="625" w:type="pct"/>
                  <w:vMerge w:val="restart"/>
                  <w:noWrap w:val="0"/>
                  <w:vAlign w:val="center"/>
                </w:tcPr>
                <w:p w14:paraId="29A80021">
                  <w:pPr>
                    <w:pStyle w:val="107"/>
                    <w:rPr>
                      <w:b/>
                      <w:bCs/>
                      <w:color w:val="auto"/>
                    </w:rPr>
                  </w:pPr>
                  <w:r>
                    <w:rPr>
                      <w:b/>
                      <w:bCs/>
                      <w:color w:val="auto"/>
                    </w:rPr>
                    <w:t>原辅材料名称</w:t>
                  </w:r>
                </w:p>
              </w:tc>
              <w:tc>
                <w:tcPr>
                  <w:tcW w:w="623" w:type="pct"/>
                  <w:vMerge w:val="restart"/>
                  <w:noWrap w:val="0"/>
                  <w:vAlign w:val="center"/>
                </w:tcPr>
                <w:p w14:paraId="5D2C580F">
                  <w:pPr>
                    <w:pStyle w:val="107"/>
                    <w:rPr>
                      <w:b/>
                      <w:bCs/>
                      <w:color w:val="auto"/>
                    </w:rPr>
                  </w:pPr>
                  <w:r>
                    <w:rPr>
                      <w:b/>
                      <w:bCs/>
                      <w:color w:val="auto"/>
                    </w:rPr>
                    <w:t>包装方式及规格</w:t>
                  </w:r>
                </w:p>
              </w:tc>
              <w:tc>
                <w:tcPr>
                  <w:tcW w:w="344" w:type="pct"/>
                  <w:vMerge w:val="restart"/>
                  <w:noWrap w:val="0"/>
                  <w:vAlign w:val="center"/>
                </w:tcPr>
                <w:p w14:paraId="06CF7BDF">
                  <w:pPr>
                    <w:pStyle w:val="107"/>
                    <w:rPr>
                      <w:b/>
                      <w:bCs/>
                      <w:color w:val="auto"/>
                    </w:rPr>
                  </w:pPr>
                  <w:r>
                    <w:rPr>
                      <w:b/>
                      <w:bCs/>
                      <w:color w:val="auto"/>
                    </w:rPr>
                    <w:t>性状</w:t>
                  </w:r>
                </w:p>
              </w:tc>
              <w:tc>
                <w:tcPr>
                  <w:tcW w:w="1385" w:type="pct"/>
                  <w:gridSpan w:val="2"/>
                  <w:tcBorders>
                    <w:bottom w:val="single" w:color="auto" w:sz="4" w:space="0"/>
                  </w:tcBorders>
                  <w:noWrap w:val="0"/>
                  <w:vAlign w:val="center"/>
                </w:tcPr>
                <w:p w14:paraId="0213575D">
                  <w:pPr>
                    <w:pStyle w:val="107"/>
                    <w:rPr>
                      <w:b/>
                      <w:bCs/>
                      <w:color w:val="auto"/>
                    </w:rPr>
                  </w:pPr>
                  <w:r>
                    <w:rPr>
                      <w:b/>
                      <w:bCs/>
                      <w:color w:val="auto"/>
                    </w:rPr>
                    <w:t>年消耗量（</w:t>
                  </w:r>
                  <w:r>
                    <w:rPr>
                      <w:rFonts w:hint="eastAsia"/>
                      <w:b/>
                      <w:bCs/>
                      <w:color w:val="auto"/>
                    </w:rPr>
                    <w:t>t</w:t>
                  </w:r>
                  <w:r>
                    <w:rPr>
                      <w:b/>
                      <w:bCs/>
                      <w:color w:val="auto"/>
                    </w:rPr>
                    <w:t>/a）</w:t>
                  </w:r>
                </w:p>
              </w:tc>
              <w:tc>
                <w:tcPr>
                  <w:tcW w:w="699" w:type="pct"/>
                  <w:vMerge w:val="restart"/>
                  <w:noWrap w:val="0"/>
                  <w:vAlign w:val="center"/>
                </w:tcPr>
                <w:p w14:paraId="3FC18539">
                  <w:pPr>
                    <w:pStyle w:val="107"/>
                    <w:rPr>
                      <w:b/>
                      <w:bCs/>
                      <w:color w:val="auto"/>
                    </w:rPr>
                  </w:pPr>
                  <w:r>
                    <w:rPr>
                      <w:b/>
                      <w:bCs/>
                      <w:color w:val="auto"/>
                    </w:rPr>
                    <w:t>主要成分</w:t>
                  </w:r>
                </w:p>
              </w:tc>
              <w:tc>
                <w:tcPr>
                  <w:tcW w:w="665" w:type="pct"/>
                  <w:vMerge w:val="restart"/>
                  <w:noWrap w:val="0"/>
                  <w:vAlign w:val="center"/>
                </w:tcPr>
                <w:p w14:paraId="4A43EA96">
                  <w:pPr>
                    <w:pStyle w:val="107"/>
                    <w:rPr>
                      <w:b/>
                      <w:bCs/>
                      <w:color w:val="auto"/>
                    </w:rPr>
                  </w:pPr>
                  <w:r>
                    <w:rPr>
                      <w:b/>
                      <w:bCs/>
                      <w:color w:val="auto"/>
                    </w:rPr>
                    <w:t>最大储存量（t/a）</w:t>
                  </w:r>
                </w:p>
              </w:tc>
              <w:tc>
                <w:tcPr>
                  <w:tcW w:w="386" w:type="pct"/>
                  <w:vMerge w:val="restart"/>
                  <w:noWrap w:val="0"/>
                  <w:vAlign w:val="center"/>
                </w:tcPr>
                <w:p w14:paraId="3CB0A5A8">
                  <w:pPr>
                    <w:pStyle w:val="107"/>
                    <w:rPr>
                      <w:b/>
                      <w:bCs/>
                      <w:color w:val="auto"/>
                    </w:rPr>
                  </w:pPr>
                  <w:r>
                    <w:rPr>
                      <w:b/>
                      <w:bCs/>
                      <w:color w:val="auto"/>
                    </w:rPr>
                    <w:t>储存场所</w:t>
                  </w:r>
                </w:p>
              </w:tc>
            </w:tr>
            <w:tr w14:paraId="194E21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1" w:type="pct"/>
                  <w:vMerge w:val="continue"/>
                  <w:tcBorders>
                    <w:bottom w:val="single" w:color="auto" w:sz="12" w:space="0"/>
                  </w:tcBorders>
                  <w:noWrap w:val="0"/>
                  <w:vAlign w:val="center"/>
                </w:tcPr>
                <w:p w14:paraId="5AB0E00D">
                  <w:pPr>
                    <w:pStyle w:val="107"/>
                    <w:rPr>
                      <w:color w:val="auto"/>
                    </w:rPr>
                  </w:pPr>
                </w:p>
              </w:tc>
              <w:tc>
                <w:tcPr>
                  <w:tcW w:w="625" w:type="pct"/>
                  <w:vMerge w:val="continue"/>
                  <w:tcBorders>
                    <w:bottom w:val="single" w:color="auto" w:sz="12" w:space="0"/>
                  </w:tcBorders>
                  <w:noWrap w:val="0"/>
                  <w:vAlign w:val="center"/>
                </w:tcPr>
                <w:p w14:paraId="51FDF58A">
                  <w:pPr>
                    <w:pStyle w:val="107"/>
                    <w:rPr>
                      <w:color w:val="auto"/>
                    </w:rPr>
                  </w:pPr>
                </w:p>
              </w:tc>
              <w:tc>
                <w:tcPr>
                  <w:tcW w:w="623" w:type="pct"/>
                  <w:vMerge w:val="continue"/>
                  <w:tcBorders>
                    <w:bottom w:val="single" w:color="auto" w:sz="12" w:space="0"/>
                  </w:tcBorders>
                  <w:noWrap w:val="0"/>
                  <w:vAlign w:val="center"/>
                </w:tcPr>
                <w:p w14:paraId="163689FC">
                  <w:pPr>
                    <w:pStyle w:val="107"/>
                    <w:rPr>
                      <w:color w:val="auto"/>
                    </w:rPr>
                  </w:pPr>
                </w:p>
              </w:tc>
              <w:tc>
                <w:tcPr>
                  <w:tcW w:w="344" w:type="pct"/>
                  <w:vMerge w:val="continue"/>
                  <w:tcBorders>
                    <w:bottom w:val="single" w:color="auto" w:sz="12" w:space="0"/>
                  </w:tcBorders>
                  <w:noWrap w:val="0"/>
                  <w:vAlign w:val="center"/>
                </w:tcPr>
                <w:p w14:paraId="33803AB4">
                  <w:pPr>
                    <w:pStyle w:val="107"/>
                    <w:rPr>
                      <w:color w:val="auto"/>
                    </w:rPr>
                  </w:pPr>
                </w:p>
              </w:tc>
              <w:tc>
                <w:tcPr>
                  <w:tcW w:w="692" w:type="pct"/>
                  <w:tcBorders>
                    <w:top w:val="single" w:color="auto" w:sz="4" w:space="0"/>
                    <w:bottom w:val="single" w:color="auto" w:sz="12" w:space="0"/>
                  </w:tcBorders>
                  <w:shd w:val="clear" w:color="auto" w:fill="auto"/>
                  <w:noWrap w:val="0"/>
                  <w:vAlign w:val="center"/>
                </w:tcPr>
                <w:p w14:paraId="19AEF5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2"/>
                      <w:sz w:val="18"/>
                      <w:szCs w:val="18"/>
                      <w:highlight w:val="none"/>
                      <w:lang w:val="en-US" w:eastAsia="zh-CN" w:bidi="ar-SA"/>
                    </w:rPr>
                  </w:pPr>
                  <w:r>
                    <w:rPr>
                      <w:rFonts w:hint="eastAsia"/>
                      <w:b/>
                      <w:bCs/>
                      <w:color w:val="auto"/>
                      <w:sz w:val="18"/>
                      <w:szCs w:val="18"/>
                      <w:highlight w:val="none"/>
                    </w:rPr>
                    <w:t>环评</w:t>
                  </w:r>
                  <w:r>
                    <w:rPr>
                      <w:rFonts w:hint="eastAsia"/>
                      <w:b/>
                      <w:bCs/>
                      <w:color w:val="auto"/>
                      <w:sz w:val="18"/>
                      <w:szCs w:val="18"/>
                      <w:highlight w:val="none"/>
                      <w:lang w:eastAsia="zh-CN"/>
                    </w:rPr>
                    <w:t>阶段</w:t>
                  </w:r>
                </w:p>
              </w:tc>
              <w:tc>
                <w:tcPr>
                  <w:tcW w:w="692" w:type="pct"/>
                  <w:tcBorders>
                    <w:top w:val="single" w:color="auto" w:sz="4" w:space="0"/>
                    <w:bottom w:val="single" w:color="auto" w:sz="12" w:space="0"/>
                  </w:tcBorders>
                  <w:shd w:val="clear" w:color="auto" w:fill="auto"/>
                  <w:noWrap w:val="0"/>
                  <w:vAlign w:val="center"/>
                </w:tcPr>
                <w:p w14:paraId="69F4F727">
                  <w:pPr>
                    <w:pStyle w:val="136"/>
                    <w:rPr>
                      <w:rFonts w:hint="eastAsia"/>
                      <w:b/>
                      <w:color w:val="auto"/>
                    </w:rPr>
                  </w:pPr>
                  <w:r>
                    <w:rPr>
                      <w:rFonts w:hint="eastAsia"/>
                      <w:b/>
                      <w:bCs/>
                      <w:color w:val="auto"/>
                      <w:lang w:eastAsia="zh-CN"/>
                    </w:rPr>
                    <w:t>实际情况</w:t>
                  </w:r>
                </w:p>
              </w:tc>
              <w:tc>
                <w:tcPr>
                  <w:tcW w:w="699" w:type="pct"/>
                  <w:vMerge w:val="continue"/>
                  <w:tcBorders>
                    <w:bottom w:val="single" w:color="auto" w:sz="12" w:space="0"/>
                  </w:tcBorders>
                  <w:noWrap w:val="0"/>
                  <w:vAlign w:val="center"/>
                </w:tcPr>
                <w:p w14:paraId="4A2376E1">
                  <w:pPr>
                    <w:pStyle w:val="107"/>
                    <w:rPr>
                      <w:color w:val="auto"/>
                    </w:rPr>
                  </w:pPr>
                </w:p>
              </w:tc>
              <w:tc>
                <w:tcPr>
                  <w:tcW w:w="665" w:type="pct"/>
                  <w:vMerge w:val="continue"/>
                  <w:tcBorders>
                    <w:bottom w:val="single" w:color="auto" w:sz="12" w:space="0"/>
                  </w:tcBorders>
                  <w:noWrap w:val="0"/>
                  <w:vAlign w:val="center"/>
                </w:tcPr>
                <w:p w14:paraId="598475E3">
                  <w:pPr>
                    <w:pStyle w:val="107"/>
                    <w:rPr>
                      <w:color w:val="auto"/>
                    </w:rPr>
                  </w:pPr>
                </w:p>
              </w:tc>
              <w:tc>
                <w:tcPr>
                  <w:tcW w:w="386" w:type="pct"/>
                  <w:vMerge w:val="continue"/>
                  <w:tcBorders>
                    <w:bottom w:val="single" w:color="auto" w:sz="12" w:space="0"/>
                  </w:tcBorders>
                  <w:noWrap w:val="0"/>
                  <w:vAlign w:val="center"/>
                </w:tcPr>
                <w:p w14:paraId="53FC07BA">
                  <w:pPr>
                    <w:pStyle w:val="107"/>
                    <w:rPr>
                      <w:color w:val="auto"/>
                    </w:rPr>
                  </w:pPr>
                </w:p>
              </w:tc>
            </w:tr>
            <w:tr w14:paraId="6F051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6D8DEC08">
                  <w:pPr>
                    <w:pStyle w:val="107"/>
                    <w:rPr>
                      <w:color w:val="auto"/>
                    </w:rPr>
                  </w:pPr>
                  <w:r>
                    <w:rPr>
                      <w:color w:val="auto"/>
                    </w:rPr>
                    <w:t>1</w:t>
                  </w:r>
                </w:p>
              </w:tc>
              <w:tc>
                <w:tcPr>
                  <w:tcW w:w="625" w:type="pct"/>
                  <w:noWrap w:val="0"/>
                  <w:vAlign w:val="center"/>
                </w:tcPr>
                <w:p w14:paraId="24405FD6">
                  <w:pPr>
                    <w:adjustRightInd w:val="0"/>
                    <w:snapToGrid w:val="0"/>
                    <w:jc w:val="center"/>
                    <w:rPr>
                      <w:color w:val="auto"/>
                    </w:rPr>
                  </w:pPr>
                  <w:r>
                    <w:rPr>
                      <w:rFonts w:hint="eastAsia"/>
                      <w:color w:val="auto"/>
                      <w:kern w:val="0"/>
                      <w:sz w:val="18"/>
                      <w:szCs w:val="18"/>
                    </w:rPr>
                    <w:t>填埋气</w:t>
                  </w:r>
                </w:p>
              </w:tc>
              <w:tc>
                <w:tcPr>
                  <w:tcW w:w="623" w:type="pct"/>
                  <w:noWrap w:val="0"/>
                  <w:vAlign w:val="center"/>
                </w:tcPr>
                <w:p w14:paraId="31108D49">
                  <w:pPr>
                    <w:pStyle w:val="107"/>
                    <w:snapToGrid w:val="0"/>
                    <w:rPr>
                      <w:color w:val="auto"/>
                    </w:rPr>
                  </w:pPr>
                  <w:r>
                    <w:rPr>
                      <w:rFonts w:hint="eastAsia"/>
                      <w:color w:val="auto"/>
                    </w:rPr>
                    <w:t>管道输送</w:t>
                  </w:r>
                </w:p>
              </w:tc>
              <w:tc>
                <w:tcPr>
                  <w:tcW w:w="344" w:type="pct"/>
                  <w:noWrap w:val="0"/>
                  <w:vAlign w:val="center"/>
                </w:tcPr>
                <w:p w14:paraId="51F76535">
                  <w:pPr>
                    <w:pStyle w:val="107"/>
                    <w:snapToGrid w:val="0"/>
                    <w:rPr>
                      <w:rFonts w:hint="eastAsia"/>
                      <w:color w:val="auto"/>
                    </w:rPr>
                  </w:pPr>
                  <w:r>
                    <w:rPr>
                      <w:rFonts w:hint="eastAsia"/>
                      <w:color w:val="auto"/>
                    </w:rPr>
                    <w:t>气态</w:t>
                  </w:r>
                </w:p>
              </w:tc>
              <w:tc>
                <w:tcPr>
                  <w:tcW w:w="692" w:type="pct"/>
                  <w:tcBorders>
                    <w:top w:val="single" w:color="auto" w:sz="12" w:space="0"/>
                  </w:tcBorders>
                  <w:shd w:val="clear" w:color="auto" w:fill="auto"/>
                  <w:noWrap w:val="0"/>
                  <w:vAlign w:val="center"/>
                </w:tcPr>
                <w:p w14:paraId="62FD8826">
                  <w:pPr>
                    <w:pStyle w:val="107"/>
                    <w:rPr>
                      <w:rFonts w:ascii="Times New Roman" w:hAnsi="Times New Roman" w:eastAsia="宋体" w:cs="Times New Roman"/>
                      <w:color w:val="auto"/>
                      <w:kern w:val="2"/>
                      <w:sz w:val="18"/>
                      <w:szCs w:val="18"/>
                      <w:lang w:val="en-US" w:eastAsia="zh-CN" w:bidi="ar-SA"/>
                    </w:rPr>
                  </w:pPr>
                  <w:r>
                    <w:rPr>
                      <w:rFonts w:hint="eastAsia"/>
                      <w:color w:val="auto"/>
                    </w:rPr>
                    <w:t>2044.2</w:t>
                  </w:r>
                  <w:r>
                    <w:rPr>
                      <w:rFonts w:hint="eastAsia"/>
                      <w:color w:val="auto"/>
                      <w:szCs w:val="18"/>
                    </w:rPr>
                    <w:t>万Nm</w:t>
                  </w:r>
                  <w:r>
                    <w:rPr>
                      <w:rFonts w:hint="eastAsia"/>
                      <w:color w:val="auto"/>
                      <w:szCs w:val="18"/>
                      <w:vertAlign w:val="superscript"/>
                    </w:rPr>
                    <w:t>3</w:t>
                  </w:r>
                  <w:r>
                    <w:rPr>
                      <w:rFonts w:hint="eastAsia"/>
                      <w:color w:val="auto"/>
                      <w:szCs w:val="18"/>
                    </w:rPr>
                    <w:t>/a</w:t>
                  </w:r>
                </w:p>
              </w:tc>
              <w:tc>
                <w:tcPr>
                  <w:tcW w:w="692" w:type="pct"/>
                  <w:tcBorders>
                    <w:top w:val="single" w:color="auto" w:sz="12" w:space="0"/>
                  </w:tcBorders>
                  <w:noWrap w:val="0"/>
                  <w:vAlign w:val="center"/>
                </w:tcPr>
                <w:p w14:paraId="2D29C804">
                  <w:pPr>
                    <w:pStyle w:val="107"/>
                    <w:rPr>
                      <w:color w:val="auto"/>
                    </w:rPr>
                  </w:pPr>
                  <w:r>
                    <w:rPr>
                      <w:rFonts w:hint="eastAsia"/>
                      <w:color w:val="auto"/>
                    </w:rPr>
                    <w:t>2044.2</w:t>
                  </w:r>
                  <w:r>
                    <w:rPr>
                      <w:rFonts w:hint="eastAsia"/>
                      <w:color w:val="auto"/>
                      <w:szCs w:val="18"/>
                    </w:rPr>
                    <w:t>万Nm</w:t>
                  </w:r>
                  <w:r>
                    <w:rPr>
                      <w:rFonts w:hint="eastAsia"/>
                      <w:color w:val="auto"/>
                      <w:szCs w:val="18"/>
                      <w:vertAlign w:val="superscript"/>
                    </w:rPr>
                    <w:t>3</w:t>
                  </w:r>
                  <w:r>
                    <w:rPr>
                      <w:rFonts w:hint="eastAsia"/>
                      <w:color w:val="auto"/>
                      <w:szCs w:val="18"/>
                    </w:rPr>
                    <w:t>/a</w:t>
                  </w:r>
                </w:p>
              </w:tc>
              <w:tc>
                <w:tcPr>
                  <w:tcW w:w="699" w:type="pct"/>
                  <w:noWrap w:val="0"/>
                  <w:vAlign w:val="center"/>
                </w:tcPr>
                <w:p w14:paraId="13B56562">
                  <w:pPr>
                    <w:pStyle w:val="107"/>
                    <w:snapToGrid w:val="0"/>
                    <w:rPr>
                      <w:color w:val="auto"/>
                    </w:rPr>
                  </w:pPr>
                  <w:r>
                    <w:rPr>
                      <w:color w:val="auto"/>
                      <w:lang w:bidi="ar"/>
                    </w:rPr>
                    <w:t>氨气、甲烷、二氧化碳、一氧化碳、氮气、氢气、硫化氢和氧气</w:t>
                  </w:r>
                  <w:r>
                    <w:rPr>
                      <w:rFonts w:hint="eastAsia"/>
                      <w:color w:val="auto"/>
                      <w:lang w:bidi="ar"/>
                    </w:rPr>
                    <w:t>等</w:t>
                  </w:r>
                </w:p>
              </w:tc>
              <w:tc>
                <w:tcPr>
                  <w:tcW w:w="665" w:type="pct"/>
                  <w:noWrap w:val="0"/>
                  <w:vAlign w:val="center"/>
                </w:tcPr>
                <w:p w14:paraId="5FC889CB">
                  <w:pPr>
                    <w:pStyle w:val="107"/>
                    <w:snapToGrid w:val="0"/>
                    <w:rPr>
                      <w:color w:val="auto"/>
                    </w:rPr>
                  </w:pPr>
                  <w:r>
                    <w:rPr>
                      <w:rFonts w:hint="eastAsia"/>
                      <w:color w:val="auto"/>
                    </w:rPr>
                    <w:t>0.314</w:t>
                  </w:r>
                </w:p>
              </w:tc>
              <w:tc>
                <w:tcPr>
                  <w:tcW w:w="386" w:type="pct"/>
                  <w:noWrap w:val="0"/>
                  <w:vAlign w:val="center"/>
                </w:tcPr>
                <w:p w14:paraId="2C3CEEFE">
                  <w:pPr>
                    <w:pStyle w:val="107"/>
                    <w:snapToGrid w:val="0"/>
                    <w:rPr>
                      <w:rFonts w:hint="eastAsia"/>
                      <w:color w:val="auto"/>
                    </w:rPr>
                  </w:pPr>
                  <w:r>
                    <w:rPr>
                      <w:rFonts w:hint="eastAsia"/>
                      <w:color w:val="auto"/>
                    </w:rPr>
                    <w:t>集气站</w:t>
                  </w:r>
                </w:p>
              </w:tc>
            </w:tr>
            <w:tr w14:paraId="5BC6C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767A6FA6">
                  <w:pPr>
                    <w:pStyle w:val="107"/>
                    <w:rPr>
                      <w:color w:val="auto"/>
                    </w:rPr>
                  </w:pPr>
                  <w:r>
                    <w:rPr>
                      <w:color w:val="auto"/>
                    </w:rPr>
                    <w:t>2</w:t>
                  </w:r>
                </w:p>
              </w:tc>
              <w:tc>
                <w:tcPr>
                  <w:tcW w:w="625" w:type="pct"/>
                  <w:noWrap w:val="0"/>
                  <w:vAlign w:val="center"/>
                </w:tcPr>
                <w:p w14:paraId="3FBB4908">
                  <w:pPr>
                    <w:adjustRightInd w:val="0"/>
                    <w:snapToGrid w:val="0"/>
                    <w:jc w:val="center"/>
                    <w:rPr>
                      <w:color w:val="auto"/>
                    </w:rPr>
                  </w:pPr>
                  <w:r>
                    <w:rPr>
                      <w:rFonts w:hint="eastAsia"/>
                      <w:color w:val="auto"/>
                      <w:kern w:val="0"/>
                      <w:sz w:val="18"/>
                      <w:szCs w:val="18"/>
                    </w:rPr>
                    <w:t>矿物油</w:t>
                  </w:r>
                </w:p>
              </w:tc>
              <w:tc>
                <w:tcPr>
                  <w:tcW w:w="623" w:type="pct"/>
                  <w:noWrap w:val="0"/>
                  <w:vAlign w:val="center"/>
                </w:tcPr>
                <w:p w14:paraId="76B5BE9E">
                  <w:pPr>
                    <w:pStyle w:val="107"/>
                    <w:snapToGrid w:val="0"/>
                    <w:rPr>
                      <w:rFonts w:hint="eastAsia"/>
                      <w:color w:val="auto"/>
                    </w:rPr>
                  </w:pPr>
                  <w:r>
                    <w:rPr>
                      <w:rFonts w:hint="eastAsia"/>
                      <w:color w:val="auto"/>
                    </w:rPr>
                    <w:t>桶装</w:t>
                  </w:r>
                </w:p>
              </w:tc>
              <w:tc>
                <w:tcPr>
                  <w:tcW w:w="344" w:type="pct"/>
                  <w:noWrap w:val="0"/>
                  <w:vAlign w:val="center"/>
                </w:tcPr>
                <w:p w14:paraId="38267A86">
                  <w:pPr>
                    <w:pStyle w:val="107"/>
                    <w:snapToGrid w:val="0"/>
                    <w:rPr>
                      <w:color w:val="auto"/>
                    </w:rPr>
                  </w:pPr>
                  <w:r>
                    <w:rPr>
                      <w:color w:val="auto"/>
                    </w:rPr>
                    <w:t>液态</w:t>
                  </w:r>
                </w:p>
              </w:tc>
              <w:tc>
                <w:tcPr>
                  <w:tcW w:w="692" w:type="pct"/>
                  <w:shd w:val="clear" w:color="auto" w:fill="auto"/>
                  <w:noWrap w:val="0"/>
                  <w:vAlign w:val="center"/>
                </w:tcPr>
                <w:p w14:paraId="72BD6254">
                  <w:pPr>
                    <w:pStyle w:val="107"/>
                    <w:rPr>
                      <w:rFonts w:hint="eastAsia" w:ascii="Times New Roman" w:hAnsi="Times New Roman" w:eastAsia="宋体" w:cs="Times New Roman"/>
                      <w:color w:val="auto"/>
                      <w:kern w:val="2"/>
                      <w:sz w:val="18"/>
                      <w:szCs w:val="18"/>
                      <w:lang w:val="en-US" w:eastAsia="zh-CN" w:bidi="ar-SA"/>
                    </w:rPr>
                  </w:pPr>
                  <w:r>
                    <w:rPr>
                      <w:rFonts w:hint="eastAsia"/>
                      <w:color w:val="auto"/>
                    </w:rPr>
                    <w:t>2</w:t>
                  </w:r>
                </w:p>
              </w:tc>
              <w:tc>
                <w:tcPr>
                  <w:tcW w:w="692" w:type="pct"/>
                  <w:noWrap w:val="0"/>
                  <w:vAlign w:val="center"/>
                </w:tcPr>
                <w:p w14:paraId="3DD427E7">
                  <w:pPr>
                    <w:pStyle w:val="107"/>
                    <w:rPr>
                      <w:rFonts w:hint="eastAsia"/>
                      <w:color w:val="auto"/>
                    </w:rPr>
                  </w:pPr>
                  <w:r>
                    <w:rPr>
                      <w:rFonts w:hint="eastAsia"/>
                      <w:color w:val="auto"/>
                    </w:rPr>
                    <w:t>2</w:t>
                  </w:r>
                </w:p>
              </w:tc>
              <w:tc>
                <w:tcPr>
                  <w:tcW w:w="699" w:type="pct"/>
                  <w:noWrap w:val="0"/>
                  <w:vAlign w:val="center"/>
                </w:tcPr>
                <w:p w14:paraId="2B3D2C71">
                  <w:pPr>
                    <w:pStyle w:val="107"/>
                    <w:snapToGrid w:val="0"/>
                    <w:rPr>
                      <w:color w:val="auto"/>
                    </w:rPr>
                  </w:pPr>
                  <w:r>
                    <w:rPr>
                      <w:color w:val="auto"/>
                    </w:rPr>
                    <w:t>烷烃、芳烃、环烷烃、部分烯烃</w:t>
                  </w:r>
                </w:p>
              </w:tc>
              <w:tc>
                <w:tcPr>
                  <w:tcW w:w="665" w:type="pct"/>
                  <w:noWrap w:val="0"/>
                  <w:vAlign w:val="center"/>
                </w:tcPr>
                <w:p w14:paraId="6D93C69F">
                  <w:pPr>
                    <w:pStyle w:val="107"/>
                    <w:snapToGrid w:val="0"/>
                    <w:rPr>
                      <w:rFonts w:hint="eastAsia"/>
                      <w:color w:val="auto"/>
                    </w:rPr>
                  </w:pPr>
                  <w:r>
                    <w:rPr>
                      <w:rFonts w:hint="eastAsia"/>
                      <w:color w:val="auto"/>
                    </w:rPr>
                    <w:t>1</w:t>
                  </w:r>
                </w:p>
              </w:tc>
              <w:tc>
                <w:tcPr>
                  <w:tcW w:w="386" w:type="pct"/>
                  <w:noWrap w:val="0"/>
                  <w:vAlign w:val="center"/>
                </w:tcPr>
                <w:p w14:paraId="300DA4FC">
                  <w:pPr>
                    <w:pStyle w:val="107"/>
                    <w:snapToGrid w:val="0"/>
                    <w:rPr>
                      <w:color w:val="auto"/>
                    </w:rPr>
                  </w:pPr>
                  <w:r>
                    <w:rPr>
                      <w:rFonts w:hint="eastAsia"/>
                      <w:color w:val="auto"/>
                    </w:rPr>
                    <w:t>仓</w:t>
                  </w:r>
                  <w:r>
                    <w:rPr>
                      <w:color w:val="auto"/>
                    </w:rPr>
                    <w:t>库</w:t>
                  </w:r>
                </w:p>
              </w:tc>
            </w:tr>
            <w:tr w14:paraId="22B03E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2AD7BDFF">
                  <w:pPr>
                    <w:pStyle w:val="107"/>
                    <w:rPr>
                      <w:color w:val="auto"/>
                    </w:rPr>
                  </w:pPr>
                  <w:r>
                    <w:rPr>
                      <w:color w:val="auto"/>
                    </w:rPr>
                    <w:t>3</w:t>
                  </w:r>
                </w:p>
              </w:tc>
              <w:tc>
                <w:tcPr>
                  <w:tcW w:w="625" w:type="pct"/>
                  <w:noWrap w:val="0"/>
                  <w:vAlign w:val="center"/>
                </w:tcPr>
                <w:p w14:paraId="7DF162FE">
                  <w:pPr>
                    <w:adjustRightInd w:val="0"/>
                    <w:snapToGrid w:val="0"/>
                    <w:jc w:val="center"/>
                    <w:rPr>
                      <w:color w:val="auto"/>
                    </w:rPr>
                  </w:pPr>
                  <w:r>
                    <w:rPr>
                      <w:rFonts w:hint="eastAsia"/>
                      <w:color w:val="auto"/>
                      <w:kern w:val="0"/>
                      <w:sz w:val="18"/>
                      <w:szCs w:val="18"/>
                    </w:rPr>
                    <w:t>脱硫剂</w:t>
                  </w:r>
                </w:p>
              </w:tc>
              <w:tc>
                <w:tcPr>
                  <w:tcW w:w="623" w:type="pct"/>
                  <w:noWrap w:val="0"/>
                  <w:vAlign w:val="center"/>
                </w:tcPr>
                <w:p w14:paraId="488CF96C">
                  <w:pPr>
                    <w:pStyle w:val="107"/>
                    <w:snapToGrid w:val="0"/>
                    <w:rPr>
                      <w:rFonts w:hint="eastAsia"/>
                      <w:color w:val="auto"/>
                    </w:rPr>
                  </w:pPr>
                  <w:r>
                    <w:rPr>
                      <w:rFonts w:hint="eastAsia"/>
                      <w:color w:val="auto"/>
                    </w:rPr>
                    <w:t>袋装</w:t>
                  </w:r>
                </w:p>
              </w:tc>
              <w:tc>
                <w:tcPr>
                  <w:tcW w:w="344" w:type="pct"/>
                  <w:noWrap w:val="0"/>
                  <w:vAlign w:val="center"/>
                </w:tcPr>
                <w:p w14:paraId="0EF2A7FF">
                  <w:pPr>
                    <w:pStyle w:val="107"/>
                    <w:snapToGrid w:val="0"/>
                    <w:rPr>
                      <w:color w:val="auto"/>
                    </w:rPr>
                  </w:pPr>
                  <w:r>
                    <w:rPr>
                      <w:rFonts w:hint="eastAsia"/>
                      <w:color w:val="auto"/>
                    </w:rPr>
                    <w:t>固</w:t>
                  </w:r>
                  <w:r>
                    <w:rPr>
                      <w:color w:val="auto"/>
                    </w:rPr>
                    <w:t>态</w:t>
                  </w:r>
                </w:p>
              </w:tc>
              <w:tc>
                <w:tcPr>
                  <w:tcW w:w="692" w:type="pct"/>
                  <w:shd w:val="clear" w:color="auto" w:fill="auto"/>
                  <w:noWrap w:val="0"/>
                  <w:vAlign w:val="center"/>
                </w:tcPr>
                <w:p w14:paraId="6ADD8239">
                  <w:pPr>
                    <w:pStyle w:val="107"/>
                    <w:rPr>
                      <w:rFonts w:ascii="Times New Roman" w:hAnsi="Times New Roman" w:eastAsia="宋体" w:cs="Times New Roman"/>
                      <w:color w:val="auto"/>
                      <w:kern w:val="2"/>
                      <w:sz w:val="18"/>
                      <w:szCs w:val="18"/>
                      <w:lang w:val="en-US" w:eastAsia="zh-CN" w:bidi="ar-SA"/>
                    </w:rPr>
                  </w:pPr>
                  <w:r>
                    <w:rPr>
                      <w:rFonts w:hint="eastAsia"/>
                      <w:color w:val="auto"/>
                    </w:rPr>
                    <w:t>29.5</w:t>
                  </w:r>
                </w:p>
              </w:tc>
              <w:tc>
                <w:tcPr>
                  <w:tcW w:w="692" w:type="pct"/>
                  <w:noWrap w:val="0"/>
                  <w:vAlign w:val="center"/>
                </w:tcPr>
                <w:p w14:paraId="1B4A34F8">
                  <w:pPr>
                    <w:pStyle w:val="107"/>
                    <w:rPr>
                      <w:color w:val="auto"/>
                    </w:rPr>
                  </w:pPr>
                  <w:r>
                    <w:rPr>
                      <w:rFonts w:hint="eastAsia"/>
                      <w:color w:val="auto"/>
                    </w:rPr>
                    <w:t>29.5</w:t>
                  </w:r>
                </w:p>
              </w:tc>
              <w:tc>
                <w:tcPr>
                  <w:tcW w:w="699" w:type="pct"/>
                  <w:noWrap w:val="0"/>
                  <w:vAlign w:val="center"/>
                </w:tcPr>
                <w:p w14:paraId="7C887B43">
                  <w:pPr>
                    <w:pStyle w:val="107"/>
                    <w:snapToGrid w:val="0"/>
                    <w:rPr>
                      <w:color w:val="auto"/>
                    </w:rPr>
                  </w:pPr>
                  <w:r>
                    <w:rPr>
                      <w:rFonts w:hint="eastAsia"/>
                      <w:color w:val="auto"/>
                      <w:szCs w:val="18"/>
                    </w:rPr>
                    <w:t>Fe</w:t>
                  </w:r>
                  <w:r>
                    <w:rPr>
                      <w:rFonts w:hint="eastAsia"/>
                      <w:color w:val="auto"/>
                      <w:szCs w:val="18"/>
                      <w:vertAlign w:val="subscript"/>
                    </w:rPr>
                    <w:t>2</w:t>
                  </w:r>
                  <w:r>
                    <w:rPr>
                      <w:rFonts w:hint="eastAsia"/>
                      <w:color w:val="auto"/>
                      <w:szCs w:val="18"/>
                    </w:rPr>
                    <w:t>O</w:t>
                  </w:r>
                  <w:r>
                    <w:rPr>
                      <w:rFonts w:hint="eastAsia"/>
                      <w:color w:val="auto"/>
                      <w:szCs w:val="18"/>
                      <w:vertAlign w:val="subscript"/>
                    </w:rPr>
                    <w:t>3</w:t>
                  </w:r>
                  <w:r>
                    <w:rPr>
                      <w:color w:val="auto"/>
                      <w:szCs w:val="18"/>
                    </w:rPr>
                    <w:t>·H</w:t>
                  </w:r>
                  <w:r>
                    <w:rPr>
                      <w:color w:val="auto"/>
                      <w:szCs w:val="18"/>
                      <w:vertAlign w:val="subscript"/>
                    </w:rPr>
                    <w:t>2</w:t>
                  </w:r>
                  <w:r>
                    <w:rPr>
                      <w:color w:val="auto"/>
                      <w:szCs w:val="18"/>
                    </w:rPr>
                    <w:t>O</w:t>
                  </w:r>
                  <w:r>
                    <w:rPr>
                      <w:rFonts w:hint="eastAsia"/>
                      <w:color w:val="auto"/>
                      <w:szCs w:val="18"/>
                      <w:lang w:eastAsia="zh-CN"/>
                    </w:rPr>
                    <w:t>、活性氧化铝</w:t>
                  </w:r>
                </w:p>
              </w:tc>
              <w:tc>
                <w:tcPr>
                  <w:tcW w:w="665" w:type="pct"/>
                  <w:noWrap w:val="0"/>
                  <w:vAlign w:val="center"/>
                </w:tcPr>
                <w:p w14:paraId="3FDCE7A9">
                  <w:pPr>
                    <w:pStyle w:val="107"/>
                    <w:snapToGrid w:val="0"/>
                    <w:rPr>
                      <w:rFonts w:hint="eastAsia"/>
                      <w:color w:val="auto"/>
                    </w:rPr>
                  </w:pPr>
                  <w:r>
                    <w:rPr>
                      <w:rFonts w:hint="eastAsia"/>
                      <w:color w:val="auto"/>
                    </w:rPr>
                    <w:t>3</w:t>
                  </w:r>
                </w:p>
              </w:tc>
              <w:tc>
                <w:tcPr>
                  <w:tcW w:w="386" w:type="pct"/>
                  <w:noWrap w:val="0"/>
                  <w:vAlign w:val="center"/>
                </w:tcPr>
                <w:p w14:paraId="3EB65396">
                  <w:pPr>
                    <w:pStyle w:val="107"/>
                    <w:snapToGrid w:val="0"/>
                    <w:rPr>
                      <w:color w:val="auto"/>
                    </w:rPr>
                  </w:pPr>
                  <w:r>
                    <w:rPr>
                      <w:rFonts w:hint="eastAsia"/>
                      <w:color w:val="auto"/>
                    </w:rPr>
                    <w:t>仓</w:t>
                  </w:r>
                  <w:r>
                    <w:rPr>
                      <w:color w:val="auto"/>
                    </w:rPr>
                    <w:t>库</w:t>
                  </w:r>
                </w:p>
              </w:tc>
            </w:tr>
            <w:tr w14:paraId="5B2E7D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1ACD30D5">
                  <w:pPr>
                    <w:pStyle w:val="107"/>
                    <w:rPr>
                      <w:color w:val="auto"/>
                    </w:rPr>
                  </w:pPr>
                  <w:r>
                    <w:rPr>
                      <w:color w:val="auto"/>
                    </w:rPr>
                    <w:t>4</w:t>
                  </w:r>
                </w:p>
              </w:tc>
              <w:tc>
                <w:tcPr>
                  <w:tcW w:w="625" w:type="pct"/>
                  <w:noWrap w:val="0"/>
                  <w:vAlign w:val="center"/>
                </w:tcPr>
                <w:p w14:paraId="260DABB9">
                  <w:pPr>
                    <w:adjustRightInd w:val="0"/>
                    <w:snapToGrid w:val="0"/>
                    <w:jc w:val="center"/>
                    <w:rPr>
                      <w:rFonts w:hint="eastAsia"/>
                      <w:color w:val="auto"/>
                    </w:rPr>
                  </w:pPr>
                  <w:r>
                    <w:rPr>
                      <w:rFonts w:hint="eastAsia"/>
                      <w:color w:val="auto"/>
                      <w:kern w:val="0"/>
                      <w:sz w:val="18"/>
                      <w:szCs w:val="18"/>
                    </w:rPr>
                    <w:t>催化剂（中低温型）</w:t>
                  </w:r>
                </w:p>
              </w:tc>
              <w:tc>
                <w:tcPr>
                  <w:tcW w:w="623" w:type="pct"/>
                  <w:noWrap w:val="0"/>
                  <w:vAlign w:val="center"/>
                </w:tcPr>
                <w:p w14:paraId="41DBD87F">
                  <w:pPr>
                    <w:pStyle w:val="107"/>
                    <w:snapToGrid w:val="0"/>
                    <w:rPr>
                      <w:rFonts w:hint="eastAsia"/>
                      <w:color w:val="auto"/>
                    </w:rPr>
                  </w:pPr>
                  <w:r>
                    <w:rPr>
                      <w:rFonts w:hint="eastAsia"/>
                      <w:color w:val="auto"/>
                    </w:rPr>
                    <w:t>板式</w:t>
                  </w:r>
                </w:p>
              </w:tc>
              <w:tc>
                <w:tcPr>
                  <w:tcW w:w="344" w:type="pct"/>
                  <w:noWrap w:val="0"/>
                  <w:vAlign w:val="center"/>
                </w:tcPr>
                <w:p w14:paraId="6BBFC7CA">
                  <w:pPr>
                    <w:pStyle w:val="107"/>
                    <w:snapToGrid w:val="0"/>
                    <w:rPr>
                      <w:color w:val="auto"/>
                    </w:rPr>
                  </w:pPr>
                  <w:r>
                    <w:rPr>
                      <w:rFonts w:hint="eastAsia"/>
                      <w:color w:val="auto"/>
                    </w:rPr>
                    <w:t>固</w:t>
                  </w:r>
                  <w:r>
                    <w:rPr>
                      <w:color w:val="auto"/>
                    </w:rPr>
                    <w:t>态</w:t>
                  </w:r>
                </w:p>
              </w:tc>
              <w:tc>
                <w:tcPr>
                  <w:tcW w:w="692" w:type="pct"/>
                  <w:shd w:val="clear" w:color="auto" w:fill="auto"/>
                  <w:noWrap w:val="0"/>
                  <w:vAlign w:val="center"/>
                </w:tcPr>
                <w:p w14:paraId="6E0298A6">
                  <w:pPr>
                    <w:pStyle w:val="107"/>
                    <w:rPr>
                      <w:rFonts w:hint="eastAsia" w:ascii="Times New Roman" w:hAnsi="Times New Roman" w:eastAsia="宋体" w:cs="Times New Roman"/>
                      <w:color w:val="auto"/>
                      <w:kern w:val="2"/>
                      <w:sz w:val="18"/>
                      <w:szCs w:val="18"/>
                      <w:lang w:val="en-US" w:eastAsia="zh-CN" w:bidi="ar-SA"/>
                    </w:rPr>
                  </w:pPr>
                  <w:r>
                    <w:rPr>
                      <w:rFonts w:hint="eastAsia"/>
                      <w:color w:val="auto"/>
                    </w:rPr>
                    <w:t>2</w:t>
                  </w:r>
                </w:p>
              </w:tc>
              <w:tc>
                <w:tcPr>
                  <w:tcW w:w="692" w:type="pct"/>
                  <w:noWrap w:val="0"/>
                  <w:vAlign w:val="center"/>
                </w:tcPr>
                <w:p w14:paraId="5391535F">
                  <w:pPr>
                    <w:pStyle w:val="107"/>
                    <w:rPr>
                      <w:color w:val="auto"/>
                    </w:rPr>
                  </w:pPr>
                  <w:r>
                    <w:rPr>
                      <w:rFonts w:hint="eastAsia"/>
                      <w:color w:val="auto"/>
                    </w:rPr>
                    <w:t>2</w:t>
                  </w:r>
                </w:p>
              </w:tc>
              <w:tc>
                <w:tcPr>
                  <w:tcW w:w="699" w:type="pct"/>
                  <w:noWrap w:val="0"/>
                  <w:vAlign w:val="center"/>
                </w:tcPr>
                <w:p w14:paraId="1DE7CCF5">
                  <w:pPr>
                    <w:pStyle w:val="107"/>
                    <w:snapToGrid w:val="0"/>
                    <w:rPr>
                      <w:color w:val="auto"/>
                    </w:rPr>
                  </w:pPr>
                  <w:r>
                    <w:rPr>
                      <w:color w:val="auto"/>
                      <w:szCs w:val="18"/>
                      <w:shd w:val="clear" w:color="auto" w:fill="FFFFFF"/>
                    </w:rPr>
                    <w:t>TiO</w:t>
                  </w:r>
                  <w:r>
                    <w:rPr>
                      <w:color w:val="auto"/>
                      <w:szCs w:val="18"/>
                      <w:shd w:val="clear" w:color="auto" w:fill="FFFFFF"/>
                      <w:vertAlign w:val="subscript"/>
                    </w:rPr>
                    <w:t>2</w:t>
                  </w:r>
                  <w:r>
                    <w:rPr>
                      <w:rFonts w:hint="eastAsia"/>
                      <w:color w:val="auto"/>
                      <w:szCs w:val="18"/>
                      <w:shd w:val="clear" w:color="auto" w:fill="FFFFFF"/>
                      <w:vertAlign w:val="subscript"/>
                    </w:rPr>
                    <w:t>、</w:t>
                  </w:r>
                  <w:r>
                    <w:rPr>
                      <w:rFonts w:hint="eastAsia"/>
                      <w:color w:val="auto"/>
                      <w:szCs w:val="18"/>
                      <w:shd w:val="clear" w:color="auto" w:fill="FFFFFF"/>
                    </w:rPr>
                    <w:t>V</w:t>
                  </w:r>
                  <w:r>
                    <w:rPr>
                      <w:rFonts w:hint="eastAsia"/>
                      <w:color w:val="auto"/>
                      <w:szCs w:val="18"/>
                      <w:shd w:val="clear" w:color="auto" w:fill="FFFFFF"/>
                      <w:vertAlign w:val="subscript"/>
                    </w:rPr>
                    <w:t>2</w:t>
                  </w:r>
                  <w:r>
                    <w:rPr>
                      <w:rFonts w:hint="eastAsia"/>
                      <w:color w:val="auto"/>
                      <w:szCs w:val="18"/>
                      <w:shd w:val="clear" w:color="auto" w:fill="FFFFFF"/>
                    </w:rPr>
                    <w:t>O</w:t>
                  </w:r>
                  <w:r>
                    <w:rPr>
                      <w:rFonts w:hint="eastAsia"/>
                      <w:color w:val="auto"/>
                      <w:szCs w:val="18"/>
                      <w:shd w:val="clear" w:color="auto" w:fill="FFFFFF"/>
                      <w:vertAlign w:val="subscript"/>
                    </w:rPr>
                    <w:t>5</w:t>
                  </w:r>
                </w:p>
              </w:tc>
              <w:tc>
                <w:tcPr>
                  <w:tcW w:w="665" w:type="pct"/>
                  <w:noWrap w:val="0"/>
                  <w:vAlign w:val="center"/>
                </w:tcPr>
                <w:p w14:paraId="7F3F4E6A">
                  <w:pPr>
                    <w:pStyle w:val="107"/>
                    <w:snapToGrid w:val="0"/>
                    <w:rPr>
                      <w:rFonts w:hint="eastAsia"/>
                      <w:color w:val="auto"/>
                    </w:rPr>
                  </w:pPr>
                  <w:r>
                    <w:rPr>
                      <w:rFonts w:hint="eastAsia"/>
                      <w:color w:val="auto"/>
                    </w:rPr>
                    <w:t>3</w:t>
                  </w:r>
                </w:p>
              </w:tc>
              <w:tc>
                <w:tcPr>
                  <w:tcW w:w="386" w:type="pct"/>
                  <w:noWrap w:val="0"/>
                  <w:vAlign w:val="center"/>
                </w:tcPr>
                <w:p w14:paraId="72B40076">
                  <w:pPr>
                    <w:pStyle w:val="107"/>
                    <w:snapToGrid w:val="0"/>
                    <w:rPr>
                      <w:color w:val="auto"/>
                    </w:rPr>
                  </w:pPr>
                  <w:r>
                    <w:rPr>
                      <w:rFonts w:hint="eastAsia"/>
                      <w:color w:val="auto"/>
                    </w:rPr>
                    <w:t>/</w:t>
                  </w:r>
                </w:p>
              </w:tc>
            </w:tr>
            <w:tr w14:paraId="47042E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72E07EAE">
                  <w:pPr>
                    <w:pStyle w:val="107"/>
                    <w:rPr>
                      <w:color w:val="auto"/>
                    </w:rPr>
                  </w:pPr>
                  <w:r>
                    <w:rPr>
                      <w:color w:val="auto"/>
                    </w:rPr>
                    <w:t>5</w:t>
                  </w:r>
                </w:p>
              </w:tc>
              <w:tc>
                <w:tcPr>
                  <w:tcW w:w="625" w:type="pct"/>
                  <w:noWrap w:val="0"/>
                  <w:vAlign w:val="center"/>
                </w:tcPr>
                <w:p w14:paraId="44A49327">
                  <w:pPr>
                    <w:adjustRightInd w:val="0"/>
                    <w:snapToGrid w:val="0"/>
                    <w:jc w:val="center"/>
                    <w:rPr>
                      <w:color w:val="auto"/>
                    </w:rPr>
                  </w:pPr>
                  <w:r>
                    <w:rPr>
                      <w:rFonts w:hint="eastAsia"/>
                      <w:color w:val="auto"/>
                      <w:kern w:val="0"/>
                      <w:sz w:val="18"/>
                      <w:szCs w:val="18"/>
                    </w:rPr>
                    <w:t>尿素</w:t>
                  </w:r>
                </w:p>
              </w:tc>
              <w:tc>
                <w:tcPr>
                  <w:tcW w:w="623" w:type="pct"/>
                  <w:noWrap w:val="0"/>
                  <w:vAlign w:val="center"/>
                </w:tcPr>
                <w:p w14:paraId="0EBBC8A0">
                  <w:pPr>
                    <w:pStyle w:val="107"/>
                    <w:snapToGrid w:val="0"/>
                    <w:rPr>
                      <w:rFonts w:hint="eastAsia"/>
                      <w:color w:val="auto"/>
                    </w:rPr>
                  </w:pPr>
                  <w:r>
                    <w:rPr>
                      <w:rFonts w:hint="eastAsia"/>
                      <w:color w:val="auto"/>
                    </w:rPr>
                    <w:t>桶装</w:t>
                  </w:r>
                </w:p>
              </w:tc>
              <w:tc>
                <w:tcPr>
                  <w:tcW w:w="344" w:type="pct"/>
                  <w:noWrap w:val="0"/>
                  <w:vAlign w:val="center"/>
                </w:tcPr>
                <w:p w14:paraId="4B2E3BA4">
                  <w:pPr>
                    <w:pStyle w:val="107"/>
                    <w:snapToGrid w:val="0"/>
                    <w:rPr>
                      <w:color w:val="auto"/>
                    </w:rPr>
                  </w:pPr>
                  <w:r>
                    <w:rPr>
                      <w:rFonts w:hint="eastAsia"/>
                      <w:color w:val="auto"/>
                    </w:rPr>
                    <w:t>固</w:t>
                  </w:r>
                  <w:r>
                    <w:rPr>
                      <w:color w:val="auto"/>
                    </w:rPr>
                    <w:t>态</w:t>
                  </w:r>
                </w:p>
              </w:tc>
              <w:tc>
                <w:tcPr>
                  <w:tcW w:w="692" w:type="pct"/>
                  <w:shd w:val="clear" w:color="auto" w:fill="auto"/>
                  <w:noWrap w:val="0"/>
                  <w:vAlign w:val="center"/>
                </w:tcPr>
                <w:p w14:paraId="00D3892A">
                  <w:pPr>
                    <w:pStyle w:val="107"/>
                    <w:rPr>
                      <w:rFonts w:ascii="Times New Roman" w:hAnsi="Times New Roman" w:eastAsia="宋体" w:cs="Times New Roman"/>
                      <w:color w:val="auto"/>
                      <w:kern w:val="2"/>
                      <w:sz w:val="18"/>
                      <w:szCs w:val="18"/>
                      <w:lang w:val="en-US" w:eastAsia="zh-CN" w:bidi="ar-SA"/>
                    </w:rPr>
                  </w:pPr>
                  <w:r>
                    <w:rPr>
                      <w:rFonts w:hint="eastAsia"/>
                      <w:color w:val="auto"/>
                    </w:rPr>
                    <w:t>46.2</w:t>
                  </w:r>
                </w:p>
              </w:tc>
              <w:tc>
                <w:tcPr>
                  <w:tcW w:w="692" w:type="pct"/>
                  <w:noWrap w:val="0"/>
                  <w:vAlign w:val="center"/>
                </w:tcPr>
                <w:p w14:paraId="00078210">
                  <w:pPr>
                    <w:pStyle w:val="107"/>
                    <w:rPr>
                      <w:color w:val="auto"/>
                    </w:rPr>
                  </w:pPr>
                  <w:r>
                    <w:rPr>
                      <w:rFonts w:hint="eastAsia"/>
                      <w:color w:val="auto"/>
                    </w:rPr>
                    <w:t>46.2</w:t>
                  </w:r>
                </w:p>
              </w:tc>
              <w:tc>
                <w:tcPr>
                  <w:tcW w:w="699" w:type="pct"/>
                  <w:noWrap w:val="0"/>
                  <w:vAlign w:val="center"/>
                </w:tcPr>
                <w:p w14:paraId="7C8644C8">
                  <w:pPr>
                    <w:pStyle w:val="107"/>
                    <w:snapToGrid w:val="0"/>
                    <w:rPr>
                      <w:color w:val="auto"/>
                    </w:rPr>
                  </w:pPr>
                  <w:r>
                    <w:rPr>
                      <w:color w:val="auto"/>
                    </w:rPr>
                    <w:t>CO(NH</w:t>
                  </w:r>
                  <w:r>
                    <w:rPr>
                      <w:color w:val="auto"/>
                      <w:vertAlign w:val="subscript"/>
                    </w:rPr>
                    <w:t>2</w:t>
                  </w:r>
                  <w:r>
                    <w:rPr>
                      <w:color w:val="auto"/>
                    </w:rPr>
                    <w:t>)</w:t>
                  </w:r>
                  <w:r>
                    <w:rPr>
                      <w:color w:val="auto"/>
                      <w:vertAlign w:val="subscript"/>
                    </w:rPr>
                    <w:t>2</w:t>
                  </w:r>
                </w:p>
              </w:tc>
              <w:tc>
                <w:tcPr>
                  <w:tcW w:w="665" w:type="pct"/>
                  <w:noWrap w:val="0"/>
                  <w:vAlign w:val="center"/>
                </w:tcPr>
                <w:p w14:paraId="51AF1DBC">
                  <w:pPr>
                    <w:pStyle w:val="107"/>
                    <w:snapToGrid w:val="0"/>
                    <w:rPr>
                      <w:rFonts w:hint="eastAsia"/>
                      <w:color w:val="auto"/>
                    </w:rPr>
                  </w:pPr>
                  <w:r>
                    <w:rPr>
                      <w:rFonts w:hint="eastAsia"/>
                      <w:color w:val="auto"/>
                    </w:rPr>
                    <w:t>1</w:t>
                  </w:r>
                </w:p>
              </w:tc>
              <w:tc>
                <w:tcPr>
                  <w:tcW w:w="386" w:type="pct"/>
                  <w:noWrap w:val="0"/>
                  <w:vAlign w:val="center"/>
                </w:tcPr>
                <w:p w14:paraId="3A92CAF6">
                  <w:pPr>
                    <w:pStyle w:val="107"/>
                    <w:snapToGrid w:val="0"/>
                    <w:rPr>
                      <w:color w:val="auto"/>
                    </w:rPr>
                  </w:pPr>
                  <w:r>
                    <w:rPr>
                      <w:rFonts w:hint="eastAsia"/>
                      <w:color w:val="auto"/>
                    </w:rPr>
                    <w:t>仓</w:t>
                  </w:r>
                  <w:r>
                    <w:rPr>
                      <w:color w:val="auto"/>
                    </w:rPr>
                    <w:t>库</w:t>
                  </w:r>
                </w:p>
              </w:tc>
            </w:tr>
            <w:tr w14:paraId="30C35C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6BF7A2F0">
                  <w:pPr>
                    <w:pStyle w:val="107"/>
                    <w:rPr>
                      <w:color w:val="auto"/>
                    </w:rPr>
                  </w:pPr>
                  <w:r>
                    <w:rPr>
                      <w:color w:val="auto"/>
                    </w:rPr>
                    <w:t>6</w:t>
                  </w:r>
                </w:p>
              </w:tc>
              <w:tc>
                <w:tcPr>
                  <w:tcW w:w="625" w:type="pct"/>
                  <w:noWrap w:val="0"/>
                  <w:vAlign w:val="center"/>
                </w:tcPr>
                <w:p w14:paraId="0C79C9EE">
                  <w:pPr>
                    <w:adjustRightInd w:val="0"/>
                    <w:snapToGrid w:val="0"/>
                    <w:jc w:val="center"/>
                    <w:rPr>
                      <w:color w:val="auto"/>
                    </w:rPr>
                  </w:pPr>
                  <w:r>
                    <w:rPr>
                      <w:rFonts w:hint="eastAsia"/>
                      <w:color w:val="auto"/>
                      <w:kern w:val="0"/>
                      <w:sz w:val="18"/>
                      <w:szCs w:val="18"/>
                    </w:rPr>
                    <w:t>水</w:t>
                  </w:r>
                </w:p>
              </w:tc>
              <w:tc>
                <w:tcPr>
                  <w:tcW w:w="623" w:type="pct"/>
                  <w:noWrap w:val="0"/>
                  <w:vAlign w:val="center"/>
                </w:tcPr>
                <w:p w14:paraId="50BC1122">
                  <w:pPr>
                    <w:pStyle w:val="107"/>
                    <w:snapToGrid w:val="0"/>
                    <w:rPr>
                      <w:color w:val="auto"/>
                    </w:rPr>
                  </w:pPr>
                  <w:r>
                    <w:rPr>
                      <w:rFonts w:hint="eastAsia"/>
                      <w:color w:val="auto"/>
                    </w:rPr>
                    <w:t>/</w:t>
                  </w:r>
                </w:p>
              </w:tc>
              <w:tc>
                <w:tcPr>
                  <w:tcW w:w="344" w:type="pct"/>
                  <w:noWrap w:val="0"/>
                  <w:vAlign w:val="center"/>
                </w:tcPr>
                <w:p w14:paraId="01BB964F">
                  <w:pPr>
                    <w:pStyle w:val="107"/>
                    <w:snapToGrid w:val="0"/>
                    <w:rPr>
                      <w:color w:val="auto"/>
                    </w:rPr>
                  </w:pPr>
                  <w:r>
                    <w:rPr>
                      <w:rFonts w:hint="eastAsia"/>
                      <w:color w:val="auto"/>
                    </w:rPr>
                    <w:t>液态</w:t>
                  </w:r>
                </w:p>
              </w:tc>
              <w:tc>
                <w:tcPr>
                  <w:tcW w:w="692" w:type="pct"/>
                  <w:shd w:val="clear" w:color="auto" w:fill="auto"/>
                  <w:noWrap w:val="0"/>
                  <w:vAlign w:val="center"/>
                </w:tcPr>
                <w:p w14:paraId="19DB1735">
                  <w:pPr>
                    <w:adjustRightInd w:val="0"/>
                    <w:snapToGrid w:val="0"/>
                    <w:jc w:val="center"/>
                    <w:rPr>
                      <w:rFonts w:hint="eastAsia" w:ascii="Times New Roman" w:hAnsi="Times New Roman" w:eastAsia="宋体" w:cs="Times New Roman"/>
                      <w:color w:val="auto"/>
                      <w:kern w:val="0"/>
                      <w:sz w:val="18"/>
                      <w:szCs w:val="18"/>
                      <w:lang w:val="en-US" w:eastAsia="zh-CN" w:bidi="ar-SA"/>
                    </w:rPr>
                  </w:pPr>
                  <w:r>
                    <w:rPr>
                      <w:rFonts w:hint="eastAsia"/>
                      <w:color w:val="auto"/>
                      <w:kern w:val="0"/>
                      <w:sz w:val="18"/>
                      <w:szCs w:val="18"/>
                    </w:rPr>
                    <w:t>12046.2</w:t>
                  </w:r>
                </w:p>
              </w:tc>
              <w:tc>
                <w:tcPr>
                  <w:tcW w:w="692" w:type="pct"/>
                  <w:noWrap w:val="0"/>
                  <w:vAlign w:val="center"/>
                </w:tcPr>
                <w:p w14:paraId="3655DECD">
                  <w:pPr>
                    <w:adjustRightInd w:val="0"/>
                    <w:snapToGrid w:val="0"/>
                    <w:jc w:val="center"/>
                    <w:rPr>
                      <w:rFonts w:hint="default" w:eastAsia="宋体"/>
                      <w:color w:val="auto"/>
                      <w:kern w:val="0"/>
                      <w:sz w:val="18"/>
                      <w:szCs w:val="18"/>
                      <w:lang w:val="en-US" w:eastAsia="zh-CN"/>
                    </w:rPr>
                  </w:pPr>
                  <w:r>
                    <w:rPr>
                      <w:rFonts w:hint="eastAsia"/>
                      <w:color w:val="auto"/>
                      <w:kern w:val="0"/>
                      <w:sz w:val="18"/>
                      <w:szCs w:val="18"/>
                      <w:lang w:val="en-US" w:eastAsia="zh-CN"/>
                    </w:rPr>
                    <w:t>12000</w:t>
                  </w:r>
                </w:p>
              </w:tc>
              <w:tc>
                <w:tcPr>
                  <w:tcW w:w="699" w:type="pct"/>
                  <w:noWrap w:val="0"/>
                  <w:vAlign w:val="center"/>
                </w:tcPr>
                <w:p w14:paraId="637EF5C3">
                  <w:pPr>
                    <w:pStyle w:val="107"/>
                    <w:snapToGrid w:val="0"/>
                    <w:rPr>
                      <w:rFonts w:hint="eastAsia"/>
                      <w:color w:val="auto"/>
                    </w:rPr>
                  </w:pPr>
                  <w:r>
                    <w:rPr>
                      <w:rFonts w:hint="eastAsia"/>
                      <w:color w:val="auto"/>
                    </w:rPr>
                    <w:t>自来水</w:t>
                  </w:r>
                </w:p>
              </w:tc>
              <w:tc>
                <w:tcPr>
                  <w:tcW w:w="665" w:type="pct"/>
                  <w:noWrap w:val="0"/>
                  <w:vAlign w:val="center"/>
                </w:tcPr>
                <w:p w14:paraId="177F11F7">
                  <w:pPr>
                    <w:pStyle w:val="107"/>
                    <w:snapToGrid w:val="0"/>
                    <w:rPr>
                      <w:rFonts w:hint="eastAsia"/>
                      <w:color w:val="auto"/>
                    </w:rPr>
                  </w:pPr>
                  <w:r>
                    <w:rPr>
                      <w:rFonts w:hint="eastAsia"/>
                      <w:color w:val="auto"/>
                    </w:rPr>
                    <w:t>/</w:t>
                  </w:r>
                </w:p>
              </w:tc>
              <w:tc>
                <w:tcPr>
                  <w:tcW w:w="386" w:type="pct"/>
                  <w:noWrap w:val="0"/>
                  <w:vAlign w:val="center"/>
                </w:tcPr>
                <w:p w14:paraId="1169ED4D">
                  <w:pPr>
                    <w:pStyle w:val="107"/>
                    <w:snapToGrid w:val="0"/>
                    <w:rPr>
                      <w:rFonts w:hint="eastAsia"/>
                      <w:color w:val="auto"/>
                    </w:rPr>
                  </w:pPr>
                  <w:r>
                    <w:rPr>
                      <w:rFonts w:hint="eastAsia"/>
                      <w:color w:val="auto"/>
                    </w:rPr>
                    <w:t>供水管网</w:t>
                  </w:r>
                </w:p>
              </w:tc>
            </w:tr>
            <w:tr w14:paraId="75341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1" w:type="pct"/>
                  <w:noWrap w:val="0"/>
                  <w:vAlign w:val="center"/>
                </w:tcPr>
                <w:p w14:paraId="31E8155B">
                  <w:pPr>
                    <w:pStyle w:val="107"/>
                    <w:rPr>
                      <w:rFonts w:hint="eastAsia"/>
                      <w:color w:val="auto"/>
                    </w:rPr>
                  </w:pPr>
                  <w:r>
                    <w:rPr>
                      <w:rFonts w:hint="eastAsia"/>
                      <w:color w:val="auto"/>
                    </w:rPr>
                    <w:t>7</w:t>
                  </w:r>
                </w:p>
              </w:tc>
              <w:tc>
                <w:tcPr>
                  <w:tcW w:w="625" w:type="pct"/>
                  <w:noWrap w:val="0"/>
                  <w:vAlign w:val="center"/>
                </w:tcPr>
                <w:p w14:paraId="0AFBB21C">
                  <w:pPr>
                    <w:adjustRightInd w:val="0"/>
                    <w:snapToGrid w:val="0"/>
                    <w:jc w:val="center"/>
                    <w:rPr>
                      <w:rFonts w:hint="eastAsia"/>
                      <w:color w:val="auto"/>
                      <w:kern w:val="0"/>
                      <w:sz w:val="18"/>
                      <w:szCs w:val="18"/>
                    </w:rPr>
                  </w:pPr>
                  <w:r>
                    <w:rPr>
                      <w:rFonts w:hint="eastAsia"/>
                      <w:color w:val="auto"/>
                      <w:kern w:val="0"/>
                      <w:sz w:val="18"/>
                      <w:szCs w:val="18"/>
                    </w:rPr>
                    <w:t>制冷剂</w:t>
                  </w:r>
                </w:p>
              </w:tc>
              <w:tc>
                <w:tcPr>
                  <w:tcW w:w="623" w:type="pct"/>
                  <w:noWrap w:val="0"/>
                  <w:vAlign w:val="center"/>
                </w:tcPr>
                <w:p w14:paraId="0660ED1B">
                  <w:pPr>
                    <w:pStyle w:val="107"/>
                    <w:snapToGrid w:val="0"/>
                    <w:rPr>
                      <w:rFonts w:hint="eastAsia"/>
                      <w:color w:val="auto"/>
                    </w:rPr>
                  </w:pPr>
                  <w:r>
                    <w:rPr>
                      <w:rFonts w:hint="eastAsia"/>
                      <w:color w:val="auto"/>
                    </w:rPr>
                    <w:t>/</w:t>
                  </w:r>
                </w:p>
              </w:tc>
              <w:tc>
                <w:tcPr>
                  <w:tcW w:w="344" w:type="pct"/>
                  <w:noWrap w:val="0"/>
                  <w:vAlign w:val="center"/>
                </w:tcPr>
                <w:p w14:paraId="09E78E6D">
                  <w:pPr>
                    <w:pStyle w:val="107"/>
                    <w:snapToGrid w:val="0"/>
                    <w:rPr>
                      <w:rFonts w:hint="eastAsia"/>
                      <w:color w:val="auto"/>
                    </w:rPr>
                  </w:pPr>
                  <w:r>
                    <w:rPr>
                      <w:rFonts w:hint="eastAsia"/>
                      <w:color w:val="auto"/>
                    </w:rPr>
                    <w:t>液态</w:t>
                  </w:r>
                </w:p>
              </w:tc>
              <w:tc>
                <w:tcPr>
                  <w:tcW w:w="692" w:type="pct"/>
                  <w:shd w:val="clear" w:color="auto" w:fill="auto"/>
                  <w:noWrap w:val="0"/>
                  <w:vAlign w:val="center"/>
                </w:tcPr>
                <w:p w14:paraId="718501CF">
                  <w:pPr>
                    <w:pStyle w:val="107"/>
                    <w:rPr>
                      <w:rFonts w:ascii="Times New Roman" w:hAnsi="Times New Roman" w:eastAsia="宋体" w:cs="Times New Roman"/>
                      <w:color w:val="auto"/>
                      <w:kern w:val="2"/>
                      <w:sz w:val="18"/>
                      <w:szCs w:val="18"/>
                      <w:lang w:val="en-US" w:eastAsia="zh-CN" w:bidi="ar-SA"/>
                    </w:rPr>
                  </w:pPr>
                  <w:r>
                    <w:rPr>
                      <w:rFonts w:hint="eastAsia"/>
                      <w:color w:val="auto"/>
                    </w:rPr>
                    <w:t>0.024</w:t>
                  </w:r>
                </w:p>
              </w:tc>
              <w:tc>
                <w:tcPr>
                  <w:tcW w:w="692" w:type="pct"/>
                  <w:noWrap w:val="0"/>
                  <w:vAlign w:val="center"/>
                </w:tcPr>
                <w:p w14:paraId="2007F53D">
                  <w:pPr>
                    <w:pStyle w:val="107"/>
                    <w:rPr>
                      <w:color w:val="auto"/>
                    </w:rPr>
                  </w:pPr>
                  <w:r>
                    <w:rPr>
                      <w:rFonts w:hint="eastAsia"/>
                      <w:color w:val="auto"/>
                    </w:rPr>
                    <w:t>0.024</w:t>
                  </w:r>
                </w:p>
              </w:tc>
              <w:tc>
                <w:tcPr>
                  <w:tcW w:w="699" w:type="pct"/>
                  <w:noWrap w:val="0"/>
                  <w:vAlign w:val="center"/>
                </w:tcPr>
                <w:p w14:paraId="62F7F711">
                  <w:pPr>
                    <w:pStyle w:val="107"/>
                    <w:snapToGrid w:val="0"/>
                    <w:rPr>
                      <w:color w:val="auto"/>
                    </w:rPr>
                  </w:pPr>
                  <w:r>
                    <w:rPr>
                      <w:rFonts w:hint="eastAsia"/>
                      <w:color w:val="auto"/>
                    </w:rPr>
                    <w:t>401A</w:t>
                  </w:r>
                </w:p>
              </w:tc>
              <w:tc>
                <w:tcPr>
                  <w:tcW w:w="665" w:type="pct"/>
                  <w:noWrap w:val="0"/>
                  <w:vAlign w:val="center"/>
                </w:tcPr>
                <w:p w14:paraId="16C0C9F4">
                  <w:pPr>
                    <w:pStyle w:val="107"/>
                    <w:snapToGrid w:val="0"/>
                    <w:rPr>
                      <w:color w:val="auto"/>
                    </w:rPr>
                  </w:pPr>
                  <w:r>
                    <w:rPr>
                      <w:rFonts w:hint="eastAsia"/>
                      <w:color w:val="auto"/>
                    </w:rPr>
                    <w:t>1.0</w:t>
                  </w:r>
                </w:p>
              </w:tc>
              <w:tc>
                <w:tcPr>
                  <w:tcW w:w="386" w:type="pct"/>
                  <w:noWrap w:val="0"/>
                  <w:vAlign w:val="center"/>
                </w:tcPr>
                <w:p w14:paraId="2D9B9927">
                  <w:pPr>
                    <w:pStyle w:val="107"/>
                    <w:snapToGrid w:val="0"/>
                    <w:rPr>
                      <w:rFonts w:hint="eastAsia"/>
                      <w:color w:val="auto"/>
                    </w:rPr>
                  </w:pPr>
                  <w:r>
                    <w:rPr>
                      <w:rFonts w:hint="eastAsia"/>
                      <w:color w:val="auto"/>
                    </w:rPr>
                    <w:t>仓库</w:t>
                  </w:r>
                </w:p>
              </w:tc>
            </w:tr>
          </w:tbl>
          <w:p w14:paraId="2ACD8ABA">
            <w:pPr>
              <w:adjustRightInd/>
              <w:snapToGrid/>
              <w:spacing w:line="360" w:lineRule="auto"/>
              <w:ind w:firstLine="480" w:firstLineChars="200"/>
              <w:rPr>
                <w:color w:val="auto"/>
                <w:kern w:val="0"/>
                <w:sz w:val="24"/>
                <w:highlight w:val="none"/>
              </w:rPr>
            </w:pPr>
            <w:r>
              <w:rPr>
                <w:rFonts w:hint="eastAsia"/>
                <w:color w:val="auto"/>
                <w:kern w:val="0"/>
                <w:sz w:val="24"/>
                <w:highlight w:val="none"/>
              </w:rPr>
              <w:t>项目涉及的主要原辅料理化性质见下表：</w:t>
            </w:r>
          </w:p>
          <w:p w14:paraId="7DF82D0A">
            <w:pPr>
              <w:pStyle w:val="121"/>
              <w:adjustRightInd/>
              <w:snapToGrid/>
              <w:rPr>
                <w:color w:val="auto"/>
                <w:highlight w:val="none"/>
              </w:rPr>
            </w:pPr>
            <w:r>
              <w:rPr>
                <w:rFonts w:hint="eastAsia"/>
                <w:color w:val="auto"/>
                <w:sz w:val="21"/>
                <w:highlight w:val="none"/>
              </w:rPr>
              <w:t>原辅材料理化性质一览表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622"/>
              <w:gridCol w:w="1726"/>
              <w:gridCol w:w="6717"/>
            </w:tblGrid>
            <w:tr w14:paraId="26545D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43" w:type="pct"/>
                  <w:tcBorders>
                    <w:bottom w:val="single" w:color="auto" w:sz="12" w:space="0"/>
                  </w:tcBorders>
                  <w:noWrap w:val="0"/>
                  <w:vAlign w:val="center"/>
                </w:tcPr>
                <w:p w14:paraId="4C69F7FB">
                  <w:pPr>
                    <w:jc w:val="center"/>
                    <w:rPr>
                      <w:rFonts w:hint="eastAsia"/>
                      <w:b/>
                      <w:bCs/>
                      <w:color w:val="auto"/>
                      <w:sz w:val="18"/>
                      <w:highlight w:val="none"/>
                    </w:rPr>
                  </w:pPr>
                  <w:r>
                    <w:rPr>
                      <w:rFonts w:hint="eastAsia"/>
                      <w:b/>
                      <w:bCs/>
                      <w:color w:val="auto"/>
                      <w:sz w:val="18"/>
                      <w:highlight w:val="none"/>
                    </w:rPr>
                    <w:t>序号</w:t>
                  </w:r>
                </w:p>
              </w:tc>
              <w:tc>
                <w:tcPr>
                  <w:tcW w:w="952" w:type="pct"/>
                  <w:tcBorders>
                    <w:bottom w:val="single" w:color="auto" w:sz="12" w:space="0"/>
                  </w:tcBorders>
                  <w:noWrap w:val="0"/>
                  <w:vAlign w:val="center"/>
                </w:tcPr>
                <w:p w14:paraId="46D1F55D">
                  <w:pPr>
                    <w:jc w:val="center"/>
                    <w:rPr>
                      <w:rFonts w:hint="eastAsia"/>
                      <w:b/>
                      <w:bCs/>
                      <w:color w:val="auto"/>
                      <w:sz w:val="18"/>
                      <w:highlight w:val="none"/>
                    </w:rPr>
                  </w:pPr>
                  <w:r>
                    <w:rPr>
                      <w:rFonts w:hint="eastAsia"/>
                      <w:b/>
                      <w:bCs/>
                      <w:color w:val="auto"/>
                      <w:sz w:val="18"/>
                      <w:highlight w:val="none"/>
                    </w:rPr>
                    <w:t>名称</w:t>
                  </w:r>
                </w:p>
              </w:tc>
              <w:tc>
                <w:tcPr>
                  <w:tcW w:w="3704" w:type="pct"/>
                  <w:tcBorders>
                    <w:bottom w:val="single" w:color="auto" w:sz="12" w:space="0"/>
                  </w:tcBorders>
                  <w:noWrap w:val="0"/>
                  <w:vAlign w:val="center"/>
                </w:tcPr>
                <w:p w14:paraId="1C3954C8">
                  <w:pPr>
                    <w:jc w:val="center"/>
                    <w:rPr>
                      <w:rFonts w:hint="eastAsia"/>
                      <w:b/>
                      <w:bCs/>
                      <w:color w:val="auto"/>
                      <w:sz w:val="18"/>
                      <w:highlight w:val="none"/>
                    </w:rPr>
                  </w:pPr>
                  <w:r>
                    <w:rPr>
                      <w:rFonts w:hint="eastAsia"/>
                      <w:b/>
                      <w:bCs/>
                      <w:color w:val="auto"/>
                      <w:sz w:val="18"/>
                      <w:highlight w:val="none"/>
                    </w:rPr>
                    <w:t>理化性质</w:t>
                  </w:r>
                </w:p>
              </w:tc>
            </w:tr>
            <w:tr w14:paraId="34644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43" w:type="pct"/>
                  <w:noWrap w:val="0"/>
                  <w:vAlign w:val="center"/>
                </w:tcPr>
                <w:p w14:paraId="34AB3BC4">
                  <w:pPr>
                    <w:jc w:val="center"/>
                    <w:rPr>
                      <w:rFonts w:hint="eastAsia" w:ascii="Times New Roman" w:hAnsi="Times New Roman" w:eastAsia="宋体" w:cs="Times New Roman"/>
                      <w:color w:val="auto"/>
                      <w:kern w:val="2"/>
                      <w:sz w:val="18"/>
                      <w:szCs w:val="18"/>
                      <w:lang w:val="en-US" w:eastAsia="zh-CN" w:bidi="ar-SA"/>
                    </w:rPr>
                  </w:pPr>
                  <w:r>
                    <w:rPr>
                      <w:rFonts w:hint="eastAsia"/>
                      <w:color w:val="auto"/>
                      <w:sz w:val="18"/>
                    </w:rPr>
                    <w:t>1</w:t>
                  </w:r>
                </w:p>
              </w:tc>
              <w:tc>
                <w:tcPr>
                  <w:tcW w:w="952" w:type="pct"/>
                  <w:shd w:val="clear" w:color="auto" w:fill="auto"/>
                  <w:noWrap w:val="0"/>
                  <w:vAlign w:val="center"/>
                </w:tcPr>
                <w:p w14:paraId="3DE210C9">
                  <w:pPr>
                    <w:jc w:val="center"/>
                    <w:rPr>
                      <w:rFonts w:hint="eastAsia" w:ascii="Times New Roman" w:hAnsi="Times New Roman" w:eastAsia="宋体" w:cs="Times New Roman"/>
                      <w:color w:val="auto"/>
                      <w:kern w:val="2"/>
                      <w:sz w:val="18"/>
                      <w:szCs w:val="18"/>
                      <w:lang w:val="en-US" w:eastAsia="zh-CN" w:bidi="ar-SA"/>
                    </w:rPr>
                  </w:pPr>
                  <w:r>
                    <w:rPr>
                      <w:rFonts w:hint="eastAsia"/>
                      <w:color w:val="auto"/>
                      <w:kern w:val="0"/>
                      <w:sz w:val="18"/>
                      <w:szCs w:val="18"/>
                    </w:rPr>
                    <w:t>机油</w:t>
                  </w:r>
                  <w:r>
                    <w:rPr>
                      <w:rFonts w:hint="eastAsia"/>
                      <w:lang w:eastAsia="zh-CN"/>
                    </w:rPr>
                    <w:t>（矿物油）</w:t>
                  </w:r>
                </w:p>
              </w:tc>
              <w:tc>
                <w:tcPr>
                  <w:tcW w:w="3704" w:type="pct"/>
                  <w:shd w:val="clear" w:color="auto" w:fill="auto"/>
                  <w:noWrap w:val="0"/>
                  <w:vAlign w:val="center"/>
                </w:tcPr>
                <w:p w14:paraId="54C7F027">
                  <w:pPr>
                    <w:adjustRightInd w:val="0"/>
                    <w:snapToGrid w:val="0"/>
                    <w:jc w:val="left"/>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由石油所得精炼液态烃的混合物，主要为饱和的环烷烃与链烷烃混合物,原油经常压和减压分馏、溶剂抽提和脱蜡，加氢精制而得。</w:t>
                  </w:r>
                </w:p>
              </w:tc>
            </w:tr>
            <w:tr w14:paraId="7883D8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43" w:type="pct"/>
                  <w:noWrap w:val="0"/>
                  <w:vAlign w:val="center"/>
                </w:tcPr>
                <w:p w14:paraId="19F7DC11">
                  <w:pPr>
                    <w:jc w:val="center"/>
                    <w:rPr>
                      <w:rFonts w:hint="eastAsia" w:ascii="Times New Roman" w:hAnsi="Times New Roman" w:eastAsia="宋体" w:cs="Times New Roman"/>
                      <w:color w:val="auto"/>
                      <w:kern w:val="2"/>
                      <w:sz w:val="18"/>
                      <w:szCs w:val="18"/>
                      <w:lang w:val="en-US" w:eastAsia="zh-CN" w:bidi="ar-SA"/>
                    </w:rPr>
                  </w:pPr>
                  <w:r>
                    <w:rPr>
                      <w:rFonts w:hint="eastAsia"/>
                      <w:color w:val="auto"/>
                      <w:sz w:val="18"/>
                    </w:rPr>
                    <w:t>2</w:t>
                  </w:r>
                </w:p>
              </w:tc>
              <w:tc>
                <w:tcPr>
                  <w:tcW w:w="952" w:type="pct"/>
                  <w:shd w:val="clear" w:color="auto" w:fill="auto"/>
                  <w:noWrap w:val="0"/>
                  <w:vAlign w:val="center"/>
                </w:tcPr>
                <w:p w14:paraId="514FBDBC">
                  <w:pPr>
                    <w:jc w:val="center"/>
                    <w:rPr>
                      <w:rFonts w:hint="eastAsia" w:ascii="Times New Roman" w:hAnsi="Times New Roman" w:eastAsia="宋体" w:cs="Times New Roman"/>
                      <w:color w:val="auto"/>
                      <w:kern w:val="0"/>
                      <w:sz w:val="18"/>
                      <w:szCs w:val="18"/>
                      <w:lang w:val="en-US" w:eastAsia="zh-CN" w:bidi="ar-SA"/>
                    </w:rPr>
                  </w:pPr>
                  <w:r>
                    <w:rPr>
                      <w:rFonts w:hint="eastAsia"/>
                      <w:color w:val="auto"/>
                      <w:kern w:val="0"/>
                      <w:sz w:val="18"/>
                      <w:szCs w:val="18"/>
                    </w:rPr>
                    <w:t>脱硫剂（氧化铁）</w:t>
                  </w:r>
                </w:p>
              </w:tc>
              <w:tc>
                <w:tcPr>
                  <w:tcW w:w="3704" w:type="pct"/>
                  <w:shd w:val="clear" w:color="auto" w:fill="auto"/>
                  <w:noWrap w:val="0"/>
                  <w:vAlign w:val="center"/>
                </w:tcPr>
                <w:p w14:paraId="6DE77FB1">
                  <w:pPr>
                    <w:adjustRightInd w:val="0"/>
                    <w:snapToGrid w:val="0"/>
                    <w:jc w:val="left"/>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氧化铁，别名三氧化二铁、烧褐铁矿、烧赭土、铁丹、铁红、红粉、威尼斯红(主要成分为氧化铁)等。化学式Fe</w:t>
                  </w:r>
                  <w:r>
                    <w:rPr>
                      <w:rFonts w:hint="eastAsia"/>
                      <w:color w:val="auto"/>
                      <w:sz w:val="18"/>
                      <w:szCs w:val="18"/>
                      <w:vertAlign w:val="subscript"/>
                    </w:rPr>
                    <w:t>2</w:t>
                  </w:r>
                  <w:r>
                    <w:rPr>
                      <w:rFonts w:hint="eastAsia"/>
                      <w:color w:val="auto"/>
                      <w:sz w:val="18"/>
                      <w:szCs w:val="18"/>
                    </w:rPr>
                    <w:t>O</w:t>
                  </w:r>
                  <w:r>
                    <w:rPr>
                      <w:rFonts w:hint="eastAsia"/>
                      <w:color w:val="auto"/>
                      <w:sz w:val="18"/>
                      <w:szCs w:val="18"/>
                      <w:vertAlign w:val="subscript"/>
                    </w:rPr>
                    <w:t>3</w:t>
                  </w:r>
                  <w:r>
                    <w:rPr>
                      <w:rFonts w:hint="eastAsia"/>
                      <w:color w:val="auto"/>
                      <w:sz w:val="18"/>
                      <w:szCs w:val="18"/>
                    </w:rPr>
                    <w:t>，溶于盐酸，为红棕色粉末。其红棕色粉末为一种低级颜料，工业上称氧化铁红，用于油漆、油墨、橡胶等工业中，可做催化剂和氧化剂，玻璃、宝石、金属的抛光剂，可用作炼铁原料。</w:t>
                  </w:r>
                </w:p>
              </w:tc>
            </w:tr>
            <w:tr w14:paraId="50C0A9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43" w:type="pct"/>
                  <w:noWrap w:val="0"/>
                  <w:vAlign w:val="center"/>
                </w:tcPr>
                <w:p w14:paraId="5EAFDCFC">
                  <w:pPr>
                    <w:jc w:val="center"/>
                    <w:rPr>
                      <w:rFonts w:hint="eastAsia" w:ascii="Times New Roman" w:hAnsi="Times New Roman" w:eastAsia="宋体" w:cs="Times New Roman"/>
                      <w:color w:val="auto"/>
                      <w:kern w:val="2"/>
                      <w:sz w:val="18"/>
                      <w:szCs w:val="18"/>
                      <w:lang w:val="en-US" w:eastAsia="zh-CN" w:bidi="ar-SA"/>
                    </w:rPr>
                  </w:pPr>
                  <w:r>
                    <w:rPr>
                      <w:rFonts w:hint="eastAsia"/>
                      <w:color w:val="auto"/>
                      <w:sz w:val="18"/>
                    </w:rPr>
                    <w:t>3</w:t>
                  </w:r>
                </w:p>
              </w:tc>
              <w:tc>
                <w:tcPr>
                  <w:tcW w:w="952" w:type="pct"/>
                  <w:shd w:val="clear" w:color="auto" w:fill="auto"/>
                  <w:noWrap w:val="0"/>
                  <w:vAlign w:val="center"/>
                </w:tcPr>
                <w:p w14:paraId="5F139E9B">
                  <w:pPr>
                    <w:jc w:val="center"/>
                    <w:rPr>
                      <w:rFonts w:hint="eastAsia" w:ascii="Times New Roman" w:hAnsi="Times New Roman" w:eastAsia="宋体" w:cs="Times New Roman"/>
                      <w:color w:val="auto"/>
                      <w:kern w:val="0"/>
                      <w:sz w:val="18"/>
                      <w:szCs w:val="18"/>
                      <w:lang w:val="en-US" w:eastAsia="zh-CN" w:bidi="ar-SA"/>
                    </w:rPr>
                  </w:pPr>
                  <w:r>
                    <w:rPr>
                      <w:rFonts w:hint="eastAsia"/>
                      <w:color w:val="auto"/>
                      <w:kern w:val="0"/>
                      <w:sz w:val="18"/>
                      <w:szCs w:val="18"/>
                      <w:lang w:eastAsia="zh-CN"/>
                    </w:rPr>
                    <w:t>脱硫剂</w:t>
                  </w:r>
                  <w:r>
                    <w:rPr>
                      <w:rFonts w:hint="eastAsia"/>
                      <w:color w:val="auto"/>
                      <w:kern w:val="0"/>
                      <w:sz w:val="18"/>
                      <w:szCs w:val="18"/>
                    </w:rPr>
                    <w:t>（活性氧化铝）</w:t>
                  </w:r>
                </w:p>
              </w:tc>
              <w:tc>
                <w:tcPr>
                  <w:tcW w:w="3704" w:type="pct"/>
                  <w:shd w:val="clear" w:color="auto" w:fill="auto"/>
                  <w:noWrap w:val="0"/>
                  <w:vAlign w:val="center"/>
                </w:tcPr>
                <w:p w14:paraId="61DAEAC9">
                  <w:pPr>
                    <w:adjustRightInd w:val="0"/>
                    <w:snapToGrid w:val="0"/>
                    <w:jc w:val="left"/>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活性氧化铝，又名活性矾土，英文名称为ActivatedAlumina或Reactivealumina;activatedalumin(i)umoxide。在催化剂中使用氧化铝的通常专称为"活性氧化铝"，它是一种多孔性、高分散度的固体材料，有很大的表面积，其微孔表面具备催化作用所要求的特性，如吸附性能、表面活性、优良的热稳定性等，所以被广泛地用作化学反应的催化剂和催化剂载体。球形活性氧化铝变压油吸附剂为白色球状多孔性颗粒，活性氧化铝粒度均匀，表面光滑，机械强度大，吸湿性强，吸水后不胀不裂保持原状，无毒、无嗅、不溶于水、乙醇。</w:t>
                  </w:r>
                </w:p>
              </w:tc>
            </w:tr>
            <w:tr w14:paraId="74B537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0" w:type="auto"/>
                  <w:vAlign w:val="center"/>
                </w:tcPr>
                <w:p w14:paraId="7484E5EA">
                  <w:pPr>
                    <w:jc w:val="center"/>
                    <w:rPr>
                      <w:rFonts w:hint="eastAsia" w:ascii="Times New Roman" w:hAnsi="Times New Roman" w:eastAsia="宋体" w:cs="Times New Roman"/>
                      <w:color w:val="auto"/>
                      <w:kern w:val="2"/>
                      <w:sz w:val="18"/>
                      <w:szCs w:val="18"/>
                      <w:lang w:val="en-US" w:eastAsia="zh-CN" w:bidi="ar-SA"/>
                    </w:rPr>
                  </w:pPr>
                  <w:r>
                    <w:rPr>
                      <w:rFonts w:hint="eastAsia"/>
                      <w:color w:val="auto"/>
                      <w:sz w:val="18"/>
                    </w:rPr>
                    <w:t>4</w:t>
                  </w:r>
                </w:p>
              </w:tc>
              <w:tc>
                <w:tcPr>
                  <w:tcW w:w="0" w:type="auto"/>
                  <w:shd w:val="clear" w:color="auto" w:fill="auto"/>
                  <w:vAlign w:val="center"/>
                </w:tcPr>
                <w:p w14:paraId="53F07D01">
                  <w:pPr>
                    <w:jc w:val="center"/>
                    <w:rPr>
                      <w:rFonts w:hint="eastAsia" w:ascii="Times New Roman" w:hAnsi="Times New Roman" w:eastAsia="宋体" w:cs="Times New Roman"/>
                      <w:color w:val="auto"/>
                      <w:kern w:val="0"/>
                      <w:sz w:val="18"/>
                      <w:szCs w:val="18"/>
                      <w:lang w:val="en-US" w:eastAsia="zh-CN" w:bidi="ar-SA"/>
                    </w:rPr>
                  </w:pPr>
                  <w:r>
                    <w:rPr>
                      <w:rFonts w:hint="eastAsia"/>
                      <w:color w:val="auto"/>
                      <w:kern w:val="0"/>
                      <w:sz w:val="18"/>
                      <w:szCs w:val="18"/>
                    </w:rPr>
                    <w:t>催化剂（</w:t>
                  </w:r>
                  <w:r>
                    <w:rPr>
                      <w:rFonts w:hint="eastAsia"/>
                      <w:color w:val="auto"/>
                      <w:sz w:val="18"/>
                      <w:szCs w:val="18"/>
                      <w:shd w:val="clear" w:color="auto" w:fill="FFFFFF"/>
                    </w:rPr>
                    <w:t>V</w:t>
                  </w:r>
                  <w:r>
                    <w:rPr>
                      <w:rFonts w:hint="eastAsia"/>
                      <w:color w:val="auto"/>
                      <w:sz w:val="18"/>
                      <w:szCs w:val="18"/>
                      <w:shd w:val="clear" w:color="auto" w:fill="FFFFFF"/>
                      <w:vertAlign w:val="subscript"/>
                    </w:rPr>
                    <w:t>2</w:t>
                  </w:r>
                  <w:r>
                    <w:rPr>
                      <w:rFonts w:hint="eastAsia"/>
                      <w:color w:val="auto"/>
                      <w:sz w:val="18"/>
                      <w:szCs w:val="18"/>
                      <w:shd w:val="clear" w:color="auto" w:fill="FFFFFF"/>
                    </w:rPr>
                    <w:t>O</w:t>
                  </w:r>
                  <w:r>
                    <w:rPr>
                      <w:rFonts w:hint="eastAsia"/>
                      <w:color w:val="auto"/>
                      <w:sz w:val="18"/>
                      <w:szCs w:val="18"/>
                      <w:shd w:val="clear" w:color="auto" w:fill="FFFFFF"/>
                      <w:vertAlign w:val="subscript"/>
                    </w:rPr>
                    <w:t>5</w:t>
                  </w:r>
                  <w:r>
                    <w:rPr>
                      <w:rFonts w:hint="eastAsia"/>
                      <w:color w:val="auto"/>
                      <w:kern w:val="0"/>
                      <w:sz w:val="18"/>
                      <w:szCs w:val="18"/>
                    </w:rPr>
                    <w:t>）</w:t>
                  </w:r>
                </w:p>
              </w:tc>
              <w:tc>
                <w:tcPr>
                  <w:tcW w:w="0" w:type="auto"/>
                  <w:shd w:val="clear" w:color="auto" w:fill="auto"/>
                  <w:vAlign w:val="center"/>
                </w:tcPr>
                <w:p w14:paraId="45C14125">
                  <w:pPr>
                    <w:adjustRightInd w:val="0"/>
                    <w:snapToGrid w:val="0"/>
                    <w:jc w:val="left"/>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中文名称五氧化二钒，英文名称Vanadiumpentoxide，是一种橙黄色、砖红色、红棕色结晶粉末或灰黑色片状物。微溶于水，不溶于</w:t>
                  </w:r>
                  <w:r>
                    <w:rPr>
                      <w:rFonts w:hint="eastAsia"/>
                      <w:color w:val="auto"/>
                      <w:sz w:val="18"/>
                      <w:szCs w:val="18"/>
                    </w:rPr>
                    <w:fldChar w:fldCharType="begin"/>
                  </w:r>
                  <w:r>
                    <w:rPr>
                      <w:rFonts w:hint="eastAsia"/>
                      <w:color w:val="auto"/>
                      <w:sz w:val="18"/>
                      <w:szCs w:val="18"/>
                    </w:rPr>
                    <w:instrText xml:space="preserve"> HYPERLINK "https://baike.so.com/doc/3036121-3200992.html" \t "https://baike.so.com/doc/_blank" </w:instrText>
                  </w:r>
                  <w:r>
                    <w:rPr>
                      <w:rFonts w:hint="eastAsia"/>
                      <w:color w:val="auto"/>
                      <w:sz w:val="18"/>
                      <w:szCs w:val="18"/>
                    </w:rPr>
                    <w:fldChar w:fldCharType="separate"/>
                  </w:r>
                  <w:r>
                    <w:rPr>
                      <w:rFonts w:hint="eastAsia"/>
                      <w:color w:val="auto"/>
                      <w:sz w:val="18"/>
                      <w:szCs w:val="18"/>
                    </w:rPr>
                    <w:t>乙醇</w:t>
                  </w:r>
                  <w:r>
                    <w:rPr>
                      <w:rFonts w:hint="eastAsia"/>
                      <w:color w:val="auto"/>
                      <w:sz w:val="18"/>
                      <w:szCs w:val="18"/>
                    </w:rPr>
                    <w:fldChar w:fldCharType="end"/>
                  </w:r>
                  <w:r>
                    <w:rPr>
                      <w:rFonts w:hint="eastAsia"/>
                      <w:color w:val="auto"/>
                      <w:sz w:val="18"/>
                      <w:szCs w:val="18"/>
                    </w:rPr>
                    <w:t>，溶于强酸、强碱。钒是一种有色</w:t>
                  </w:r>
                  <w:r>
                    <w:rPr>
                      <w:rFonts w:hint="eastAsia"/>
                      <w:color w:val="auto"/>
                      <w:sz w:val="18"/>
                      <w:szCs w:val="18"/>
                    </w:rPr>
                    <w:fldChar w:fldCharType="begin"/>
                  </w:r>
                  <w:r>
                    <w:rPr>
                      <w:rFonts w:hint="eastAsia"/>
                      <w:color w:val="auto"/>
                      <w:sz w:val="18"/>
                      <w:szCs w:val="18"/>
                    </w:rPr>
                    <w:instrText xml:space="preserve"> HYPERLINK "https://baike.so.com/doc/5654491-5867139.html" \t "https://baike.so.com/doc/_blank" </w:instrText>
                  </w:r>
                  <w:r>
                    <w:rPr>
                      <w:rFonts w:hint="eastAsia"/>
                      <w:color w:val="auto"/>
                      <w:sz w:val="18"/>
                      <w:szCs w:val="18"/>
                    </w:rPr>
                    <w:fldChar w:fldCharType="separate"/>
                  </w:r>
                  <w:r>
                    <w:rPr>
                      <w:rFonts w:hint="eastAsia"/>
                      <w:color w:val="auto"/>
                      <w:sz w:val="18"/>
                      <w:szCs w:val="18"/>
                    </w:rPr>
                    <w:t>金属</w:t>
                  </w:r>
                  <w:r>
                    <w:rPr>
                      <w:rFonts w:hint="eastAsia"/>
                      <w:color w:val="auto"/>
                      <w:sz w:val="18"/>
                      <w:szCs w:val="18"/>
                    </w:rPr>
                    <w:fldChar w:fldCharType="end"/>
                  </w:r>
                  <w:r>
                    <w:rPr>
                      <w:rFonts w:hint="eastAsia"/>
                      <w:color w:val="auto"/>
                      <w:sz w:val="18"/>
                      <w:szCs w:val="18"/>
                    </w:rPr>
                    <w:t>，五氧化二钒广泛用于冶金、化工等行业，主要用于冶炼钒铁。用作</w:t>
                  </w:r>
                  <w:r>
                    <w:rPr>
                      <w:rFonts w:hint="eastAsia"/>
                      <w:color w:val="auto"/>
                      <w:sz w:val="18"/>
                      <w:szCs w:val="18"/>
                    </w:rPr>
                    <w:fldChar w:fldCharType="begin"/>
                  </w:r>
                  <w:r>
                    <w:rPr>
                      <w:rFonts w:hint="eastAsia"/>
                      <w:color w:val="auto"/>
                      <w:sz w:val="18"/>
                      <w:szCs w:val="18"/>
                    </w:rPr>
                    <w:instrText xml:space="preserve"> HYPERLINK "https://baike.so.com/doc/46322-48418.html" \t "https://baike.so.com/doc/_blank" </w:instrText>
                  </w:r>
                  <w:r>
                    <w:rPr>
                      <w:rFonts w:hint="eastAsia"/>
                      <w:color w:val="auto"/>
                      <w:sz w:val="18"/>
                      <w:szCs w:val="18"/>
                    </w:rPr>
                    <w:fldChar w:fldCharType="separate"/>
                  </w:r>
                  <w:r>
                    <w:rPr>
                      <w:rFonts w:hint="eastAsia"/>
                      <w:color w:val="auto"/>
                      <w:sz w:val="18"/>
                      <w:szCs w:val="18"/>
                    </w:rPr>
                    <w:t>合金</w:t>
                  </w:r>
                  <w:r>
                    <w:rPr>
                      <w:rFonts w:hint="eastAsia"/>
                      <w:color w:val="auto"/>
                      <w:sz w:val="18"/>
                      <w:szCs w:val="18"/>
                    </w:rPr>
                    <w:fldChar w:fldCharType="end"/>
                  </w:r>
                  <w:r>
                    <w:rPr>
                      <w:rFonts w:hint="eastAsia"/>
                      <w:color w:val="auto"/>
                      <w:sz w:val="18"/>
                      <w:szCs w:val="18"/>
                    </w:rPr>
                    <w:t>添加剂，占五氧化二钒总消耗量的</w:t>
                  </w:r>
                  <w:r>
                    <w:rPr>
                      <w:rFonts w:hint="eastAsia"/>
                      <w:color w:val="auto"/>
                      <w:sz w:val="18"/>
                      <w:szCs w:val="18"/>
                      <w:lang w:eastAsia="zh-CN"/>
                    </w:rPr>
                    <w:t>85%以上</w:t>
                  </w:r>
                  <w:r>
                    <w:rPr>
                      <w:rFonts w:hint="eastAsia"/>
                      <w:color w:val="auto"/>
                      <w:sz w:val="18"/>
                      <w:szCs w:val="18"/>
                    </w:rPr>
                    <w:t>，其次是用作有机化工的</w:t>
                  </w:r>
                  <w:r>
                    <w:rPr>
                      <w:rFonts w:hint="eastAsia"/>
                      <w:color w:val="auto"/>
                      <w:sz w:val="18"/>
                      <w:szCs w:val="18"/>
                    </w:rPr>
                    <w:fldChar w:fldCharType="begin"/>
                  </w:r>
                  <w:r>
                    <w:rPr>
                      <w:rFonts w:hint="eastAsia"/>
                      <w:color w:val="auto"/>
                      <w:sz w:val="18"/>
                      <w:szCs w:val="18"/>
                    </w:rPr>
                    <w:instrText xml:space="preserve"> HYPERLINK "https://baike.so.com/doc/1342587-1419303.html" \t "https://baike.so.com/doc/_blank" </w:instrText>
                  </w:r>
                  <w:r>
                    <w:rPr>
                      <w:rFonts w:hint="eastAsia"/>
                      <w:color w:val="auto"/>
                      <w:sz w:val="18"/>
                      <w:szCs w:val="18"/>
                    </w:rPr>
                    <w:fldChar w:fldCharType="separate"/>
                  </w:r>
                  <w:r>
                    <w:rPr>
                      <w:rFonts w:hint="eastAsia"/>
                      <w:color w:val="auto"/>
                      <w:sz w:val="18"/>
                      <w:szCs w:val="18"/>
                    </w:rPr>
                    <w:t>催化剂</w:t>
                  </w:r>
                  <w:r>
                    <w:rPr>
                      <w:rFonts w:hint="eastAsia"/>
                      <w:color w:val="auto"/>
                      <w:sz w:val="18"/>
                      <w:szCs w:val="18"/>
                    </w:rPr>
                    <w:fldChar w:fldCharType="end"/>
                  </w:r>
                  <w:r>
                    <w:rPr>
                      <w:rFonts w:hint="eastAsia"/>
                      <w:color w:val="auto"/>
                      <w:sz w:val="18"/>
                      <w:szCs w:val="18"/>
                    </w:rPr>
                    <w:t>，即触媒，约占总量的10%，另处用作无机化学品、化学试剂、搪瓷和磁性材料等约占总量的10%。</w:t>
                  </w:r>
                </w:p>
              </w:tc>
            </w:tr>
            <w:tr w14:paraId="061667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0" w:type="auto"/>
                  <w:vAlign w:val="center"/>
                </w:tcPr>
                <w:p w14:paraId="49BF7B12">
                  <w:pPr>
                    <w:jc w:val="center"/>
                    <w:rPr>
                      <w:rFonts w:hint="eastAsia" w:ascii="Times New Roman" w:hAnsi="Times New Roman" w:eastAsia="宋体" w:cs="Times New Roman"/>
                      <w:color w:val="auto"/>
                      <w:kern w:val="2"/>
                      <w:sz w:val="18"/>
                      <w:szCs w:val="18"/>
                      <w:lang w:val="en-US" w:eastAsia="zh-CN" w:bidi="ar-SA"/>
                    </w:rPr>
                  </w:pPr>
                  <w:r>
                    <w:rPr>
                      <w:rFonts w:hint="eastAsia"/>
                      <w:color w:val="auto"/>
                      <w:sz w:val="18"/>
                      <w:lang w:val="en-US" w:eastAsia="zh-CN"/>
                    </w:rPr>
                    <w:t>5</w:t>
                  </w:r>
                </w:p>
              </w:tc>
              <w:tc>
                <w:tcPr>
                  <w:tcW w:w="0" w:type="auto"/>
                  <w:shd w:val="clear" w:color="auto" w:fill="auto"/>
                  <w:vAlign w:val="center"/>
                </w:tcPr>
                <w:p w14:paraId="169F227E">
                  <w:pPr>
                    <w:jc w:val="center"/>
                    <w:rPr>
                      <w:rFonts w:hint="eastAsia" w:ascii="Times New Roman" w:hAnsi="Times New Roman" w:eastAsia="宋体" w:cs="Times New Roman"/>
                      <w:color w:val="auto"/>
                      <w:kern w:val="0"/>
                      <w:sz w:val="18"/>
                      <w:szCs w:val="18"/>
                      <w:lang w:val="en-US" w:eastAsia="zh-CN" w:bidi="ar-SA"/>
                    </w:rPr>
                  </w:pPr>
                  <w:r>
                    <w:rPr>
                      <w:rFonts w:hint="eastAsia"/>
                      <w:color w:val="auto"/>
                      <w:kern w:val="0"/>
                      <w:sz w:val="18"/>
                      <w:szCs w:val="18"/>
                      <w:lang w:eastAsia="zh-CN"/>
                    </w:rPr>
                    <w:t>尿素</w:t>
                  </w:r>
                </w:p>
              </w:tc>
              <w:tc>
                <w:tcPr>
                  <w:tcW w:w="0" w:type="auto"/>
                  <w:shd w:val="clear" w:color="auto" w:fill="auto"/>
                  <w:vAlign w:val="center"/>
                </w:tcPr>
                <w:p w14:paraId="08510BE9">
                  <w:pPr>
                    <w:adjustRightInd w:val="0"/>
                    <w:snapToGrid w:val="0"/>
                    <w:jc w:val="left"/>
                    <w:rPr>
                      <w:rFonts w:hint="eastAsia" w:eastAsia="宋体"/>
                      <w:color w:val="auto"/>
                      <w:sz w:val="18"/>
                      <w:szCs w:val="18"/>
                      <w:lang w:eastAsia="zh-CN"/>
                    </w:rPr>
                  </w:pPr>
                  <w:r>
                    <w:rPr>
                      <w:rFonts w:hint="eastAsia"/>
                      <w:color w:val="auto"/>
                      <w:sz w:val="18"/>
                      <w:szCs w:val="18"/>
                    </w:rPr>
                    <w:t>尿素，又称碳酰胺（carbamide)，是由碳、氮、氧、氢组成的有机化合物是一种白色晶体。最简单的有机化合物之一，是哺乳动物和某些鱼类体内蛋白质代谢分解的主要含氮终产物。也是目前含氮量最高的氮肥。</w:t>
                  </w:r>
                </w:p>
                <w:p w14:paraId="6848896C">
                  <w:pPr>
                    <w:adjustRightInd w:val="0"/>
                    <w:snapToGrid w:val="0"/>
                    <w:jc w:val="left"/>
                    <w:rPr>
                      <w:rFonts w:hint="eastAsia" w:ascii="Times New Roman" w:hAnsi="Times New Roman" w:eastAsia="宋体" w:cs="Times New Roman"/>
                      <w:color w:val="auto"/>
                      <w:kern w:val="2"/>
                      <w:sz w:val="18"/>
                      <w:szCs w:val="18"/>
                      <w:lang w:val="en-US" w:eastAsia="zh-CN" w:bidi="ar-SA"/>
                    </w:rPr>
                  </w:pPr>
                  <w:r>
                    <w:rPr>
                      <w:rFonts w:hint="eastAsia"/>
                      <w:color w:val="auto"/>
                      <w:sz w:val="18"/>
                      <w:szCs w:val="18"/>
                    </w:rPr>
                    <w:t>化学式：CO(NH</w:t>
                  </w:r>
                  <w:r>
                    <w:rPr>
                      <w:rFonts w:hint="eastAsia"/>
                      <w:color w:val="auto"/>
                      <w:sz w:val="18"/>
                      <w:szCs w:val="18"/>
                      <w:vertAlign w:val="subscript"/>
                    </w:rPr>
                    <w:t>2</w:t>
                  </w:r>
                  <w:r>
                    <w:rPr>
                      <w:rFonts w:hint="eastAsia"/>
                      <w:color w:val="auto"/>
                      <w:sz w:val="18"/>
                      <w:szCs w:val="18"/>
                    </w:rPr>
                    <w:t>)</w:t>
                  </w:r>
                  <w:r>
                    <w:rPr>
                      <w:rFonts w:hint="eastAsia"/>
                      <w:color w:val="auto"/>
                      <w:sz w:val="18"/>
                      <w:szCs w:val="18"/>
                      <w:vertAlign w:val="subscript"/>
                    </w:rPr>
                    <w:t>2</w:t>
                  </w:r>
                  <w:r>
                    <w:rPr>
                      <w:rFonts w:hint="eastAsia"/>
                      <w:color w:val="auto"/>
                      <w:sz w:val="18"/>
                      <w:szCs w:val="18"/>
                    </w:rPr>
                    <w:t>，分子质量60.06，无色或白色针状或棒状结晶体，工业或农业品为白色略带微红色固体颗粒，无臭无味。含氮量约为46.67%。密度1.335g/cm</w:t>
                  </w:r>
                  <w:r>
                    <w:rPr>
                      <w:rFonts w:hint="eastAsia"/>
                      <w:color w:val="auto"/>
                      <w:sz w:val="18"/>
                      <w:szCs w:val="18"/>
                      <w:vertAlign w:val="superscript"/>
                    </w:rPr>
                    <w:t>3</w:t>
                  </w:r>
                  <w:r>
                    <w:rPr>
                      <w:rFonts w:hint="eastAsia"/>
                      <w:color w:val="auto"/>
                      <w:sz w:val="18"/>
                      <w:szCs w:val="18"/>
                    </w:rPr>
                    <w:t>。熔点132.7℃。溶于水、醇，难溶于乙醚、氯仿。呈弱碱性。</w:t>
                  </w:r>
                </w:p>
              </w:tc>
            </w:tr>
          </w:tbl>
          <w:p w14:paraId="5042A83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p>
          <w:p w14:paraId="6ED1011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2.7劳动定员</w:t>
            </w:r>
          </w:p>
          <w:p w14:paraId="02C9796F">
            <w:pPr>
              <w:pStyle w:val="103"/>
              <w:adjustRightInd/>
              <w:snapToGrid/>
              <w:spacing w:line="360" w:lineRule="auto"/>
              <w:rPr>
                <w:rFonts w:hint="eastAsia"/>
                <w:color w:val="auto"/>
                <w:highlight w:val="none"/>
                <w:lang w:eastAsia="zh-CN"/>
              </w:rPr>
            </w:pPr>
            <w:r>
              <w:rPr>
                <w:rFonts w:hint="eastAsia"/>
                <w:color w:val="auto"/>
                <w:highlight w:val="none"/>
                <w:lang w:eastAsia="zh-CN"/>
              </w:rPr>
              <w:t>续建工程不新增员工，人员从现有工程中调配。现有工程定员18人，每天24小时连续生产，生产车间操作人员采用四班三运转，每班8小时，年工作3</w:t>
            </w:r>
            <w:r>
              <w:rPr>
                <w:rFonts w:hint="eastAsia"/>
                <w:color w:val="auto"/>
                <w:highlight w:val="none"/>
                <w:lang w:val="en-US" w:eastAsia="zh-CN"/>
              </w:rPr>
              <w:t>3</w:t>
            </w:r>
            <w:r>
              <w:rPr>
                <w:rFonts w:hint="eastAsia"/>
                <w:color w:val="auto"/>
                <w:highlight w:val="none"/>
                <w:lang w:eastAsia="zh-CN"/>
              </w:rPr>
              <w:t>0天。</w:t>
            </w:r>
          </w:p>
          <w:p w14:paraId="22270F2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p>
          <w:p w14:paraId="4605BDC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2.8水源及</w:t>
            </w:r>
            <w:bookmarkStart w:id="2" w:name="OLE_LINK1"/>
            <w:r>
              <w:rPr>
                <w:rFonts w:hint="eastAsia" w:ascii="Times New Roman" w:hAnsi="Times New Roman" w:eastAsia="黑体" w:cs="Times New Roman"/>
                <w:b/>
                <w:color w:val="auto"/>
                <w:sz w:val="24"/>
                <w:szCs w:val="24"/>
                <w:highlight w:val="none"/>
              </w:rPr>
              <w:t>水平衡</w:t>
            </w:r>
            <w:bookmarkEnd w:id="2"/>
          </w:p>
          <w:p w14:paraId="0FF472CA">
            <w:pPr>
              <w:tabs>
                <w:tab w:val="left" w:pos="3240"/>
              </w:tabs>
              <w:adjustRightInd/>
              <w:snapToGrid/>
              <w:spacing w:line="360" w:lineRule="auto"/>
              <w:ind w:firstLine="480" w:firstLineChars="200"/>
              <w:rPr>
                <w:rFonts w:eastAsiaTheme="minorEastAsia"/>
                <w:color w:val="auto"/>
                <w:sz w:val="24"/>
                <w:highlight w:val="none"/>
              </w:rPr>
            </w:pPr>
            <w:r>
              <w:rPr>
                <w:rFonts w:eastAsiaTheme="minorEastAsia"/>
                <w:color w:val="auto"/>
                <w:kern w:val="0"/>
                <w:sz w:val="24"/>
                <w:szCs w:val="20"/>
                <w:highlight w:val="none"/>
              </w:rPr>
              <w:t>（1）给水系统：</w:t>
            </w:r>
            <w:r>
              <w:rPr>
                <w:rFonts w:hint="eastAsia" w:eastAsiaTheme="minorEastAsia"/>
                <w:color w:val="auto"/>
                <w:kern w:val="0"/>
                <w:sz w:val="24"/>
                <w:szCs w:val="20"/>
                <w:highlight w:val="none"/>
              </w:rPr>
              <w:t>项目用水依托长山口填埋场内已有的市政自来水管。</w:t>
            </w:r>
            <w:r>
              <w:rPr>
                <w:rFonts w:hint="eastAsia" w:eastAsiaTheme="minorEastAsia"/>
                <w:color w:val="auto"/>
                <w:kern w:val="0"/>
                <w:sz w:val="24"/>
                <w:szCs w:val="20"/>
                <w:highlight w:val="none"/>
                <w:lang w:eastAsia="zh-CN"/>
              </w:rPr>
              <w:t>续建工程</w:t>
            </w:r>
            <w:r>
              <w:rPr>
                <w:rFonts w:hint="eastAsia" w:eastAsiaTheme="minorEastAsia"/>
                <w:color w:val="auto"/>
                <w:kern w:val="0"/>
                <w:sz w:val="24"/>
                <w:szCs w:val="20"/>
                <w:highlight w:val="none"/>
              </w:rPr>
              <w:t>用水主要为</w:t>
            </w:r>
            <w:r>
              <w:rPr>
                <w:rFonts w:hint="eastAsia" w:eastAsiaTheme="minorEastAsia"/>
                <w:color w:val="auto"/>
                <w:kern w:val="0"/>
                <w:sz w:val="24"/>
                <w:szCs w:val="20"/>
                <w:highlight w:val="none"/>
                <w:lang w:eastAsia="zh-CN"/>
              </w:rPr>
              <w:t>冷却循环</w:t>
            </w:r>
            <w:r>
              <w:rPr>
                <w:rFonts w:hint="eastAsia" w:eastAsiaTheme="minorEastAsia"/>
                <w:color w:val="auto"/>
                <w:kern w:val="0"/>
                <w:sz w:val="24"/>
                <w:szCs w:val="20"/>
                <w:highlight w:val="none"/>
              </w:rPr>
              <w:t>用水等。</w:t>
            </w:r>
            <w:r>
              <w:rPr>
                <w:rFonts w:hint="eastAsia"/>
                <w:color w:val="auto"/>
                <w:sz w:val="24"/>
                <w:highlight w:val="none"/>
              </w:rPr>
              <w:t>根据</w:t>
            </w:r>
            <w:r>
              <w:rPr>
                <w:rFonts w:hint="eastAsia"/>
                <w:color w:val="auto"/>
                <w:sz w:val="24"/>
                <w:highlight w:val="none"/>
                <w:lang w:eastAsia="zh-CN"/>
              </w:rPr>
              <w:t>《武汉市江夏长山口生活垃圾卫生填埋场填埋气利用发电项目（续建工程）环境影响评价报告表》（报批本）</w:t>
            </w:r>
            <w:r>
              <w:rPr>
                <w:rFonts w:hint="eastAsia"/>
                <w:color w:val="auto"/>
                <w:sz w:val="24"/>
                <w:highlight w:val="none"/>
              </w:rPr>
              <w:t>，</w:t>
            </w:r>
            <w:r>
              <w:rPr>
                <w:rFonts w:hint="eastAsia" w:eastAsiaTheme="minorEastAsia"/>
                <w:color w:val="auto"/>
                <w:kern w:val="0"/>
                <w:sz w:val="24"/>
                <w:szCs w:val="20"/>
                <w:highlight w:val="none"/>
                <w:lang w:eastAsia="zh-CN"/>
              </w:rPr>
              <w:t>续建工程</w:t>
            </w:r>
            <w:r>
              <w:rPr>
                <w:rFonts w:hint="eastAsia" w:eastAsiaTheme="minorEastAsia"/>
                <w:color w:val="auto"/>
                <w:sz w:val="24"/>
                <w:highlight w:val="none"/>
              </w:rPr>
              <w:t>新增用水量为</w:t>
            </w:r>
            <w:r>
              <w:rPr>
                <w:rFonts w:hint="eastAsia" w:eastAsiaTheme="minorEastAsia"/>
                <w:color w:val="auto"/>
                <w:sz w:val="24"/>
                <w:highlight w:val="none"/>
                <w:lang w:val="en-US" w:eastAsia="zh-CN"/>
              </w:rPr>
              <w:t>12000</w:t>
            </w:r>
            <w:r>
              <w:rPr>
                <w:rFonts w:hint="eastAsia" w:eastAsiaTheme="minorEastAsia"/>
                <w:color w:val="auto"/>
                <w:sz w:val="24"/>
                <w:highlight w:val="none"/>
              </w:rPr>
              <w:t>m</w:t>
            </w:r>
            <w:r>
              <w:rPr>
                <w:rFonts w:hint="eastAsia" w:eastAsiaTheme="minorEastAsia"/>
                <w:color w:val="auto"/>
                <w:sz w:val="24"/>
                <w:highlight w:val="none"/>
                <w:vertAlign w:val="superscript"/>
              </w:rPr>
              <w:t>3</w:t>
            </w:r>
            <w:r>
              <w:rPr>
                <w:rFonts w:hint="eastAsia" w:eastAsiaTheme="minorEastAsia"/>
                <w:color w:val="auto"/>
                <w:sz w:val="24"/>
                <w:highlight w:val="none"/>
              </w:rPr>
              <w:t>/a。</w:t>
            </w:r>
          </w:p>
          <w:p w14:paraId="24AFBFFF">
            <w:pPr>
              <w:pStyle w:val="103"/>
              <w:adjustRightInd/>
              <w:snapToGrid/>
              <w:spacing w:line="360" w:lineRule="auto"/>
              <w:rPr>
                <w:rFonts w:eastAsiaTheme="minorEastAsia"/>
                <w:color w:val="auto"/>
                <w:highlight w:val="none"/>
              </w:rPr>
            </w:pPr>
            <w:r>
              <w:rPr>
                <w:rFonts w:eastAsiaTheme="minorEastAsia"/>
                <w:color w:val="auto"/>
                <w:highlight w:val="none"/>
              </w:rPr>
              <w:t>（2）排水系统：</w:t>
            </w:r>
          </w:p>
          <w:p w14:paraId="66334699">
            <w:pPr>
              <w:pStyle w:val="103"/>
              <w:adjustRightInd/>
              <w:snapToGrid/>
              <w:spacing w:line="360" w:lineRule="auto"/>
              <w:rPr>
                <w:rFonts w:hint="eastAsia"/>
                <w:color w:val="auto"/>
                <w:szCs w:val="24"/>
                <w:highlight w:val="none"/>
              </w:rPr>
            </w:pPr>
            <w:r>
              <w:rPr>
                <w:color w:val="auto"/>
                <w:szCs w:val="24"/>
                <w:highlight w:val="none"/>
              </w:rPr>
              <w:t>项目采用雨</w:t>
            </w:r>
            <w:r>
              <w:rPr>
                <w:rFonts w:hint="eastAsia"/>
                <w:color w:val="auto"/>
                <w:szCs w:val="24"/>
                <w:highlight w:val="none"/>
              </w:rPr>
              <w:t>、</w:t>
            </w:r>
            <w:r>
              <w:rPr>
                <w:color w:val="auto"/>
                <w:szCs w:val="24"/>
                <w:highlight w:val="none"/>
              </w:rPr>
              <w:t>污分流制，</w:t>
            </w:r>
            <w:r>
              <w:rPr>
                <w:rFonts w:hint="eastAsia"/>
                <w:color w:val="auto"/>
                <w:highlight w:val="none"/>
              </w:rPr>
              <w:t>雨水经厂区雨水管网收集后</w:t>
            </w:r>
            <w:r>
              <w:rPr>
                <w:rFonts w:hint="eastAsia"/>
                <w:color w:val="auto"/>
                <w:highlight w:val="none"/>
                <w:lang w:eastAsia="zh-CN"/>
              </w:rPr>
              <w:t>由</w:t>
            </w:r>
            <w:r>
              <w:rPr>
                <w:rFonts w:hint="eastAsia" w:eastAsiaTheme="minorEastAsia"/>
                <w:color w:val="auto"/>
                <w:sz w:val="24"/>
                <w:highlight w:val="none"/>
              </w:rPr>
              <w:t>长山口填埋场</w:t>
            </w:r>
            <w:r>
              <w:rPr>
                <w:rFonts w:hint="eastAsia"/>
                <w:color w:val="auto"/>
                <w:highlight w:val="none"/>
              </w:rPr>
              <w:t>雨水管网</w:t>
            </w:r>
            <w:r>
              <w:rPr>
                <w:rFonts w:hint="eastAsia"/>
                <w:color w:val="auto"/>
                <w:highlight w:val="none"/>
                <w:lang w:eastAsia="zh-CN"/>
              </w:rPr>
              <w:t>排入</w:t>
            </w:r>
            <w:r>
              <w:rPr>
                <w:rFonts w:hint="eastAsia"/>
                <w:color w:val="auto"/>
                <w:highlight w:val="none"/>
              </w:rPr>
              <w:t>市政雨水管网</w:t>
            </w:r>
            <w:r>
              <w:rPr>
                <w:rFonts w:hint="eastAsia"/>
                <w:color w:val="auto"/>
                <w:szCs w:val="24"/>
                <w:highlight w:val="none"/>
              </w:rPr>
              <w:t>。</w:t>
            </w:r>
          </w:p>
          <w:p w14:paraId="16BB1352">
            <w:pPr>
              <w:pStyle w:val="103"/>
              <w:adjustRightInd/>
              <w:snapToGrid/>
              <w:spacing w:line="360" w:lineRule="auto"/>
              <w:rPr>
                <w:color w:val="auto"/>
                <w:highlight w:val="none"/>
              </w:rPr>
            </w:pPr>
            <w:r>
              <w:rPr>
                <w:rFonts w:hint="eastAsia"/>
                <w:color w:val="auto"/>
                <w:szCs w:val="24"/>
                <w:highlight w:val="none"/>
                <w:lang w:eastAsia="zh-CN"/>
              </w:rPr>
              <w:t>续建工程</w:t>
            </w:r>
            <w:r>
              <w:rPr>
                <w:color w:val="auto"/>
                <w:szCs w:val="24"/>
                <w:highlight w:val="none"/>
              </w:rPr>
              <w:t>废水主要为</w:t>
            </w:r>
            <w:r>
              <w:rPr>
                <w:rFonts w:hint="eastAsia"/>
                <w:color w:val="auto"/>
                <w:highlight w:val="none"/>
              </w:rPr>
              <w:t>填埋气冷凝</w:t>
            </w:r>
            <w:r>
              <w:rPr>
                <w:rFonts w:hint="eastAsia"/>
                <w:color w:val="auto"/>
                <w:kern w:val="0"/>
                <w:sz w:val="24"/>
                <w:szCs w:val="24"/>
                <w:highlight w:val="none"/>
              </w:rPr>
              <w:t>废</w:t>
            </w:r>
            <w:r>
              <w:rPr>
                <w:rFonts w:hint="eastAsia"/>
                <w:color w:val="auto"/>
                <w:highlight w:val="none"/>
              </w:rPr>
              <w:t>水等</w:t>
            </w:r>
            <w:r>
              <w:rPr>
                <w:rFonts w:hint="eastAsia"/>
                <w:color w:val="auto"/>
                <w:szCs w:val="24"/>
                <w:highlight w:val="none"/>
                <w:lang w:eastAsia="zh-CN"/>
              </w:rPr>
              <w:t>，</w:t>
            </w:r>
            <w:r>
              <w:rPr>
                <w:rFonts w:hint="eastAsia"/>
                <w:color w:val="auto"/>
                <w:kern w:val="0"/>
                <w:sz w:val="24"/>
                <w:szCs w:val="24"/>
                <w:highlight w:val="none"/>
              </w:rPr>
              <w:t>填埋气冷凝废水直接排入长山口填埋场现有渗滤液处理站。各类废水经渗滤液处理站处理达标后排入金口污水处理厂进一步处理</w:t>
            </w:r>
            <w:r>
              <w:rPr>
                <w:rFonts w:hint="eastAsia"/>
                <w:color w:val="auto"/>
                <w:highlight w:val="none"/>
              </w:rPr>
              <w:t>。</w:t>
            </w:r>
          </w:p>
          <w:p w14:paraId="29043959">
            <w:pPr>
              <w:pStyle w:val="103"/>
              <w:adjustRightInd/>
              <w:snapToGrid/>
              <w:spacing w:line="360" w:lineRule="auto"/>
              <w:rPr>
                <w:rFonts w:hint="eastAsia" w:ascii="Times New Roman" w:hAnsi="Times New Roman" w:eastAsia="宋体" w:cs="Times New Roman"/>
                <w:color w:val="auto"/>
                <w:szCs w:val="24"/>
                <w:highlight w:val="none"/>
              </w:rPr>
            </w:pPr>
            <w:r>
              <w:rPr>
                <w:rFonts w:hint="eastAsia" w:cs="Times New Roman"/>
                <w:color w:val="auto"/>
                <w:szCs w:val="24"/>
                <w:highlight w:val="none"/>
                <w:lang w:eastAsia="zh-CN"/>
              </w:rPr>
              <w:t>续建工程</w:t>
            </w:r>
            <w:r>
              <w:rPr>
                <w:rFonts w:hint="eastAsia" w:ascii="Times New Roman" w:hAnsi="Times New Roman" w:eastAsia="宋体" w:cs="Times New Roman"/>
                <w:color w:val="auto"/>
                <w:szCs w:val="24"/>
                <w:highlight w:val="none"/>
              </w:rPr>
              <w:t>给排水平衡见下表和下图。</w:t>
            </w:r>
          </w:p>
          <w:p w14:paraId="69AF954B">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项目给排水情况一览表单位：m</w:t>
            </w:r>
            <w:r>
              <w:rPr>
                <w:rFonts w:hint="eastAsia" w:ascii="Times New Roman" w:hAnsi="Times New Roman" w:cs="Times New Roman"/>
                <w:color w:val="auto"/>
                <w:sz w:val="21"/>
                <w:highlight w:val="none"/>
                <w:vertAlign w:val="superscript"/>
              </w:rPr>
              <w:t>3</w:t>
            </w:r>
            <w:r>
              <w:rPr>
                <w:rFonts w:hint="eastAsia" w:ascii="Times New Roman" w:hAnsi="Times New Roman" w:cs="Times New Roman"/>
                <w:color w:val="auto"/>
                <w:sz w:val="21"/>
                <w:highlight w:val="none"/>
              </w:rPr>
              <w:t>/a</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1752"/>
              <w:gridCol w:w="963"/>
              <w:gridCol w:w="688"/>
              <w:gridCol w:w="869"/>
              <w:gridCol w:w="885"/>
              <w:gridCol w:w="869"/>
              <w:gridCol w:w="862"/>
              <w:gridCol w:w="2177"/>
            </w:tblGrid>
            <w:tr w14:paraId="5D0B1A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66" w:type="pct"/>
                  <w:vMerge w:val="restart"/>
                  <w:tcBorders>
                    <w:right w:val="single" w:color="auto" w:sz="4" w:space="0"/>
                  </w:tcBorders>
                  <w:noWrap w:val="0"/>
                  <w:vAlign w:val="center"/>
                </w:tcPr>
                <w:p w14:paraId="5D838805">
                  <w:pPr>
                    <w:jc w:val="center"/>
                    <w:rPr>
                      <w:color w:val="auto"/>
                      <w:sz w:val="18"/>
                    </w:rPr>
                  </w:pPr>
                  <w:r>
                    <w:rPr>
                      <w:color w:val="auto"/>
                      <w:sz w:val="18"/>
                    </w:rPr>
                    <w:t>项目</w:t>
                  </w:r>
                </w:p>
              </w:tc>
              <w:tc>
                <w:tcPr>
                  <w:tcW w:w="1389" w:type="pct"/>
                  <w:gridSpan w:val="3"/>
                  <w:tcBorders>
                    <w:top w:val="single" w:color="auto" w:sz="12" w:space="0"/>
                    <w:left w:val="single" w:color="auto" w:sz="4" w:space="0"/>
                    <w:bottom w:val="single" w:color="auto" w:sz="4" w:space="0"/>
                    <w:right w:val="single" w:color="auto" w:sz="4" w:space="0"/>
                  </w:tcBorders>
                  <w:noWrap w:val="0"/>
                  <w:vAlign w:val="center"/>
                </w:tcPr>
                <w:p w14:paraId="64B323F0">
                  <w:pPr>
                    <w:jc w:val="center"/>
                    <w:rPr>
                      <w:rFonts w:hint="eastAsia"/>
                      <w:color w:val="auto"/>
                      <w:sz w:val="18"/>
                    </w:rPr>
                  </w:pPr>
                  <w:r>
                    <w:rPr>
                      <w:rFonts w:hint="eastAsia"/>
                      <w:color w:val="auto"/>
                      <w:sz w:val="18"/>
                    </w:rPr>
                    <w:t>进水</w:t>
                  </w:r>
                </w:p>
              </w:tc>
              <w:tc>
                <w:tcPr>
                  <w:tcW w:w="1442" w:type="pct"/>
                  <w:gridSpan w:val="3"/>
                  <w:tcBorders>
                    <w:top w:val="single" w:color="auto" w:sz="12" w:space="0"/>
                    <w:left w:val="single" w:color="auto" w:sz="4" w:space="0"/>
                    <w:bottom w:val="single" w:color="auto" w:sz="4" w:space="0"/>
                    <w:right w:val="single" w:color="auto" w:sz="4" w:space="0"/>
                  </w:tcBorders>
                  <w:noWrap w:val="0"/>
                  <w:vAlign w:val="center"/>
                </w:tcPr>
                <w:p w14:paraId="70AB6958">
                  <w:pPr>
                    <w:jc w:val="center"/>
                    <w:rPr>
                      <w:rFonts w:hint="eastAsia"/>
                      <w:color w:val="auto"/>
                      <w:sz w:val="18"/>
                    </w:rPr>
                  </w:pPr>
                  <w:r>
                    <w:rPr>
                      <w:rFonts w:hint="eastAsia"/>
                      <w:color w:val="auto"/>
                      <w:sz w:val="18"/>
                    </w:rPr>
                    <w:t>出水</w:t>
                  </w:r>
                </w:p>
              </w:tc>
              <w:tc>
                <w:tcPr>
                  <w:tcW w:w="1200" w:type="pct"/>
                  <w:vMerge w:val="restart"/>
                  <w:tcBorders>
                    <w:left w:val="single" w:color="auto" w:sz="4" w:space="0"/>
                  </w:tcBorders>
                  <w:noWrap w:val="0"/>
                  <w:vAlign w:val="center"/>
                </w:tcPr>
                <w:p w14:paraId="16599B74">
                  <w:pPr>
                    <w:jc w:val="center"/>
                    <w:rPr>
                      <w:color w:val="auto"/>
                      <w:sz w:val="18"/>
                    </w:rPr>
                  </w:pPr>
                  <w:r>
                    <w:rPr>
                      <w:color w:val="auto"/>
                      <w:sz w:val="18"/>
                    </w:rPr>
                    <w:t>备注</w:t>
                  </w:r>
                </w:p>
              </w:tc>
            </w:tr>
            <w:tr w14:paraId="68E3FF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66" w:type="pct"/>
                  <w:vMerge w:val="continue"/>
                  <w:tcBorders>
                    <w:bottom w:val="single" w:color="auto" w:sz="12" w:space="0"/>
                    <w:right w:val="single" w:color="auto" w:sz="4" w:space="0"/>
                  </w:tcBorders>
                  <w:noWrap w:val="0"/>
                  <w:vAlign w:val="center"/>
                </w:tcPr>
                <w:p w14:paraId="076947D1">
                  <w:pPr>
                    <w:jc w:val="center"/>
                    <w:rPr>
                      <w:color w:val="auto"/>
                    </w:rPr>
                  </w:pPr>
                </w:p>
              </w:tc>
              <w:tc>
                <w:tcPr>
                  <w:tcW w:w="531" w:type="pct"/>
                  <w:tcBorders>
                    <w:top w:val="single" w:color="auto" w:sz="4" w:space="0"/>
                    <w:left w:val="single" w:color="auto" w:sz="4" w:space="0"/>
                    <w:bottom w:val="single" w:color="auto" w:sz="12" w:space="0"/>
                    <w:right w:val="single" w:color="auto" w:sz="4" w:space="0"/>
                  </w:tcBorders>
                  <w:noWrap w:val="0"/>
                  <w:vAlign w:val="center"/>
                </w:tcPr>
                <w:p w14:paraId="5058A0DB">
                  <w:pPr>
                    <w:jc w:val="center"/>
                    <w:rPr>
                      <w:color w:val="auto"/>
                      <w:sz w:val="18"/>
                    </w:rPr>
                  </w:pPr>
                  <w:r>
                    <w:rPr>
                      <w:color w:val="auto"/>
                      <w:sz w:val="18"/>
                    </w:rPr>
                    <w:t>新鲜水</w:t>
                  </w:r>
                </w:p>
                <w:p w14:paraId="70F04030">
                  <w:pPr>
                    <w:jc w:val="center"/>
                    <w:rPr>
                      <w:color w:val="auto"/>
                      <w:sz w:val="18"/>
                    </w:rPr>
                  </w:pPr>
                  <w:r>
                    <w:rPr>
                      <w:color w:val="auto"/>
                      <w:sz w:val="18"/>
                    </w:rPr>
                    <w:t>用水量</w:t>
                  </w:r>
                </w:p>
              </w:tc>
              <w:tc>
                <w:tcPr>
                  <w:tcW w:w="379" w:type="pct"/>
                  <w:tcBorders>
                    <w:top w:val="single" w:color="auto" w:sz="4" w:space="0"/>
                    <w:left w:val="single" w:color="auto" w:sz="4" w:space="0"/>
                    <w:bottom w:val="single" w:color="auto" w:sz="12" w:space="0"/>
                    <w:right w:val="single" w:color="auto" w:sz="4" w:space="0"/>
                  </w:tcBorders>
                  <w:noWrap w:val="0"/>
                  <w:vAlign w:val="center"/>
                </w:tcPr>
                <w:p w14:paraId="361BF2AA">
                  <w:pPr>
                    <w:jc w:val="center"/>
                    <w:rPr>
                      <w:color w:val="auto"/>
                      <w:sz w:val="18"/>
                    </w:rPr>
                  </w:pPr>
                  <w:r>
                    <w:rPr>
                      <w:color w:val="auto"/>
                      <w:sz w:val="18"/>
                    </w:rPr>
                    <w:t>自带</w:t>
                  </w:r>
                </w:p>
              </w:tc>
              <w:tc>
                <w:tcPr>
                  <w:tcW w:w="479" w:type="pct"/>
                  <w:tcBorders>
                    <w:top w:val="single" w:color="auto" w:sz="4" w:space="0"/>
                    <w:left w:val="single" w:color="auto" w:sz="4" w:space="0"/>
                    <w:bottom w:val="single" w:color="auto" w:sz="12" w:space="0"/>
                    <w:right w:val="single" w:color="auto" w:sz="4" w:space="0"/>
                  </w:tcBorders>
                  <w:noWrap w:val="0"/>
                  <w:vAlign w:val="center"/>
                </w:tcPr>
                <w:p w14:paraId="0268B6E0">
                  <w:pPr>
                    <w:jc w:val="center"/>
                    <w:rPr>
                      <w:color w:val="auto"/>
                      <w:sz w:val="18"/>
                    </w:rPr>
                  </w:pPr>
                  <w:r>
                    <w:rPr>
                      <w:rFonts w:hint="eastAsia"/>
                      <w:color w:val="auto"/>
                      <w:sz w:val="18"/>
                    </w:rPr>
                    <w:t>回用</w:t>
                  </w:r>
                </w:p>
              </w:tc>
              <w:tc>
                <w:tcPr>
                  <w:tcW w:w="488" w:type="pct"/>
                  <w:tcBorders>
                    <w:top w:val="single" w:color="auto" w:sz="4" w:space="0"/>
                    <w:left w:val="single" w:color="auto" w:sz="4" w:space="0"/>
                    <w:bottom w:val="single" w:color="auto" w:sz="12" w:space="0"/>
                    <w:right w:val="single" w:color="auto" w:sz="4" w:space="0"/>
                  </w:tcBorders>
                  <w:noWrap w:val="0"/>
                  <w:vAlign w:val="center"/>
                </w:tcPr>
                <w:p w14:paraId="4FB98732">
                  <w:pPr>
                    <w:jc w:val="center"/>
                    <w:rPr>
                      <w:color w:val="auto"/>
                      <w:sz w:val="18"/>
                    </w:rPr>
                  </w:pPr>
                  <w:r>
                    <w:rPr>
                      <w:color w:val="auto"/>
                      <w:sz w:val="18"/>
                    </w:rPr>
                    <w:t>损耗水量</w:t>
                  </w:r>
                </w:p>
              </w:tc>
              <w:tc>
                <w:tcPr>
                  <w:tcW w:w="479" w:type="pct"/>
                  <w:tcBorders>
                    <w:top w:val="single" w:color="auto" w:sz="4" w:space="0"/>
                    <w:left w:val="single" w:color="auto" w:sz="4" w:space="0"/>
                    <w:bottom w:val="single" w:color="auto" w:sz="12" w:space="0"/>
                    <w:right w:val="single" w:color="auto" w:sz="4" w:space="0"/>
                  </w:tcBorders>
                  <w:noWrap w:val="0"/>
                  <w:vAlign w:val="center"/>
                </w:tcPr>
                <w:p w14:paraId="11AD458B">
                  <w:pPr>
                    <w:jc w:val="center"/>
                    <w:rPr>
                      <w:color w:val="auto"/>
                      <w:sz w:val="18"/>
                    </w:rPr>
                  </w:pPr>
                  <w:r>
                    <w:rPr>
                      <w:rFonts w:hint="eastAsia"/>
                      <w:color w:val="auto"/>
                      <w:sz w:val="18"/>
                    </w:rPr>
                    <w:t>回用</w:t>
                  </w:r>
                </w:p>
              </w:tc>
              <w:tc>
                <w:tcPr>
                  <w:tcW w:w="475" w:type="pct"/>
                  <w:tcBorders>
                    <w:top w:val="single" w:color="auto" w:sz="4" w:space="0"/>
                    <w:left w:val="single" w:color="auto" w:sz="4" w:space="0"/>
                    <w:bottom w:val="single" w:color="auto" w:sz="12" w:space="0"/>
                    <w:right w:val="single" w:color="auto" w:sz="4" w:space="0"/>
                  </w:tcBorders>
                  <w:noWrap w:val="0"/>
                  <w:vAlign w:val="center"/>
                </w:tcPr>
                <w:p w14:paraId="7B5395EB">
                  <w:pPr>
                    <w:jc w:val="center"/>
                    <w:rPr>
                      <w:color w:val="auto"/>
                      <w:sz w:val="18"/>
                    </w:rPr>
                  </w:pPr>
                  <w:r>
                    <w:rPr>
                      <w:color w:val="auto"/>
                      <w:sz w:val="18"/>
                    </w:rPr>
                    <w:t>污水排放量</w:t>
                  </w:r>
                </w:p>
              </w:tc>
              <w:tc>
                <w:tcPr>
                  <w:tcW w:w="1200" w:type="pct"/>
                  <w:vMerge w:val="continue"/>
                  <w:tcBorders>
                    <w:left w:val="single" w:color="auto" w:sz="4" w:space="0"/>
                    <w:bottom w:val="single" w:color="auto" w:sz="12" w:space="0"/>
                  </w:tcBorders>
                  <w:noWrap w:val="0"/>
                  <w:vAlign w:val="center"/>
                </w:tcPr>
                <w:p w14:paraId="108FB338">
                  <w:pPr>
                    <w:jc w:val="center"/>
                    <w:rPr>
                      <w:color w:val="auto"/>
                      <w:sz w:val="18"/>
                    </w:rPr>
                  </w:pPr>
                </w:p>
              </w:tc>
            </w:tr>
            <w:tr w14:paraId="0AB76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66" w:type="pct"/>
                  <w:tcBorders>
                    <w:top w:val="single" w:color="auto" w:sz="4" w:space="0"/>
                    <w:bottom w:val="single" w:color="auto" w:sz="4" w:space="0"/>
                    <w:right w:val="single" w:color="auto" w:sz="4" w:space="0"/>
                  </w:tcBorders>
                  <w:noWrap w:val="0"/>
                  <w:vAlign w:val="center"/>
                </w:tcPr>
                <w:p w14:paraId="1C416FA1">
                  <w:pPr>
                    <w:spacing w:line="240" w:lineRule="exact"/>
                    <w:jc w:val="center"/>
                    <w:rPr>
                      <w:color w:val="auto"/>
                      <w:sz w:val="18"/>
                    </w:rPr>
                  </w:pPr>
                  <w:r>
                    <w:rPr>
                      <w:rFonts w:hint="eastAsia"/>
                      <w:color w:val="auto"/>
                      <w:sz w:val="18"/>
                    </w:rPr>
                    <w:t>冷却</w:t>
                  </w:r>
                  <w:r>
                    <w:rPr>
                      <w:color w:val="auto"/>
                      <w:sz w:val="18"/>
                    </w:rPr>
                    <w:t>循环用水</w:t>
                  </w:r>
                </w:p>
              </w:tc>
              <w:tc>
                <w:tcPr>
                  <w:tcW w:w="531" w:type="pct"/>
                  <w:tcBorders>
                    <w:top w:val="single" w:color="auto" w:sz="4" w:space="0"/>
                    <w:left w:val="single" w:color="auto" w:sz="4" w:space="0"/>
                    <w:bottom w:val="single" w:color="auto" w:sz="4" w:space="0"/>
                    <w:right w:val="single" w:color="auto" w:sz="4" w:space="0"/>
                  </w:tcBorders>
                  <w:noWrap w:val="0"/>
                  <w:vAlign w:val="center"/>
                </w:tcPr>
                <w:p w14:paraId="0B8D0BEF">
                  <w:pPr>
                    <w:jc w:val="center"/>
                    <w:rPr>
                      <w:color w:val="auto"/>
                      <w:sz w:val="18"/>
                    </w:rPr>
                  </w:pPr>
                  <w:r>
                    <w:rPr>
                      <w:rFonts w:hint="eastAsia"/>
                      <w:color w:val="auto"/>
                      <w:sz w:val="18"/>
                    </w:rPr>
                    <w:t>12000</w:t>
                  </w:r>
                </w:p>
              </w:tc>
              <w:tc>
                <w:tcPr>
                  <w:tcW w:w="379" w:type="pct"/>
                  <w:tcBorders>
                    <w:left w:val="single" w:color="auto" w:sz="4" w:space="0"/>
                    <w:right w:val="single" w:color="auto" w:sz="4" w:space="0"/>
                  </w:tcBorders>
                  <w:noWrap w:val="0"/>
                  <w:vAlign w:val="center"/>
                </w:tcPr>
                <w:p w14:paraId="10510E45">
                  <w:pPr>
                    <w:jc w:val="center"/>
                    <w:rPr>
                      <w:rFonts w:hint="eastAsia"/>
                      <w:color w:val="auto"/>
                      <w:sz w:val="18"/>
                    </w:rPr>
                  </w:pPr>
                  <w:r>
                    <w:rPr>
                      <w:rFonts w:hint="eastAsia"/>
                      <w:color w:val="auto"/>
                      <w:sz w:val="18"/>
                    </w:rPr>
                    <w:t>0</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2E441C0D">
                  <w:pPr>
                    <w:jc w:val="center"/>
                    <w:rPr>
                      <w:color w:val="auto"/>
                      <w:sz w:val="18"/>
                    </w:rPr>
                  </w:pPr>
                  <w:r>
                    <w:rPr>
                      <w:rFonts w:hint="eastAsia"/>
                      <w:color w:val="auto"/>
                      <w:sz w:val="18"/>
                    </w:rPr>
                    <w:t>600000</w:t>
                  </w:r>
                </w:p>
              </w:tc>
              <w:tc>
                <w:tcPr>
                  <w:tcW w:w="488" w:type="pct"/>
                  <w:tcBorders>
                    <w:top w:val="single" w:color="auto" w:sz="4" w:space="0"/>
                    <w:left w:val="single" w:color="auto" w:sz="4" w:space="0"/>
                    <w:bottom w:val="single" w:color="auto" w:sz="4" w:space="0"/>
                    <w:right w:val="single" w:color="auto" w:sz="4" w:space="0"/>
                  </w:tcBorders>
                  <w:noWrap w:val="0"/>
                  <w:vAlign w:val="center"/>
                </w:tcPr>
                <w:p w14:paraId="34D757A1">
                  <w:pPr>
                    <w:jc w:val="center"/>
                    <w:rPr>
                      <w:color w:val="auto"/>
                      <w:sz w:val="18"/>
                    </w:rPr>
                  </w:pPr>
                  <w:r>
                    <w:rPr>
                      <w:rFonts w:hint="eastAsia"/>
                      <w:color w:val="auto"/>
                      <w:sz w:val="18"/>
                    </w:rPr>
                    <w:t>12000</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604677B7">
                  <w:pPr>
                    <w:jc w:val="center"/>
                    <w:rPr>
                      <w:color w:val="auto"/>
                      <w:sz w:val="18"/>
                    </w:rPr>
                  </w:pPr>
                  <w:r>
                    <w:rPr>
                      <w:rFonts w:hint="eastAsia"/>
                      <w:color w:val="auto"/>
                      <w:sz w:val="18"/>
                    </w:rPr>
                    <w:t>600000</w:t>
                  </w:r>
                </w:p>
              </w:tc>
              <w:tc>
                <w:tcPr>
                  <w:tcW w:w="475" w:type="pct"/>
                  <w:tcBorders>
                    <w:top w:val="single" w:color="auto" w:sz="4" w:space="0"/>
                    <w:left w:val="single" w:color="auto" w:sz="4" w:space="0"/>
                    <w:bottom w:val="single" w:color="auto" w:sz="4" w:space="0"/>
                    <w:right w:val="single" w:color="auto" w:sz="4" w:space="0"/>
                  </w:tcBorders>
                  <w:noWrap w:val="0"/>
                  <w:vAlign w:val="center"/>
                </w:tcPr>
                <w:p w14:paraId="69E24BB8">
                  <w:pPr>
                    <w:jc w:val="center"/>
                    <w:rPr>
                      <w:color w:val="auto"/>
                      <w:sz w:val="18"/>
                    </w:rPr>
                  </w:pPr>
                  <w:r>
                    <w:rPr>
                      <w:color w:val="auto"/>
                      <w:sz w:val="18"/>
                    </w:rPr>
                    <w:t>0</w:t>
                  </w:r>
                </w:p>
              </w:tc>
              <w:tc>
                <w:tcPr>
                  <w:tcW w:w="1200" w:type="pct"/>
                  <w:tcBorders>
                    <w:top w:val="single" w:color="auto" w:sz="4" w:space="0"/>
                    <w:left w:val="single" w:color="auto" w:sz="4" w:space="0"/>
                    <w:bottom w:val="single" w:color="auto" w:sz="4" w:space="0"/>
                  </w:tcBorders>
                  <w:noWrap w:val="0"/>
                  <w:vAlign w:val="center"/>
                </w:tcPr>
                <w:p w14:paraId="1CFFFB13">
                  <w:pPr>
                    <w:jc w:val="center"/>
                    <w:rPr>
                      <w:color w:val="auto"/>
                      <w:sz w:val="18"/>
                    </w:rPr>
                  </w:pPr>
                  <w:r>
                    <w:rPr>
                      <w:rFonts w:hint="eastAsia"/>
                      <w:color w:val="auto"/>
                      <w:sz w:val="18"/>
                    </w:rPr>
                    <w:t>/</w:t>
                  </w:r>
                </w:p>
              </w:tc>
            </w:tr>
            <w:tr w14:paraId="1808F7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66" w:type="pct"/>
                  <w:tcBorders>
                    <w:top w:val="single" w:color="auto" w:sz="4" w:space="0"/>
                    <w:bottom w:val="single" w:color="auto" w:sz="4" w:space="0"/>
                    <w:right w:val="single" w:color="auto" w:sz="4" w:space="0"/>
                  </w:tcBorders>
                  <w:noWrap w:val="0"/>
                  <w:vAlign w:val="center"/>
                </w:tcPr>
                <w:p w14:paraId="41BCFE53">
                  <w:pPr>
                    <w:spacing w:line="240" w:lineRule="exact"/>
                    <w:jc w:val="center"/>
                    <w:rPr>
                      <w:rFonts w:hint="eastAsia"/>
                      <w:color w:val="auto"/>
                      <w:sz w:val="18"/>
                    </w:rPr>
                  </w:pPr>
                  <w:r>
                    <w:rPr>
                      <w:rFonts w:hint="eastAsia"/>
                      <w:color w:val="auto"/>
                      <w:sz w:val="18"/>
                    </w:rPr>
                    <w:t>填埋气冷凝液</w:t>
                  </w:r>
                </w:p>
              </w:tc>
              <w:tc>
                <w:tcPr>
                  <w:tcW w:w="531" w:type="pct"/>
                  <w:tcBorders>
                    <w:top w:val="single" w:color="auto" w:sz="4" w:space="0"/>
                    <w:left w:val="single" w:color="auto" w:sz="4" w:space="0"/>
                    <w:bottom w:val="single" w:color="auto" w:sz="4" w:space="0"/>
                    <w:right w:val="single" w:color="auto" w:sz="4" w:space="0"/>
                  </w:tcBorders>
                  <w:noWrap w:val="0"/>
                  <w:vAlign w:val="center"/>
                </w:tcPr>
                <w:p w14:paraId="36B7EF0D">
                  <w:pPr>
                    <w:jc w:val="center"/>
                    <w:rPr>
                      <w:rFonts w:hint="eastAsia"/>
                      <w:color w:val="auto"/>
                      <w:sz w:val="18"/>
                    </w:rPr>
                  </w:pPr>
                  <w:r>
                    <w:rPr>
                      <w:rFonts w:hint="eastAsia"/>
                      <w:color w:val="auto"/>
                      <w:sz w:val="18"/>
                    </w:rPr>
                    <w:t>0</w:t>
                  </w:r>
                </w:p>
              </w:tc>
              <w:tc>
                <w:tcPr>
                  <w:tcW w:w="379" w:type="pct"/>
                  <w:tcBorders>
                    <w:left w:val="single" w:color="auto" w:sz="4" w:space="0"/>
                    <w:right w:val="single" w:color="auto" w:sz="4" w:space="0"/>
                  </w:tcBorders>
                  <w:noWrap w:val="0"/>
                  <w:vAlign w:val="center"/>
                </w:tcPr>
                <w:p w14:paraId="611291F6">
                  <w:pPr>
                    <w:jc w:val="center"/>
                    <w:rPr>
                      <w:color w:val="auto"/>
                      <w:sz w:val="18"/>
                    </w:rPr>
                  </w:pPr>
                  <w:r>
                    <w:rPr>
                      <w:rFonts w:hint="eastAsia"/>
                      <w:color w:val="auto"/>
                      <w:sz w:val="18"/>
                    </w:rPr>
                    <w:t>613.26</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64E644BA">
                  <w:pPr>
                    <w:jc w:val="center"/>
                    <w:rPr>
                      <w:rFonts w:hint="eastAsia"/>
                      <w:color w:val="auto"/>
                      <w:sz w:val="18"/>
                    </w:rPr>
                  </w:pPr>
                  <w:r>
                    <w:rPr>
                      <w:rFonts w:hint="eastAsia"/>
                      <w:color w:val="auto"/>
                      <w:sz w:val="18"/>
                    </w:rPr>
                    <w:t>0</w:t>
                  </w:r>
                </w:p>
              </w:tc>
              <w:tc>
                <w:tcPr>
                  <w:tcW w:w="488" w:type="pct"/>
                  <w:tcBorders>
                    <w:top w:val="single" w:color="auto" w:sz="4" w:space="0"/>
                    <w:left w:val="single" w:color="auto" w:sz="4" w:space="0"/>
                    <w:bottom w:val="single" w:color="auto" w:sz="4" w:space="0"/>
                    <w:right w:val="single" w:color="auto" w:sz="4" w:space="0"/>
                  </w:tcBorders>
                  <w:noWrap w:val="0"/>
                  <w:vAlign w:val="center"/>
                </w:tcPr>
                <w:p w14:paraId="59CF7C6D">
                  <w:pPr>
                    <w:jc w:val="center"/>
                    <w:rPr>
                      <w:color w:val="auto"/>
                      <w:sz w:val="18"/>
                    </w:rPr>
                  </w:pPr>
                  <w:r>
                    <w:rPr>
                      <w:color w:val="auto"/>
                      <w:sz w:val="18"/>
                    </w:rPr>
                    <w:t>0</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59561B99">
                  <w:pPr>
                    <w:jc w:val="center"/>
                    <w:rPr>
                      <w:rFonts w:hint="eastAsia"/>
                      <w:color w:val="auto"/>
                      <w:sz w:val="18"/>
                    </w:rPr>
                  </w:pPr>
                  <w:r>
                    <w:rPr>
                      <w:rFonts w:hint="eastAsia"/>
                      <w:color w:val="auto"/>
                      <w:sz w:val="18"/>
                    </w:rPr>
                    <w:t>0</w:t>
                  </w:r>
                </w:p>
              </w:tc>
              <w:tc>
                <w:tcPr>
                  <w:tcW w:w="475" w:type="pct"/>
                  <w:tcBorders>
                    <w:top w:val="single" w:color="auto" w:sz="4" w:space="0"/>
                    <w:left w:val="single" w:color="auto" w:sz="4" w:space="0"/>
                    <w:bottom w:val="single" w:color="auto" w:sz="4" w:space="0"/>
                    <w:right w:val="single" w:color="auto" w:sz="4" w:space="0"/>
                  </w:tcBorders>
                  <w:noWrap w:val="0"/>
                  <w:vAlign w:val="center"/>
                </w:tcPr>
                <w:p w14:paraId="2D11D47B">
                  <w:pPr>
                    <w:jc w:val="center"/>
                    <w:rPr>
                      <w:color w:val="auto"/>
                      <w:sz w:val="18"/>
                    </w:rPr>
                  </w:pPr>
                  <w:r>
                    <w:rPr>
                      <w:rFonts w:hint="eastAsia"/>
                      <w:color w:val="auto"/>
                      <w:sz w:val="18"/>
                    </w:rPr>
                    <w:t>613.26</w:t>
                  </w:r>
                </w:p>
              </w:tc>
              <w:tc>
                <w:tcPr>
                  <w:tcW w:w="1200" w:type="pct"/>
                  <w:tcBorders>
                    <w:top w:val="single" w:color="auto" w:sz="4" w:space="0"/>
                    <w:left w:val="single" w:color="auto" w:sz="4" w:space="0"/>
                    <w:bottom w:val="single" w:color="auto" w:sz="4" w:space="0"/>
                  </w:tcBorders>
                  <w:noWrap w:val="0"/>
                  <w:vAlign w:val="center"/>
                </w:tcPr>
                <w:p w14:paraId="194A638E">
                  <w:pPr>
                    <w:jc w:val="center"/>
                    <w:rPr>
                      <w:rFonts w:hint="eastAsia"/>
                      <w:color w:val="auto"/>
                      <w:sz w:val="18"/>
                    </w:rPr>
                  </w:pPr>
                  <w:r>
                    <w:rPr>
                      <w:rFonts w:hint="eastAsia"/>
                      <w:color w:val="auto"/>
                      <w:sz w:val="18"/>
                    </w:rPr>
                    <w:t>/</w:t>
                  </w:r>
                </w:p>
              </w:tc>
            </w:tr>
            <w:tr w14:paraId="2BD47A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66" w:type="pct"/>
                  <w:tcBorders>
                    <w:top w:val="single" w:color="auto" w:sz="4" w:space="0"/>
                    <w:right w:val="single" w:color="auto" w:sz="4" w:space="0"/>
                  </w:tcBorders>
                  <w:noWrap w:val="0"/>
                  <w:vAlign w:val="center"/>
                </w:tcPr>
                <w:p w14:paraId="15196D57">
                  <w:pPr>
                    <w:jc w:val="center"/>
                    <w:rPr>
                      <w:color w:val="auto"/>
                      <w:sz w:val="18"/>
                    </w:rPr>
                  </w:pPr>
                  <w:r>
                    <w:rPr>
                      <w:color w:val="auto"/>
                      <w:sz w:val="18"/>
                    </w:rPr>
                    <w:t>合计</w:t>
                  </w:r>
                </w:p>
              </w:tc>
              <w:tc>
                <w:tcPr>
                  <w:tcW w:w="531" w:type="pct"/>
                  <w:tcBorders>
                    <w:top w:val="single" w:color="auto" w:sz="4" w:space="0"/>
                    <w:left w:val="single" w:color="auto" w:sz="4" w:space="0"/>
                    <w:bottom w:val="single" w:color="auto" w:sz="12" w:space="0"/>
                    <w:right w:val="single" w:color="auto" w:sz="4" w:space="0"/>
                  </w:tcBorders>
                  <w:noWrap w:val="0"/>
                  <w:vAlign w:val="center"/>
                </w:tcPr>
                <w:p w14:paraId="61E4804F">
                  <w:pPr>
                    <w:jc w:val="center"/>
                    <w:rPr>
                      <w:rFonts w:hint="default" w:eastAsia="宋体"/>
                      <w:color w:val="auto"/>
                      <w:sz w:val="18"/>
                      <w:lang w:val="en-US" w:eastAsia="zh-CN"/>
                    </w:rPr>
                  </w:pPr>
                  <w:r>
                    <w:rPr>
                      <w:rFonts w:hint="eastAsia"/>
                      <w:color w:val="auto"/>
                      <w:sz w:val="18"/>
                    </w:rPr>
                    <w:t>120</w:t>
                  </w:r>
                  <w:r>
                    <w:rPr>
                      <w:rFonts w:hint="eastAsia"/>
                      <w:color w:val="auto"/>
                      <w:sz w:val="18"/>
                      <w:lang w:val="en-US" w:eastAsia="zh-CN"/>
                    </w:rPr>
                    <w:t>00</w:t>
                  </w:r>
                </w:p>
              </w:tc>
              <w:tc>
                <w:tcPr>
                  <w:tcW w:w="379" w:type="pct"/>
                  <w:tcBorders>
                    <w:left w:val="single" w:color="auto" w:sz="4" w:space="0"/>
                    <w:bottom w:val="single" w:color="auto" w:sz="12" w:space="0"/>
                    <w:right w:val="single" w:color="auto" w:sz="4" w:space="0"/>
                  </w:tcBorders>
                  <w:noWrap w:val="0"/>
                  <w:vAlign w:val="center"/>
                </w:tcPr>
                <w:p w14:paraId="27302F38">
                  <w:pPr>
                    <w:jc w:val="center"/>
                    <w:rPr>
                      <w:color w:val="auto"/>
                      <w:sz w:val="18"/>
                    </w:rPr>
                  </w:pPr>
                  <w:r>
                    <w:rPr>
                      <w:rFonts w:hint="eastAsia"/>
                      <w:color w:val="auto"/>
                      <w:sz w:val="18"/>
                    </w:rPr>
                    <w:t>613.26</w:t>
                  </w:r>
                </w:p>
              </w:tc>
              <w:tc>
                <w:tcPr>
                  <w:tcW w:w="479" w:type="pct"/>
                  <w:tcBorders>
                    <w:top w:val="single" w:color="auto" w:sz="4" w:space="0"/>
                    <w:left w:val="single" w:color="auto" w:sz="4" w:space="0"/>
                    <w:bottom w:val="single" w:color="auto" w:sz="12" w:space="0"/>
                    <w:right w:val="single" w:color="auto" w:sz="4" w:space="0"/>
                  </w:tcBorders>
                  <w:noWrap w:val="0"/>
                  <w:vAlign w:val="center"/>
                </w:tcPr>
                <w:p w14:paraId="78E8C35F">
                  <w:pPr>
                    <w:jc w:val="center"/>
                    <w:rPr>
                      <w:color w:val="auto"/>
                      <w:sz w:val="18"/>
                    </w:rPr>
                  </w:pPr>
                  <w:r>
                    <w:rPr>
                      <w:rFonts w:hint="eastAsia"/>
                      <w:color w:val="auto"/>
                      <w:sz w:val="18"/>
                    </w:rPr>
                    <w:t>600000</w:t>
                  </w:r>
                </w:p>
              </w:tc>
              <w:tc>
                <w:tcPr>
                  <w:tcW w:w="488" w:type="pct"/>
                  <w:tcBorders>
                    <w:top w:val="single" w:color="auto" w:sz="4" w:space="0"/>
                    <w:left w:val="single" w:color="auto" w:sz="4" w:space="0"/>
                    <w:bottom w:val="single" w:color="auto" w:sz="12" w:space="0"/>
                    <w:right w:val="single" w:color="auto" w:sz="4" w:space="0"/>
                  </w:tcBorders>
                  <w:noWrap w:val="0"/>
                  <w:vAlign w:val="center"/>
                </w:tcPr>
                <w:p w14:paraId="7074DF48">
                  <w:pPr>
                    <w:jc w:val="center"/>
                    <w:rPr>
                      <w:rFonts w:hint="default" w:eastAsia="宋体"/>
                      <w:color w:val="auto"/>
                      <w:sz w:val="18"/>
                      <w:lang w:val="en-US" w:eastAsia="zh-CN"/>
                    </w:rPr>
                  </w:pPr>
                  <w:r>
                    <w:rPr>
                      <w:rFonts w:hint="eastAsia"/>
                      <w:color w:val="auto"/>
                      <w:sz w:val="18"/>
                    </w:rPr>
                    <w:t>120</w:t>
                  </w:r>
                  <w:r>
                    <w:rPr>
                      <w:rFonts w:hint="eastAsia"/>
                      <w:color w:val="auto"/>
                      <w:sz w:val="18"/>
                      <w:lang w:val="en-US" w:eastAsia="zh-CN"/>
                    </w:rPr>
                    <w:t>00</w:t>
                  </w:r>
                </w:p>
              </w:tc>
              <w:tc>
                <w:tcPr>
                  <w:tcW w:w="479" w:type="pct"/>
                  <w:tcBorders>
                    <w:top w:val="single" w:color="auto" w:sz="4" w:space="0"/>
                    <w:left w:val="single" w:color="auto" w:sz="4" w:space="0"/>
                    <w:bottom w:val="single" w:color="auto" w:sz="12" w:space="0"/>
                    <w:right w:val="single" w:color="auto" w:sz="4" w:space="0"/>
                  </w:tcBorders>
                  <w:noWrap w:val="0"/>
                  <w:vAlign w:val="center"/>
                </w:tcPr>
                <w:p w14:paraId="185802CC">
                  <w:pPr>
                    <w:jc w:val="center"/>
                    <w:rPr>
                      <w:color w:val="auto"/>
                      <w:sz w:val="18"/>
                    </w:rPr>
                  </w:pPr>
                  <w:r>
                    <w:rPr>
                      <w:rFonts w:hint="eastAsia"/>
                      <w:color w:val="auto"/>
                      <w:sz w:val="18"/>
                    </w:rPr>
                    <w:t>600000</w:t>
                  </w:r>
                </w:p>
              </w:tc>
              <w:tc>
                <w:tcPr>
                  <w:tcW w:w="475" w:type="pct"/>
                  <w:tcBorders>
                    <w:top w:val="single" w:color="auto" w:sz="4" w:space="0"/>
                    <w:left w:val="single" w:color="auto" w:sz="4" w:space="0"/>
                    <w:bottom w:val="single" w:color="auto" w:sz="12" w:space="0"/>
                    <w:right w:val="single" w:color="auto" w:sz="4" w:space="0"/>
                  </w:tcBorders>
                  <w:noWrap w:val="0"/>
                  <w:vAlign w:val="center"/>
                </w:tcPr>
                <w:p w14:paraId="595653F7">
                  <w:pPr>
                    <w:jc w:val="center"/>
                    <w:rPr>
                      <w:color w:val="auto"/>
                      <w:sz w:val="18"/>
                    </w:rPr>
                  </w:pPr>
                  <w:r>
                    <w:rPr>
                      <w:rFonts w:hint="eastAsia"/>
                      <w:color w:val="auto"/>
                      <w:sz w:val="18"/>
                    </w:rPr>
                    <w:t>613.26</w:t>
                  </w:r>
                </w:p>
              </w:tc>
              <w:tc>
                <w:tcPr>
                  <w:tcW w:w="1200" w:type="pct"/>
                  <w:tcBorders>
                    <w:top w:val="single" w:color="auto" w:sz="4" w:space="0"/>
                    <w:left w:val="single" w:color="auto" w:sz="4" w:space="0"/>
                  </w:tcBorders>
                  <w:noWrap w:val="0"/>
                  <w:vAlign w:val="center"/>
                </w:tcPr>
                <w:p w14:paraId="26EB97EF">
                  <w:pPr>
                    <w:jc w:val="center"/>
                    <w:rPr>
                      <w:rFonts w:hint="eastAsia"/>
                      <w:color w:val="auto"/>
                      <w:sz w:val="18"/>
                    </w:rPr>
                  </w:pPr>
                  <w:r>
                    <w:rPr>
                      <w:rFonts w:hint="eastAsia"/>
                      <w:color w:val="auto"/>
                      <w:sz w:val="18"/>
                    </w:rPr>
                    <w:t>/</w:t>
                  </w:r>
                </w:p>
              </w:tc>
            </w:tr>
          </w:tbl>
          <w:p w14:paraId="00007A0D">
            <w:pPr>
              <w:pStyle w:val="103"/>
              <w:adjustRightInd/>
              <w:snapToGrid/>
              <w:spacing w:line="360" w:lineRule="auto"/>
              <w:rPr>
                <w:rFonts w:hint="eastAsia" w:ascii="Times New Roman" w:hAnsi="Times New Roman" w:eastAsia="宋体" w:cs="Times New Roman"/>
                <w:color w:val="auto"/>
                <w:szCs w:val="24"/>
                <w:highlight w:val="none"/>
              </w:rPr>
            </w:pPr>
          </w:p>
          <w:p w14:paraId="64D9A8E4">
            <w:pPr>
              <w:pStyle w:val="103"/>
              <w:adjustRightInd/>
              <w:snapToGrid/>
              <w:spacing w:line="360" w:lineRule="auto"/>
              <w:ind w:left="0" w:leftChars="0" w:firstLine="0" w:firstLineChars="0"/>
              <w:jc w:val="center"/>
              <w:rPr>
                <w:rFonts w:hint="eastAsia"/>
                <w:bCs/>
                <w:i/>
                <w:color w:val="auto"/>
                <w:szCs w:val="21"/>
              </w:rPr>
            </w:pPr>
            <w:r>
              <w:rPr>
                <w:rFonts w:hint="eastAsia"/>
                <w:bCs/>
                <w:i/>
                <w:color w:val="auto"/>
                <w:szCs w:val="21"/>
              </w:rPr>
              <w:object>
                <v:shape id="_x0000_i1025" o:spt="75" type="#_x0000_t75" style="height:215.25pt;width:372.3pt;" o:ole="t" filled="f" o:preferrelative="t" stroked="f" coordsize="21600,21600">
                  <v:path/>
                  <v:fill on="f" focussize="0,0"/>
                  <v:stroke on="f"/>
                  <v:imagedata r:id="rId8" o:title=""/>
                  <o:lock v:ext="edit" aspectratio="t"/>
                  <w10:wrap type="none"/>
                  <w10:anchorlock/>
                </v:shape>
                <o:OLEObject Type="Embed" ProgID="Visio.Drawing.11" ShapeID="_x0000_i1025" DrawAspect="Content" ObjectID="_1468075725" r:id="rId7">
                  <o:LockedField>false</o:LockedField>
                </o:OLEObject>
              </w:object>
            </w:r>
          </w:p>
          <w:p w14:paraId="1E6FD1BD">
            <w:pPr>
              <w:spacing w:line="300" w:lineRule="auto"/>
              <w:jc w:val="left"/>
              <w:rPr>
                <w:bCs/>
                <w:i/>
                <w:color w:val="auto"/>
                <w:szCs w:val="21"/>
              </w:rPr>
            </w:pPr>
          </w:p>
          <w:p w14:paraId="44FAADB8">
            <w:pPr>
              <w:pStyle w:val="124"/>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color w:val="auto"/>
                <w:sz w:val="21"/>
                <w:szCs w:val="21"/>
                <w:highlight w:val="none"/>
                <w:lang w:eastAsia="zh-CN"/>
              </w:rPr>
            </w:pPr>
            <w:r>
              <w:rPr>
                <w:rFonts w:hint="eastAsia" w:cs="Times New Roman"/>
                <w:color w:val="auto"/>
                <w:sz w:val="21"/>
                <w:szCs w:val="21"/>
                <w:highlight w:val="none"/>
                <w:lang w:eastAsia="zh-CN"/>
              </w:rPr>
              <w:t>续建工程</w:t>
            </w:r>
            <w:r>
              <w:rPr>
                <w:rFonts w:hint="eastAsia" w:ascii="Times New Roman" w:hAnsi="Times New Roman" w:cs="Times New Roman"/>
                <w:color w:val="auto"/>
                <w:sz w:val="21"/>
                <w:szCs w:val="21"/>
                <w:highlight w:val="none"/>
                <w:lang w:eastAsia="zh-CN"/>
              </w:rPr>
              <w:t>水平衡图单位：m</w:t>
            </w:r>
            <w:r>
              <w:rPr>
                <w:rFonts w:hint="eastAsia" w:ascii="Times New Roman" w:hAnsi="Times New Roman" w:cs="Times New Roman"/>
                <w:color w:val="auto"/>
                <w:sz w:val="21"/>
                <w:szCs w:val="21"/>
                <w:highlight w:val="none"/>
                <w:vertAlign w:val="superscript"/>
                <w:lang w:eastAsia="zh-CN"/>
              </w:rPr>
              <w:t>3</w:t>
            </w:r>
            <w:r>
              <w:rPr>
                <w:rFonts w:hint="eastAsia" w:ascii="Times New Roman" w:hAnsi="Times New Roman" w:cs="Times New Roman"/>
                <w:color w:val="auto"/>
                <w:sz w:val="21"/>
                <w:szCs w:val="21"/>
                <w:highlight w:val="none"/>
                <w:lang w:eastAsia="zh-CN"/>
              </w:rPr>
              <w:t>/a</w:t>
            </w:r>
          </w:p>
          <w:p w14:paraId="202696EC">
            <w:pPr>
              <w:tabs>
                <w:tab w:val="left" w:pos="3240"/>
              </w:tabs>
              <w:adjustRightInd/>
              <w:snapToGrid/>
              <w:spacing w:line="360" w:lineRule="auto"/>
              <w:ind w:firstLine="482" w:firstLineChars="200"/>
              <w:rPr>
                <w:rFonts w:hint="eastAsia" w:ascii="Times New Roman" w:hAnsi="Times New Roman" w:cs="Times New Roman" w:eastAsiaTheme="minorEastAsia"/>
                <w:b/>
                <w:bCs/>
                <w:color w:val="auto"/>
                <w:kern w:val="0"/>
                <w:sz w:val="24"/>
                <w:szCs w:val="20"/>
                <w:highlight w:val="none"/>
              </w:rPr>
            </w:pPr>
          </w:p>
          <w:p w14:paraId="6946A404">
            <w:pPr>
              <w:tabs>
                <w:tab w:val="left" w:pos="3240"/>
              </w:tabs>
              <w:adjustRightInd/>
              <w:snapToGrid/>
              <w:spacing w:line="360" w:lineRule="auto"/>
              <w:ind w:firstLine="482" w:firstLineChars="200"/>
              <w:rPr>
                <w:rFonts w:hint="eastAsia" w:ascii="Times New Roman" w:hAnsi="Times New Roman" w:cs="Times New Roman" w:eastAsiaTheme="minorEastAsia"/>
                <w:b/>
                <w:bCs/>
                <w:color w:val="auto"/>
                <w:kern w:val="0"/>
                <w:sz w:val="24"/>
                <w:szCs w:val="20"/>
                <w:highlight w:val="none"/>
              </w:rPr>
            </w:pPr>
            <w:r>
              <w:rPr>
                <w:rFonts w:hint="eastAsia" w:ascii="Times New Roman" w:hAnsi="Times New Roman" w:cs="Times New Roman" w:eastAsiaTheme="minorEastAsia"/>
                <w:b/>
                <w:bCs/>
                <w:color w:val="auto"/>
                <w:kern w:val="0"/>
                <w:sz w:val="24"/>
                <w:szCs w:val="20"/>
                <w:highlight w:val="none"/>
              </w:rPr>
              <w:t>2.9生产工艺及产污节点</w:t>
            </w:r>
          </w:p>
          <w:p w14:paraId="3FB0236C">
            <w:pPr>
              <w:tabs>
                <w:tab w:val="left" w:pos="3240"/>
              </w:tabs>
              <w:adjustRightInd/>
              <w:snapToGrid/>
              <w:spacing w:line="360" w:lineRule="auto"/>
              <w:ind w:firstLine="480" w:firstLineChars="200"/>
              <w:rPr>
                <w:rFonts w:hint="eastAsia" w:ascii="Times New Roman" w:hAnsi="Times New Roman" w:cs="Times New Roman" w:eastAsiaTheme="minorEastAsia"/>
                <w:color w:val="auto"/>
                <w:kern w:val="0"/>
                <w:sz w:val="24"/>
                <w:szCs w:val="20"/>
                <w:highlight w:val="none"/>
              </w:rPr>
            </w:pPr>
            <w:r>
              <w:rPr>
                <w:rFonts w:hint="eastAsia" w:ascii="Times New Roman" w:hAnsi="Times New Roman" w:cs="Times New Roman" w:eastAsiaTheme="minorEastAsia"/>
                <w:color w:val="auto"/>
                <w:kern w:val="0"/>
                <w:sz w:val="24"/>
                <w:szCs w:val="20"/>
                <w:highlight w:val="none"/>
              </w:rPr>
              <w:t>（1）总体工艺流程</w:t>
            </w:r>
          </w:p>
          <w:p w14:paraId="580B50A4">
            <w:pPr>
              <w:tabs>
                <w:tab w:val="left" w:pos="3240"/>
              </w:tabs>
              <w:adjustRightInd/>
              <w:snapToGrid/>
              <w:spacing w:line="360" w:lineRule="auto"/>
              <w:ind w:firstLine="480" w:firstLineChars="200"/>
              <w:rPr>
                <w:rFonts w:hint="eastAsia" w:ascii="Times New Roman" w:hAnsi="Times New Roman" w:cs="Times New Roman" w:eastAsiaTheme="minorEastAsia"/>
                <w:color w:val="auto"/>
                <w:kern w:val="0"/>
                <w:sz w:val="24"/>
                <w:szCs w:val="20"/>
                <w:highlight w:val="none"/>
              </w:rPr>
            </w:pPr>
            <w:r>
              <w:rPr>
                <w:rFonts w:hint="eastAsia" w:ascii="Times New Roman" w:hAnsi="Times New Roman" w:cs="Times New Roman" w:eastAsiaTheme="minorEastAsia"/>
                <w:color w:val="auto"/>
                <w:kern w:val="0"/>
                <w:sz w:val="24"/>
                <w:szCs w:val="20"/>
                <w:highlight w:val="none"/>
              </w:rPr>
              <w:t>工程总体工艺流程如下：</w:t>
            </w:r>
          </w:p>
          <w:p w14:paraId="43FA6A0A">
            <w:pPr>
              <w:pStyle w:val="133"/>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rPr>
            </w:pPr>
            <w:r>
              <w:rPr>
                <w:rFonts w:hint="eastAsia"/>
                <w:color w:val="auto"/>
              </w:rPr>
              <w:object>
                <v:shape id="_x0000_i1026" o:spt="75" type="#_x0000_t75" style="height:140.6pt;width:398.5pt;" o:ole="t" filled="f" o:preferrelative="t" stroked="f" coordsize="21600,21600">
                  <v:path/>
                  <v:fill on="f" focussize="0,0"/>
                  <v:stroke on="f"/>
                  <v:imagedata r:id="rId10" o:title=""/>
                  <o:lock v:ext="edit" aspectratio="t"/>
                  <w10:wrap type="none"/>
                  <w10:anchorlock/>
                </v:shape>
                <o:OLEObject Type="Embed" ProgID="Visio.Drawing.11" ShapeID="_x0000_i1026" DrawAspect="Content" ObjectID="_1468075726" r:id="rId9">
                  <o:LockedField>false</o:LockedField>
                </o:OLEObject>
              </w:object>
            </w:r>
          </w:p>
          <w:p w14:paraId="465D521C">
            <w:pPr>
              <w:pStyle w:val="124"/>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color w:val="auto"/>
                <w:sz w:val="21"/>
                <w:szCs w:val="21"/>
                <w:highlight w:val="none"/>
                <w:lang w:val="zh-CN" w:eastAsia="zh-CN"/>
              </w:rPr>
            </w:pPr>
            <w:r>
              <w:rPr>
                <w:rFonts w:hint="eastAsia" w:ascii="Times New Roman" w:hAnsi="Times New Roman" w:cs="Times New Roman"/>
                <w:color w:val="auto"/>
                <w:sz w:val="21"/>
                <w:szCs w:val="21"/>
                <w:highlight w:val="none"/>
                <w:lang w:val="zh-CN" w:eastAsia="zh-CN"/>
              </w:rPr>
              <w:t>总体生产工艺流程图</w:t>
            </w:r>
          </w:p>
          <w:p w14:paraId="079D9C35">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◆工艺流程介绍：</w:t>
            </w:r>
          </w:p>
          <w:p w14:paraId="112D6151">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填埋气利用发电项目的主要工艺系统包括：填埋气收集系统</w:t>
            </w:r>
            <w:r>
              <w:rPr>
                <w:rFonts w:hint="eastAsia" w:cs="Times New Roman"/>
                <w:color w:val="auto"/>
                <w:sz w:val="24"/>
                <w:szCs w:val="24"/>
                <w:lang w:eastAsia="zh-CN"/>
              </w:rPr>
              <w:t>（不属于本次验收范围）</w:t>
            </w:r>
            <w:r>
              <w:rPr>
                <w:rFonts w:hint="default" w:ascii="Times New Roman" w:hAnsi="Times New Roman" w:eastAsia="宋体" w:cs="Times New Roman"/>
                <w:color w:val="auto"/>
                <w:sz w:val="24"/>
                <w:szCs w:val="24"/>
              </w:rPr>
              <w:t>、预处理系统、发电系统、火炬燃烧系统</w:t>
            </w:r>
            <w:r>
              <w:rPr>
                <w:rFonts w:hint="default" w:ascii="Times New Roman" w:hAnsi="Times New Roman" w:eastAsia="宋体" w:cs="Times New Roman"/>
                <w:color w:val="auto"/>
                <w:sz w:val="24"/>
                <w:szCs w:val="24"/>
                <w:lang w:eastAsia="zh-CN"/>
              </w:rPr>
              <w:t>（</w:t>
            </w:r>
            <w:r>
              <w:rPr>
                <w:rFonts w:hint="eastAsia" w:cs="Times New Roman"/>
                <w:color w:val="auto"/>
                <w:sz w:val="24"/>
                <w:szCs w:val="24"/>
                <w:lang w:eastAsia="zh-CN"/>
              </w:rPr>
              <w:t>不在本次验收范围</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输变电系统。填埋库区的气体收集系统将填埋气输送至发电厂区，经预处理净化处理后优先送至内燃机进气系统发电，富余气体则由预处理直接分配给火炬燃烧系统处理，限制填埋气对空排放。发电机出口电压经升压后，优先供应长山口填埋场内部及自身用电，富余电量将并网售卖。</w:t>
            </w:r>
          </w:p>
          <w:p w14:paraId="2F2E946C">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填埋气收集工程系统和火炬系统属于长山口填埋场内部系统单元，</w:t>
            </w:r>
            <w:r>
              <w:rPr>
                <w:rFonts w:hint="eastAsia" w:ascii="Times New Roman" w:hAnsi="Times New Roman" w:eastAsia="宋体" w:cs="Times New Roman"/>
                <w:b/>
                <w:bCs/>
                <w:color w:val="auto"/>
                <w:sz w:val="24"/>
                <w:szCs w:val="24"/>
                <w:lang w:eastAsia="zh-CN"/>
              </w:rPr>
              <w:t>不属于</w:t>
            </w:r>
            <w:r>
              <w:rPr>
                <w:rFonts w:hint="eastAsia" w:cs="Times New Roman"/>
                <w:b/>
                <w:bCs/>
                <w:color w:val="auto"/>
                <w:sz w:val="24"/>
                <w:szCs w:val="24"/>
                <w:lang w:eastAsia="zh-CN"/>
              </w:rPr>
              <w:t>本次验收范围</w:t>
            </w:r>
            <w:r>
              <w:rPr>
                <w:rFonts w:hint="default" w:ascii="Times New Roman" w:hAnsi="Times New Roman" w:eastAsia="宋体" w:cs="Times New Roman"/>
                <w:b/>
                <w:bCs/>
                <w:color w:val="auto"/>
                <w:sz w:val="24"/>
                <w:szCs w:val="24"/>
              </w:rPr>
              <w:t>，在此仅做简要介绍。</w:t>
            </w:r>
          </w:p>
          <w:p w14:paraId="32ACE10E">
            <w:pPr>
              <w:pStyle w:val="110"/>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1）长山口垃圾填埋场填埋气收集控制工程（不</w:t>
            </w:r>
            <w:r>
              <w:rPr>
                <w:rFonts w:hint="eastAsia" w:ascii="Times New Roman" w:hAnsi="Times New Roman" w:eastAsia="宋体" w:cs="Times New Roman"/>
                <w:b/>
                <w:bCs/>
                <w:color w:val="auto"/>
                <w:sz w:val="24"/>
                <w:szCs w:val="24"/>
                <w:lang w:eastAsia="zh-CN"/>
              </w:rPr>
              <w:t>属于</w:t>
            </w:r>
            <w:r>
              <w:rPr>
                <w:rFonts w:hint="eastAsia" w:cs="Times New Roman"/>
                <w:b/>
                <w:bCs/>
                <w:color w:val="auto"/>
                <w:sz w:val="24"/>
                <w:szCs w:val="24"/>
                <w:lang w:eastAsia="zh-CN"/>
              </w:rPr>
              <w:t>本次验收范围</w:t>
            </w:r>
            <w:r>
              <w:rPr>
                <w:rFonts w:hint="default" w:ascii="Times New Roman" w:hAnsi="Times New Roman" w:eastAsia="宋体" w:cs="Times New Roman"/>
                <w:b/>
                <w:bCs/>
                <w:color w:val="auto"/>
                <w:sz w:val="24"/>
                <w:szCs w:val="24"/>
              </w:rPr>
              <w:t>）</w:t>
            </w:r>
          </w:p>
          <w:p w14:paraId="500AC40A">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在各个库区收集单元膜下布设开孔收集支管，全场填埋气通过膜下开孔管收集，连接至膜上支管，再通过主管运输至集气站。</w:t>
            </w:r>
          </w:p>
          <w:p w14:paraId="5A1ED36C">
            <w:pPr>
              <w:pStyle w:val="110"/>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2）火炬系统（不在本次验收范围）</w:t>
            </w:r>
          </w:p>
          <w:p w14:paraId="50BA35C9">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现有火炬系统虽然位于续建工程及一期工程的厂区用地范围内，但属于长山口卫生填埋场的现有工程。</w:t>
            </w:r>
          </w:p>
          <w:p w14:paraId="3AC845D9">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根据建设单位提供的资料，本项目现有一期工程实施前，长山口卫生填埋场建设有2个火炬（一台4000m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/h，一台3000m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/h），总处理能力为7000m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/h，所有收集的填埋气将由火炬系统燃烧处理。</w:t>
            </w:r>
          </w:p>
          <w:p w14:paraId="7017E569">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随着本项目现有一期工程投入运行，其中的</w:t>
            </w:r>
            <w:r>
              <w:rPr>
                <w:rFonts w:hint="default" w:ascii="Times New Roman" w:hAnsi="Times New Roman" w:eastAsia="宋体" w:cs="Times New Roman"/>
                <w:color w:val="auto"/>
                <w:sz w:val="24"/>
                <w:szCs w:val="24"/>
                <w:lang w:val="en-US" w:eastAsia="zh-CN"/>
              </w:rPr>
              <w:t>4000m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/h的沼气将优先供应一期工程的内燃发电机组。同时长山口卫生填埋场也拆除一台3000m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/h</w:t>
            </w:r>
            <w:r>
              <w:rPr>
                <w:rFonts w:hint="default" w:ascii="Times New Roman" w:hAnsi="Times New Roman" w:eastAsia="宋体" w:cs="Times New Roman"/>
                <w:color w:val="auto"/>
                <w:sz w:val="24"/>
                <w:szCs w:val="24"/>
                <w:lang w:eastAsia="zh-CN"/>
              </w:rPr>
              <w:t>的火炬。</w:t>
            </w:r>
          </w:p>
          <w:p w14:paraId="07FC3469">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而本次续建工程运行后，收集的填埋气将优先供应续建工程（耗气量为</w:t>
            </w:r>
            <w:r>
              <w:rPr>
                <w:rFonts w:hint="default" w:ascii="Times New Roman" w:hAnsi="Times New Roman" w:eastAsia="宋体" w:cs="Times New Roman"/>
                <w:color w:val="auto"/>
                <w:sz w:val="24"/>
                <w:szCs w:val="24"/>
                <w:lang w:val="en-US" w:eastAsia="zh-CN"/>
              </w:rPr>
              <w:t>2725.6m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/h</w:t>
            </w:r>
            <w:r>
              <w:rPr>
                <w:rFonts w:hint="default" w:ascii="Times New Roman" w:hAnsi="Times New Roman" w:eastAsia="宋体" w:cs="Times New Roman"/>
                <w:color w:val="auto"/>
                <w:sz w:val="24"/>
                <w:szCs w:val="24"/>
                <w:lang w:eastAsia="zh-CN"/>
              </w:rPr>
              <w:t>）和一期工程（耗气量为</w:t>
            </w:r>
            <w:r>
              <w:rPr>
                <w:rFonts w:hint="default" w:ascii="Times New Roman" w:hAnsi="Times New Roman" w:eastAsia="宋体" w:cs="Times New Roman"/>
                <w:color w:val="auto"/>
                <w:sz w:val="24"/>
                <w:szCs w:val="24"/>
                <w:lang w:val="en-US" w:eastAsia="zh-CN"/>
              </w:rPr>
              <w:t>4000m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/h</w:t>
            </w:r>
            <w:r>
              <w:rPr>
                <w:rFonts w:hint="default" w:ascii="Times New Roman" w:hAnsi="Times New Roman" w:eastAsia="宋体" w:cs="Times New Roman"/>
                <w:color w:val="auto"/>
                <w:sz w:val="24"/>
                <w:szCs w:val="24"/>
                <w:lang w:eastAsia="zh-CN"/>
              </w:rPr>
              <w:t>），剩余的填埋气仍采用长山口卫生填埋场剩余的一台火炬（</w:t>
            </w:r>
            <w:r>
              <w:rPr>
                <w:rFonts w:hint="default" w:ascii="Times New Roman" w:hAnsi="Times New Roman" w:eastAsia="宋体" w:cs="Times New Roman"/>
                <w:color w:val="auto"/>
                <w:sz w:val="24"/>
                <w:szCs w:val="24"/>
                <w:lang w:val="en-US" w:eastAsia="zh-CN"/>
              </w:rPr>
              <w:t>4000m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/h</w:t>
            </w:r>
            <w:r>
              <w:rPr>
                <w:rFonts w:hint="default" w:ascii="Times New Roman" w:hAnsi="Times New Roman" w:eastAsia="宋体" w:cs="Times New Roman"/>
                <w:color w:val="auto"/>
                <w:sz w:val="24"/>
                <w:szCs w:val="24"/>
                <w:lang w:eastAsia="zh-CN"/>
              </w:rPr>
              <w:t>）燃烧处理。本项目的建设将有助于减少火炬燃烧填埋气产生的废气排放。</w:t>
            </w:r>
          </w:p>
          <w:p w14:paraId="33DAC1F3">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cs="Times New Roman"/>
                <w:color w:val="auto"/>
                <w:sz w:val="24"/>
                <w:szCs w:val="24"/>
                <w:lang w:eastAsia="zh-CN"/>
              </w:rPr>
              <w:t>长</w:t>
            </w:r>
            <w:r>
              <w:rPr>
                <w:rFonts w:hint="default" w:ascii="Times New Roman" w:hAnsi="Times New Roman" w:eastAsia="宋体" w:cs="Times New Roman"/>
                <w:color w:val="auto"/>
                <w:sz w:val="24"/>
                <w:szCs w:val="24"/>
                <w:lang w:eastAsia="zh-CN"/>
              </w:rPr>
              <w:t>山口卫生填埋场现有</w:t>
            </w:r>
            <w:r>
              <w:rPr>
                <w:rFonts w:hint="default" w:ascii="Times New Roman" w:hAnsi="Times New Roman" w:eastAsia="宋体" w:cs="Times New Roman"/>
                <w:color w:val="auto"/>
                <w:sz w:val="24"/>
                <w:szCs w:val="24"/>
              </w:rPr>
              <w:t>火炬</w:t>
            </w:r>
            <w:r>
              <w:rPr>
                <w:rFonts w:hint="eastAsia" w:ascii="Times New Roman" w:hAnsi="Times New Roman" w:eastAsia="宋体" w:cs="Times New Roman"/>
                <w:color w:val="auto"/>
                <w:sz w:val="24"/>
                <w:szCs w:val="24"/>
                <w:lang w:eastAsia="zh-CN"/>
              </w:rPr>
              <w:t>不属于续建工程建设内容</w:t>
            </w:r>
            <w:r>
              <w:rPr>
                <w:rFonts w:hint="default" w:ascii="Times New Roman" w:hAnsi="Times New Roman" w:eastAsia="宋体" w:cs="Times New Roman"/>
                <w:color w:val="auto"/>
                <w:sz w:val="24"/>
                <w:szCs w:val="24"/>
              </w:rPr>
              <w:t>。</w:t>
            </w:r>
          </w:p>
          <w:p w14:paraId="2E645E5C">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（2）填埋气预处理工艺</w:t>
            </w:r>
          </w:p>
          <w:p w14:paraId="3EE554CE">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填埋气预处理工艺流程如下图所示。</w:t>
            </w:r>
          </w:p>
          <w:p w14:paraId="4A7264C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Cs/>
                <w:i/>
                <w:color w:val="auto"/>
                <w:szCs w:val="21"/>
              </w:rPr>
            </w:pPr>
            <w:r>
              <w:rPr>
                <w:rFonts w:hint="eastAsia"/>
                <w:bCs/>
                <w:i/>
                <w:color w:val="auto"/>
                <w:szCs w:val="21"/>
              </w:rPr>
              <w:object>
                <v:shape id="_x0000_i1027" o:spt="75" type="#_x0000_t75" style="height:234.8pt;width:409.7pt;" o:ole="t" filled="f" o:preferrelative="t" stroked="f" coordsize="21600,21600">
                  <v:path/>
                  <v:fill on="f" focussize="0,0"/>
                  <v:stroke on="f"/>
                  <v:imagedata r:id="rId12" o:title=""/>
                  <o:lock v:ext="edit" aspectratio="t"/>
                  <w10:wrap type="none"/>
                  <w10:anchorlock/>
                </v:shape>
                <o:OLEObject Type="Embed" ProgID="Visio.Drawing.11" ShapeID="_x0000_i1027" DrawAspect="Content" ObjectID="_1468075727" r:id="rId11">
                  <o:LockedField>false</o:LockedField>
                </o:OLEObject>
              </w:object>
            </w:r>
          </w:p>
          <w:p w14:paraId="11DC43D7">
            <w:pPr>
              <w:pStyle w:val="124"/>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color w:val="auto"/>
                <w:sz w:val="21"/>
                <w:szCs w:val="21"/>
                <w:highlight w:val="none"/>
                <w:lang w:val="zh-CN" w:eastAsia="zh-CN"/>
              </w:rPr>
            </w:pPr>
            <w:r>
              <w:rPr>
                <w:rFonts w:hint="eastAsia" w:ascii="Times New Roman" w:hAnsi="Times New Roman" w:cs="Times New Roman"/>
                <w:color w:val="auto"/>
                <w:sz w:val="21"/>
                <w:szCs w:val="21"/>
                <w:highlight w:val="none"/>
                <w:lang w:val="zh-CN" w:eastAsia="zh-CN"/>
              </w:rPr>
              <w:t>填埋气预处理单元生产工艺流程及产排污节点图</w:t>
            </w:r>
          </w:p>
          <w:p w14:paraId="69C213E9">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◆工艺流程介绍：</w:t>
            </w:r>
          </w:p>
          <w:p w14:paraId="228A24D0">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填埋气先经过干法脱硫，以降低填埋气中H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含量，保护后端设备稳定正常运行。脱硫后的填埋气经过初级过滤器，初级过滤器能够脱除气体中粒径＞5μm的颗粒杂质；初步过滤后填埋气进入除湿单元，冷凝换热器将气体的露点温度降低至15℃左右，气体中携带的过量水蒸气凝结析出；除湿后的填埋气经罗茨风机升压，风机升压能力可保证系统的动力输送要求，在升压的同时可提高气体温度，有效降低相对湿度；升压后气体再通过精密过滤器，滤除粒径＞3μm的固体粉尘，系统末端配风冷器控制产品气的温度，预处理完的气体经仪表计量后送往后端发电机组。</w:t>
            </w:r>
          </w:p>
          <w:p w14:paraId="02995AF2">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①脱硫工艺</w:t>
            </w:r>
          </w:p>
          <w:p w14:paraId="257716A1">
            <w:pPr>
              <w:pStyle w:val="12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填埋气中含有大量的水分和一定浓度的H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S遇水变成氢硫酸，对后端设备造成腐蚀，同时，当气体中存在大量H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S时，会影响后端发电机组的稳定正常运行。因此，预处理入口采用干法脱硫，以降低填埋气中H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S含量，保护后端设备稳定正常运行。“干法脱硫”具有设备结构简单，操作简便，H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S去除率高，运行费用低等优点，下面对沼气干法脱硫连续再生工艺进行介绍：</w:t>
            </w:r>
          </w:p>
          <w:p w14:paraId="0D58FBD8">
            <w:pPr>
              <w:pStyle w:val="12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干法脱硫是在圆柱状脱硫塔内装填一定高度的脱硫剂，沼气自下而上通过脱硫剂，H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S被去除，实现脱硫过程，污水处理厂常用的脱硫剂为氧化铁，其粒状为圆柱状，氧化铁脱硫的原理如下：</w:t>
            </w:r>
          </w:p>
          <w:p w14:paraId="1712DEA8">
            <w:pPr>
              <w:pStyle w:val="126"/>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O+3H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O+3H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p>
          <w:p w14:paraId="72C26FA2">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由上面的反应方程式可以看出，Fe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吸收H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S变成Fe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，随着沼气的不断产生，氧化铁吸收H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S，当吸收H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S达到一定的量，H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S的去除率将大大降低，直至失效。为了方便干燥系统的运行，</w:t>
            </w: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按照脱硫剂更换时间为1个月（30天），新增一套脱硫装置，采用三座脱硫罐配置，二用一备，保证检修时系统不间断运行。</w:t>
            </w:r>
          </w:p>
          <w:p w14:paraId="083C115D">
            <w:pPr>
              <w:pStyle w:val="12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根据资料，经“干法脱硫”处理后，沼气（密度约为1.254kg/m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）中的H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S含量可由进口1500ppm（即2168mg/m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）可降低到出口100ppm（即145mg/m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），处理效率约为93.3%，</w:t>
            </w: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填埋气预处理工程的填埋气处理量为2725.6Nm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/h，2044.2万Nm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/a，年运行时间为7500h。故可计算得出</w:t>
            </w: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年脱除的H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S量约为41.35t。同时由上述方程式可知H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S与Fe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O的消耗和产生质量比为102:226，则脱硫废物（主要成分为Fe</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O）产生量为91.62t/a。</w:t>
            </w:r>
          </w:p>
          <w:p w14:paraId="31AA29A5">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脱硫剂每三个月更换一次，脱硫产物每年清理一次，集中运至长山口卫生填埋场进行填埋处理。考虑到正常运营工况下，脱硫剂无法完全吸附饱和，</w:t>
            </w:r>
            <w:r>
              <w:rPr>
                <w:rFonts w:hint="eastAsia" w:ascii="Times New Roman" w:hAnsi="Times New Roman" w:eastAsia="宋体" w:cs="Times New Roman"/>
                <w:color w:val="auto"/>
                <w:sz w:val="24"/>
                <w:szCs w:val="24"/>
                <w:lang w:eastAsia="zh-CN"/>
              </w:rPr>
              <w:t>《报告表》</w:t>
            </w:r>
            <w:r>
              <w:rPr>
                <w:rFonts w:hint="default" w:ascii="Times New Roman" w:hAnsi="Times New Roman" w:eastAsia="宋体" w:cs="Times New Roman"/>
                <w:color w:val="auto"/>
                <w:sz w:val="24"/>
                <w:szCs w:val="24"/>
              </w:rPr>
              <w:t>以吸附率达到90%进行核算，</w:t>
            </w: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产生的脱硫废物为101.81t/a。</w:t>
            </w:r>
          </w:p>
          <w:p w14:paraId="6693D168">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②冷凝脱水</w:t>
            </w:r>
          </w:p>
          <w:p w14:paraId="7AD48BCD">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冷凝脱水主要由汽水换热器结合制冷机组来实现。填埋气进入汽水换热器后与制冷机组的低温冷媒</w:t>
            </w:r>
            <w:r>
              <w:rPr>
                <w:rStyle w:val="36"/>
                <w:rFonts w:hint="default" w:ascii="Times New Roman" w:hAnsi="Times New Roman" w:eastAsia="宋体" w:cs="Times New Roman"/>
                <w:color w:val="auto"/>
                <w:sz w:val="24"/>
                <w:szCs w:val="24"/>
              </w:rPr>
              <w:t>（氟利昂）</w:t>
            </w:r>
            <w:r>
              <w:rPr>
                <w:rFonts w:hint="default" w:ascii="Times New Roman" w:hAnsi="Times New Roman" w:eastAsia="宋体" w:cs="Times New Roman"/>
                <w:color w:val="auto"/>
                <w:sz w:val="24"/>
                <w:szCs w:val="24"/>
              </w:rPr>
              <w:t>进行充分热交换，气体温度降低的同时气态水凝结析出，降温后的填埋气进入下游工艺；升温后换热器冷媒液回到冷水机组进行制冷，循环利用，填埋气冷凝液则由气动隔膜泵排出，进入渗沥液收集管道，排入冷凝液收集井，进入长山口填埋场内的渗滤液污水处理站处理。</w:t>
            </w:r>
          </w:p>
          <w:p w14:paraId="7D9644BC">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汽水换热器采用管壳式结构，填埋气走管程，冷媒液走壳程，气侧阻力损失不超过2kPa。高温填埋气经过换热器后露点温度降低至15℃左右，气体中携带的大量水蒸气随着温度的降低凝结析出。换热器内部集成液态水分离器一台，能够将冷凝析出的液态水有效分离并从设备排出。</w:t>
            </w:r>
          </w:p>
          <w:p w14:paraId="1820DC6D">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③加压输送</w:t>
            </w:r>
          </w:p>
          <w:p w14:paraId="484A432D">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该单元设有升压风机。风机的设置主要用于克服系统阻力，为填埋气在系统内流通提供足够的动力，同时满足后端发电机组对填埋气压力及波动率的要求。经过脱水工艺处理后，填埋气在进入升压风机时，相对湿度依然饱和，随着风机升压过程的进行，填埋气温度随之升高，有效降低气体的相对湿度（小于80%RH），满足后端发电机组对气体相对湿度的要求。升压风机采用罗茨风机，单台处理能力2500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/h，共3台，两用一备。风机设计升压能力为39.2kPa，配防爆电机，电机功率55kw，变频控制。</w:t>
            </w:r>
          </w:p>
          <w:p w14:paraId="0B753846">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④过滤除尘</w:t>
            </w:r>
          </w:p>
          <w:p w14:paraId="2EBAC967">
            <w:pPr>
              <w:pStyle w:val="110"/>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系统内设置两级过滤除尘工艺，初级过滤器设置在脱硫罐后端，过滤精度5μm，与脱硫罐一一对应，互为备用。主要用于脱除气体中携带的大颗粒固体杂质。滤芯及筒体均采用SS304材质。精密过滤器设置在系统末端，过滤精度3μm，滤芯材质采用PP，筒体材质采用SS304。精密过滤器与风机一对一配置，主要用于保护后端发电机组。</w:t>
            </w:r>
          </w:p>
          <w:p w14:paraId="361A0B34">
            <w:pPr>
              <w:pStyle w:val="133"/>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（3）发电系统</w:t>
            </w:r>
          </w:p>
          <w:p w14:paraId="030B1414">
            <w:pPr>
              <w:pStyle w:val="13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发电系统工艺流程如下图所示。</w:t>
            </w:r>
          </w:p>
          <w:p w14:paraId="6DDD554B">
            <w:pPr>
              <w:spacing w:line="300" w:lineRule="auto"/>
              <w:jc w:val="center"/>
              <w:rPr>
                <w:rFonts w:hint="eastAsia"/>
                <w:bCs/>
                <w:i/>
                <w:color w:val="auto"/>
                <w:szCs w:val="21"/>
              </w:rPr>
            </w:pPr>
            <w:r>
              <w:rPr>
                <w:rFonts w:hint="eastAsia"/>
                <w:bCs/>
                <w:i/>
                <w:color w:val="auto"/>
                <w:szCs w:val="21"/>
              </w:rPr>
              <w:object>
                <v:shape id="_x0000_i1028" o:spt="75" type="#_x0000_t75" style="height:308.15pt;width:393.8pt;" o:ole="t" filled="f" o:preferrelative="t" stroked="f" coordsize="21600,21600">
                  <v:path/>
                  <v:fill on="f" focussize="0,0"/>
                  <v:stroke on="f"/>
                  <v:imagedata r:id="rId14" o:title=""/>
                  <o:lock v:ext="edit" aspectratio="t"/>
                  <w10:wrap type="none"/>
                  <w10:anchorlock/>
                </v:shape>
                <o:OLEObject Type="Embed" ProgID="Visio.Drawing.11" ShapeID="_x0000_i1028" DrawAspect="Content" ObjectID="_1468075728" r:id="rId13">
                  <o:LockedField>false</o:LockedField>
                </o:OLEObject>
              </w:object>
            </w:r>
          </w:p>
          <w:p w14:paraId="2A42411C">
            <w:pPr>
              <w:pStyle w:val="124"/>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color w:val="auto"/>
                <w:sz w:val="21"/>
                <w:szCs w:val="21"/>
                <w:highlight w:val="none"/>
                <w:lang w:val="zh-CN" w:eastAsia="zh-CN"/>
              </w:rPr>
            </w:pPr>
            <w:r>
              <w:rPr>
                <w:rFonts w:hint="eastAsia" w:ascii="Times New Roman" w:hAnsi="Times New Roman" w:cs="Times New Roman"/>
                <w:color w:val="auto"/>
                <w:sz w:val="21"/>
                <w:szCs w:val="21"/>
                <w:highlight w:val="none"/>
                <w:lang w:val="zh-CN" w:eastAsia="zh-CN"/>
              </w:rPr>
              <w:t>发电机组单元生产工艺流程及产排污节点图</w:t>
            </w:r>
          </w:p>
          <w:p w14:paraId="6A739FFA">
            <w:pPr>
              <w:pStyle w:val="133"/>
              <w:keepNext w:val="0"/>
              <w:keepLines w:val="0"/>
              <w:pageBreakBefore w:val="0"/>
              <w:widowControl w:val="0"/>
              <w:kinsoku/>
              <w:wordWrap/>
              <w:overflowPunct/>
              <w:topLinePunct w:val="0"/>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◆工艺流程介绍：</w:t>
            </w:r>
          </w:p>
          <w:p w14:paraId="676C65D1">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①发电机组</w:t>
            </w:r>
          </w:p>
          <w:p w14:paraId="4F95318D">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燃气发电机组系统包括填埋气发动机及发电机主体结构，实现燃烧、做功、产生电能、输出的功能。发电机组原理：利用生活垃圾产生的填埋气与一定比例的空气压入多个气缸内，燃烧后产生的热力推动带有曲柄连杆机构的火花塞往复转动，多个曲轴连杆机构将机械能传递给发动机，使发动机按照设定的转速将动能传递给桶轴上的发电机转子，转子转动切割定子间产生的磁力线，从而输出稳定的电能。</w:t>
            </w:r>
          </w:p>
          <w:p w14:paraId="07419C23">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lang w:eastAsia="zh-CN"/>
              </w:rPr>
              <w:t>续建工程</w:t>
            </w:r>
            <w:r>
              <w:rPr>
                <w:rFonts w:hint="default" w:ascii="Times New Roman" w:hAnsi="Times New Roman" w:eastAsia="宋体" w:cs="Times New Roman"/>
                <w:b w:val="0"/>
                <w:bCs w:val="0"/>
                <w:color w:val="auto"/>
                <w:sz w:val="24"/>
                <w:szCs w:val="24"/>
              </w:rPr>
              <w:t>选用6台燃气内燃发电机组，单机电功率1.067MW，项目总装机6.402MW。</w:t>
            </w:r>
          </w:p>
          <w:p w14:paraId="214DB0D4">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rPr>
              <w:t>②燃气内燃发电机组辅助系统</w:t>
            </w:r>
          </w:p>
          <w:p w14:paraId="45F3B424">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燃气内燃发电机组辅助系统包括燃料管道、空气管道、缸套水管道、中冷水管道、润滑油管道、曲轴箱呼吸管道和排烟管道等。</w:t>
            </w:r>
          </w:p>
          <w:p w14:paraId="772485FB">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●填埋气管道</w:t>
            </w:r>
          </w:p>
          <w:p w14:paraId="7FA3F8A1">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经过处理后的填埋气由总管（Ф630×8）送至发电机组，每台机组分别由两路支管（Ф125×4.5）引入。在每台机组燃料入口管道上安装有零压力调节阀门组，包括手动切断阀、燃气滤清器、两个快速切断阀、阻火器和燃气稳压阀。燃料输送系统各管段均设有放散阀，吹扫接口，吹扫气体为氮气汇流排提供的氮气。</w:t>
            </w:r>
          </w:p>
          <w:p w14:paraId="5D598D1E">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●空气管道</w:t>
            </w:r>
          </w:p>
          <w:p w14:paraId="7668B3EC">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每台燃机配备有</w:t>
            </w:r>
            <w:r>
              <w:rPr>
                <w:rFonts w:hint="eastAsia" w:ascii="Times New Roman" w:hAnsi="Times New Roman" w:eastAsia="宋体" w:cs="Times New Roman"/>
                <w:b w:val="0"/>
                <w:bCs w:val="0"/>
                <w:color w:val="auto"/>
                <w:sz w:val="24"/>
                <w:szCs w:val="24"/>
                <w:lang w:eastAsia="zh-CN"/>
              </w:rPr>
              <w:t>一</w:t>
            </w:r>
            <w:r>
              <w:rPr>
                <w:rFonts w:hint="default" w:ascii="Times New Roman" w:hAnsi="Times New Roman" w:eastAsia="宋体" w:cs="Times New Roman"/>
                <w:b w:val="0"/>
                <w:bCs w:val="0"/>
                <w:color w:val="auto"/>
                <w:sz w:val="24"/>
                <w:szCs w:val="24"/>
              </w:rPr>
              <w:t>台空气滤清器，空气过滤后通过风管吸入燃机本体。</w:t>
            </w:r>
          </w:p>
          <w:p w14:paraId="61E78AA2">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●缸套水管道</w:t>
            </w:r>
          </w:p>
          <w:p w14:paraId="5B999CCF">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缸套水系统主要冷却发动机运转时气缸和润滑油产生的热量，同时预热进入空气滤清器的低温燃烧空气。缸套水系统为封闭式冷却水循环系统，配有独立的冷却水管道。缸套水管路，燃机出口水温90℃，依次经冷却水泵、电动三通调节阀、水—空散热机组（缸套水）和机油散热器冷却后，水温降至65℃，回到燃机，形成闭合循环。另冷却水泵前设有膨胀水箱，由一根管道与缸套水管道相连，并设有手动阀，可排出管路中的空气和保证缸套水管路的压力稳定。机油散热器用来冷却机组润滑油。在燃机出口和冷却水泵之间另有一路缸套水加热进入空气滤清器的燃烧空气，该加热系统中设有低温水泵和电动三通调节阀门，以平衡整个缸套水回路的阻力。管道与燃机接口处采用金属软管连接，燃机和水—空散热机组进出口均设有手动阀门，供设备检修用。</w:t>
            </w:r>
          </w:p>
          <w:p w14:paraId="60675A0E">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●中冷水管道</w:t>
            </w:r>
          </w:p>
          <w:p w14:paraId="690D6906">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中冷水系统主要冷却空气和甲烷混合后气体在废气涡轮增压器中压缩产生的热量。中冷水系统为封闭式冷却循环系统，配有独立的冷却液管道。机组使用的冷却液定期进行补充。中冷水管路，燃机出口水温45.1℃，依次经冷却水泵、电动三通调节阀和水—空散热机组（中冷水）后，水温降至40℃，回到燃机，形成闭合循环。另在冷却水泵前同样设有膨胀水箱。管道与燃机接口处采用金属软管连接，燃机和水—空散热机组进出口均设有手动阀门，供设备检修用。</w:t>
            </w:r>
          </w:p>
          <w:p w14:paraId="1441F42F">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●润滑油管道</w:t>
            </w:r>
          </w:p>
          <w:p w14:paraId="22FC8A5C">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主要包括补油和放油管道。设有1个补油箱、1个废油箱和1台补油泵（兼作排油泵），补油箱和废油箱均为地上布置，容积为2m</w:t>
            </w:r>
            <w:r>
              <w:rPr>
                <w:rFonts w:hint="default" w:ascii="Times New Roman" w:hAnsi="Times New Roman" w:eastAsia="宋体" w:cs="Times New Roman"/>
                <w:b w:val="0"/>
                <w:bCs w:val="0"/>
                <w:color w:val="auto"/>
                <w:sz w:val="24"/>
                <w:szCs w:val="24"/>
                <w:vertAlign w:val="superscript"/>
              </w:rPr>
              <w:t>3</w:t>
            </w:r>
            <w:r>
              <w:rPr>
                <w:rFonts w:hint="default" w:ascii="Times New Roman" w:hAnsi="Times New Roman" w:eastAsia="宋体" w:cs="Times New Roman"/>
                <w:b w:val="0"/>
                <w:bCs w:val="0"/>
                <w:color w:val="auto"/>
                <w:sz w:val="24"/>
                <w:szCs w:val="24"/>
              </w:rPr>
              <w:t>。首先通过手提式滤油机直接将桶装润滑油打到补油箱中，再通过补油泵由补油母管送至发动机一端，再经各支管送至每台机组。补油支管上设有两个补油电磁阀，通过机组油位开关控制管道补油。每台机组通过各放油支管（Φ89×3.5）接入放油母管（Φ108×4）后，由排油泵排入废油箱回收处理。油管道与燃机接口处采用金属软管连接。补油箱出口补油总管上设流量计量装置。</w:t>
            </w:r>
          </w:p>
          <w:p w14:paraId="5971343B">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●曲轴箱呼吸管道</w:t>
            </w:r>
          </w:p>
          <w:p w14:paraId="1A32D41D">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每台机组的呼吸管道（Φ108×4）在机组发动机内部将混合气过滤并会回送至气缸内燃烧，不与大气相通。</w:t>
            </w:r>
          </w:p>
          <w:p w14:paraId="63396E30">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●排烟管道</w:t>
            </w:r>
          </w:p>
          <w:p w14:paraId="32EAC43B">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sz w:val="24"/>
                <w:szCs w:val="24"/>
              </w:rPr>
            </w:pPr>
            <w:r>
              <w:rPr>
                <w:rFonts w:hint="default" w:ascii="Times New Roman" w:hAnsi="Times New Roman" w:eastAsia="宋体" w:cs="Times New Roman"/>
                <w:b w:val="0"/>
                <w:bCs w:val="0"/>
                <w:color w:val="auto"/>
                <w:sz w:val="24"/>
                <w:szCs w:val="24"/>
              </w:rPr>
              <w:t>燃烧后的烟气由排气门进入排气管，供给涡轮增压器的涡轮，从涡轮排出的高温乏气经烟道送至烟气母管，尾气排入大气。排烟管道材料采用12Cr1MoV。</w:t>
            </w:r>
          </w:p>
          <w:p w14:paraId="1950DFA4">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③SCR脱硝系统</w:t>
            </w:r>
          </w:p>
          <w:p w14:paraId="5FFE9C39">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采用SCR法烟气脱硝技术脱除烟气中的NO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，催化剂选用进口55孔催化剂（孔径小于2.7mm），还原剂选用尿素</w:t>
            </w:r>
            <w:r>
              <w:rPr>
                <w:rFonts w:hint="eastAsia" w:ascii="Times New Roman" w:hAnsi="Times New Roman" w:eastAsia="宋体" w:cs="Times New Roman"/>
                <w:color w:val="auto"/>
                <w:sz w:val="24"/>
                <w:szCs w:val="24"/>
                <w:lang w:eastAsia="zh-CN"/>
              </w:rPr>
              <w:t>溶液</w:t>
            </w:r>
            <w:r>
              <w:rPr>
                <w:rFonts w:hint="default" w:ascii="Times New Roman" w:hAnsi="Times New Roman" w:eastAsia="宋体" w:cs="Times New Roman"/>
                <w:color w:val="auto"/>
                <w:sz w:val="24"/>
                <w:szCs w:val="24"/>
              </w:rPr>
              <w:t>。</w:t>
            </w:r>
          </w:p>
          <w:p w14:paraId="693D1B50">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尿素溶液</w:t>
            </w:r>
            <w:r>
              <w:rPr>
                <w:rFonts w:hint="eastAsia" w:ascii="Times New Roman" w:hAnsi="Times New Roman" w:eastAsia="宋体" w:cs="Times New Roman"/>
                <w:color w:val="auto"/>
                <w:sz w:val="24"/>
                <w:szCs w:val="24"/>
                <w:lang w:eastAsia="zh-CN"/>
              </w:rPr>
              <w:t>储存于</w:t>
            </w:r>
            <w:r>
              <w:rPr>
                <w:rFonts w:hint="default" w:ascii="Times New Roman" w:hAnsi="Times New Roman" w:eastAsia="宋体" w:cs="Times New Roman"/>
                <w:color w:val="auto"/>
                <w:sz w:val="24"/>
                <w:szCs w:val="24"/>
              </w:rPr>
              <w:t>储罐</w:t>
            </w:r>
            <w:r>
              <w:rPr>
                <w:rFonts w:hint="eastAsia" w:ascii="Times New Roman" w:hAnsi="Times New Roman" w:eastAsia="宋体" w:cs="Times New Roman"/>
                <w:color w:val="auto"/>
                <w:sz w:val="24"/>
                <w:szCs w:val="24"/>
                <w:lang w:eastAsia="zh-CN"/>
              </w:rPr>
              <w:t>内，</w:t>
            </w:r>
            <w:r>
              <w:rPr>
                <w:rFonts w:hint="default" w:ascii="Times New Roman" w:hAnsi="Times New Roman" w:eastAsia="宋体" w:cs="Times New Roman"/>
                <w:color w:val="auto"/>
                <w:sz w:val="24"/>
                <w:szCs w:val="24"/>
              </w:rPr>
              <w:t>再经由给料泵、计量与分配装置、雾化喷嘴等进入绝热分解室，加热尿素溶液，雾化后的尿素液滴在绝热分解室内分解，生成的分解产物为氨气和二氧化碳，分解产物通过布置在烟道中的网格状氨喷嘴均匀喷入SCR催化剂前的烟气管道。烟气降温后进入SCR反应器的矩形烟道，与氨气充分混合后，混合烟气采取水平通过催化剂，在催化剂作用下烟气与氨气进行还原反应实现脱硝，脱硝后的烟气经烟囱排出。每台余热蒸汽锅炉配置一套绝热分解炉和SCR反应器。每个SCR反应器设置2个催化剂层（包含一个附加催化剂层），按照1+1配置。在脱硝效率下降到要求值之前，需要在附加层加装新催化剂。新加装的催化剂可以利用已有的催化剂残余活性提高脱硝效率，因此可以延长催化剂的有效使用寿命。燃机排放烟气中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排放浓度＜2.0g/kwh（≤500mg/Nm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），满足欧洲EuroV标准。为了减少区域NO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排放总量，该项目烟气脱硝系统脱硝效率按照不低于90%设计，排放浓度将≤50mg/Nm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w:t>
            </w:r>
          </w:p>
          <w:p w14:paraId="4C9FB19A">
            <w:pPr>
              <w:pStyle w:val="110"/>
              <w:keepNext w:val="0"/>
              <w:keepLines w:val="0"/>
              <w:pageBreakBefore w:val="0"/>
              <w:widowControl w:val="0"/>
              <w:kinsoku/>
              <w:wordWrap/>
              <w:overflowPunct/>
              <w:topLinePunct w:val="0"/>
              <w:bidi w:val="0"/>
              <w:adjustRightInd/>
              <w:snapToGrid/>
              <w:spacing w:line="360" w:lineRule="auto"/>
              <w:ind w:firstLine="482" w:firstLineChars="200"/>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◆中低温（180-240℃）SCR脱硝</w:t>
            </w:r>
          </w:p>
          <w:p w14:paraId="7569F121">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1、技术简介</w:t>
            </w:r>
          </w:p>
          <w:p w14:paraId="6FA6C440">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工程采用中低温（180-240℃）SCR脱硝系统，设计反应温度点约为225℃（催化剂活性反应温度为不低于200℃，更高的反应温度对催化剂的性能有利），脱硝效率不低于85%为原则。本脱硝装置可以在反应温度段内高效运行，保证脱硝系统的性能及长期稳定运行。采用氨气作为还原剂。</w:t>
            </w:r>
          </w:p>
          <w:p w14:paraId="7B02A211">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脱硝系统主要由液氨储存及蒸发系统、SCR反应器、催化剂、氨喷射（AIG）系统、烟气换热升温等组成。</w:t>
            </w:r>
          </w:p>
          <w:p w14:paraId="0BC392B2">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2、反应机理</w:t>
            </w:r>
          </w:p>
          <w:p w14:paraId="25C6E7AC">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脱硫后烟气送入SCR脱硝系统入口烟道，SCR喷氨系统向催化剂上游的烟气中喷入氨气或其它合适的还原剂、利用催化剂将烟气中的NOX转化为N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和H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O。在通常的设计中，使用液态无水氨或氨水（氨的水溶液），无论以何种形式使用氨，首先使氨蒸发，然后氨和稀释空气或烟气混合，最后利用喷氨格栅将其喷入SCR反应器上游的烟气中。</w:t>
            </w:r>
          </w:p>
          <w:p w14:paraId="1E7AE99A">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在SCR反应器内，NO通过以下反应被还原：</w:t>
            </w:r>
          </w:p>
          <w:p w14:paraId="63141D6B">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+4NO+O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→4N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+6H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p>
          <w:p w14:paraId="0B49A815">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+6NO→5N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+6H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p>
          <w:p w14:paraId="48DAC1E3">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当烟气中有氧气时，反应第一式优先进行，因此，氨消耗量与NO还原量有一对一的关系。在燃烧烟气中，NO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一般约占总的NO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浓度的5%，NO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参与的反应如下：</w:t>
            </w:r>
          </w:p>
          <w:p w14:paraId="196FDEF4">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+2NO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→3N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+6H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p>
          <w:p w14:paraId="42B64B44">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+6NO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→7N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+12H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O</w:t>
            </w:r>
          </w:p>
          <w:p w14:paraId="4E0A419F">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3、技术特点</w:t>
            </w:r>
          </w:p>
          <w:p w14:paraId="66697B3D">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a）脱硝效率最高可以达到85%以上，NO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排放浓度可控制到50mg/Nm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以下；</w:t>
            </w:r>
          </w:p>
          <w:p w14:paraId="3F899750">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b）氨逃逸浓度低，可以控制在3ppm以下，SCR脱硝反应需要补充的氨气量约为25.13t/a，消耗的尿素量约为46.2t/a：</w:t>
            </w:r>
          </w:p>
          <w:p w14:paraId="5066A8DB">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c）系统简单，操作便利，催化剂在与烟气接触过程中，受到气态化学物质毒害、飞灰堵塞与冲蚀磨损等因素的影响，其活性逐渐降低，通常3～4年增加或更换一层催化剂即可继续保证系统脱硝效果；</w:t>
            </w:r>
          </w:p>
          <w:p w14:paraId="00E00646">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d）脱硝装置占地小，脱硝反应器系统阻力小；</w:t>
            </w:r>
          </w:p>
          <w:p w14:paraId="78A85F31">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e）布置灵活，可以方便地与脱硫装置联合；</w:t>
            </w:r>
          </w:p>
          <w:p w14:paraId="694CB1A9">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f）安全性高，无尘爆的风险。</w:t>
            </w:r>
          </w:p>
          <w:p w14:paraId="6D17AF03">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④脱硝流程</w:t>
            </w:r>
          </w:p>
          <w:p w14:paraId="5A4C8A75">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发电机组尾气与氨气混合后进入SCR脱硝段进行脱硝，脱硝后烟气由烟气净化系统引风机送回原囱排放。</w:t>
            </w:r>
          </w:p>
          <w:p w14:paraId="30493B19">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其中SCR脱硝使用的是氨气作为还原剂，氨气由氨气制备系统制备，制氨原料为尿素。制备完成后即由专用管道输送至SCR脱硝设备，通过氨/空气混合系统使氨气与稀释空气能够充分混合均匀，且达到安全要求。同时在催化剂的作用下烟气中的氨气及氮氧化物进行脱硝反应，烟气中的NOx转化N</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和水蒸气，达到脱硝的目的。</w:t>
            </w:r>
          </w:p>
          <w:p w14:paraId="3FBAFB8B">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a）氨气制备</w:t>
            </w:r>
          </w:p>
          <w:p w14:paraId="33B57F73">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续建工程</w:t>
            </w:r>
            <w:r>
              <w:rPr>
                <w:rFonts w:hint="default" w:ascii="Times New Roman" w:hAnsi="Times New Roman" w:eastAsia="宋体" w:cs="Times New Roman"/>
                <w:color w:val="auto"/>
                <w:sz w:val="24"/>
                <w:szCs w:val="24"/>
              </w:rPr>
              <w:t>SCR脱硝系统使用氨气作为还原剂，制备原料为尿素</w:t>
            </w:r>
            <w:r>
              <w:rPr>
                <w:rFonts w:hint="eastAsia" w:ascii="Times New Roman" w:hAnsi="Times New Roman" w:eastAsia="宋体" w:cs="Times New Roman"/>
                <w:color w:val="auto"/>
                <w:sz w:val="24"/>
                <w:szCs w:val="24"/>
                <w:lang w:eastAsia="zh-CN"/>
              </w:rPr>
              <w:t>溶液</w:t>
            </w:r>
            <w:r>
              <w:rPr>
                <w:rFonts w:hint="default" w:ascii="Times New Roman" w:hAnsi="Times New Roman" w:eastAsia="宋体" w:cs="Times New Roman"/>
                <w:color w:val="auto"/>
                <w:sz w:val="24"/>
                <w:szCs w:val="24"/>
              </w:rPr>
              <w:t>。主要设备为尿素溶液输送泵（Q=2.0m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/h，电机功率2.3kw）、尿素溶液循环泵（Q=1.0m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/h，电机功率3.2kw）、地坑泵（Q=1.0m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/h，电机功率2.0kw）、尿素溶液储存罐（V=2m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）、双梁起重机等。</w:t>
            </w:r>
          </w:p>
          <w:p w14:paraId="276CC196">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尿素溶液单元间的控制系统采用PLC控制系统，该系统可以独立运行，实现制备系统的现场操作，控制室内DCS监视尿素溶液储存罐液位、循环泵出口流量、温度及压力等信号。</w:t>
            </w:r>
          </w:p>
          <w:p w14:paraId="443D46F9">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尿素溶液</w:t>
            </w:r>
            <w:r>
              <w:rPr>
                <w:rFonts w:hint="eastAsia" w:ascii="Times New Roman" w:hAnsi="Times New Roman" w:eastAsia="宋体" w:cs="Times New Roman"/>
                <w:color w:val="auto"/>
                <w:sz w:val="24"/>
                <w:szCs w:val="24"/>
                <w:lang w:eastAsia="zh-CN"/>
              </w:rPr>
              <w:t>经</w:t>
            </w:r>
            <w:r>
              <w:rPr>
                <w:rFonts w:hint="default" w:ascii="Times New Roman" w:hAnsi="Times New Roman" w:eastAsia="宋体" w:cs="Times New Roman"/>
                <w:color w:val="auto"/>
                <w:sz w:val="24"/>
                <w:szCs w:val="24"/>
              </w:rPr>
              <w:t>由尿素溶液输送泵输送到尿素溶液储罐，经尿素溶液循环装置送至尿素溶液计量分配装置，回流液自动返回尿素溶液储罐，尿素输送管道需要保温，控制溶液温度在30℃以上，避免管道内有尿素结晶析出。</w:t>
            </w:r>
          </w:p>
          <w:p w14:paraId="5078CE81">
            <w:pPr>
              <w:pStyle w:val="110"/>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②脱硝反应</w:t>
            </w:r>
          </w:p>
          <w:p w14:paraId="659A0F10">
            <w:pPr>
              <w:pStyle w:val="103"/>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eastAsia" w:ascii="Times New Roman" w:hAnsi="Times New Roman" w:eastAsia="宋体" w:cs="Times New Roman"/>
                <w:b/>
                <w:bCs/>
                <w:color w:val="auto"/>
                <w:szCs w:val="24"/>
                <w:highlight w:val="none"/>
                <w:lang w:val="en-US" w:eastAsia="zh-CN"/>
              </w:rPr>
            </w:pPr>
            <w:r>
              <w:rPr>
                <w:rFonts w:hint="default" w:ascii="Times New Roman" w:hAnsi="Times New Roman" w:eastAsia="宋体" w:cs="Times New Roman"/>
                <w:color w:val="auto"/>
                <w:sz w:val="24"/>
                <w:szCs w:val="24"/>
              </w:rPr>
              <w:t>尿素溶液通过管道输送至绝热分解室内，被从分解室内经过的高温沼气燃烧废气间接加热雾化，分解为氨气和二氧化碳，分解产物分解产物通过布置在烟道中的网格状氨喷嘴均匀喷入SCR催化剂前的烟气管道，与经过的沼气燃烧烟气充分混合后，水平通过催化剂，在催化剂作用下烟气与氨气进行还原反应实现脱硝，脱硝后的烟气再经过SCR反应器的出口，最后经6根排气筒（DA005~DA010）排出。</w:t>
            </w:r>
          </w:p>
          <w:p w14:paraId="05F54933">
            <w:pPr>
              <w:pStyle w:val="103"/>
              <w:adjustRightInd/>
              <w:snapToGrid/>
              <w:spacing w:line="360" w:lineRule="auto"/>
              <w:rPr>
                <w:rFonts w:hint="eastAsia" w:ascii="Times New Roman" w:hAnsi="Times New Roman" w:eastAsia="宋体" w:cs="Times New Roman"/>
                <w:b/>
                <w:bCs/>
                <w:color w:val="auto"/>
                <w:szCs w:val="24"/>
                <w:highlight w:val="none"/>
                <w:lang w:val="en-US" w:eastAsia="zh-CN"/>
              </w:rPr>
            </w:pPr>
          </w:p>
          <w:p w14:paraId="668D247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kern w:val="0"/>
                <w:sz w:val="24"/>
                <w:szCs w:val="24"/>
                <w:lang w:val="en-US" w:eastAsia="zh-CN" w:bidi="ar-SA"/>
              </w:rPr>
            </w:pPr>
            <w:r>
              <w:rPr>
                <w:rFonts w:hint="eastAsia" w:ascii="Times New Roman" w:hAnsi="Times New Roman" w:eastAsia="宋体" w:cs="Times New Roman"/>
                <w:b/>
                <w:bCs/>
                <w:color w:val="auto"/>
                <w:kern w:val="0"/>
                <w:sz w:val="24"/>
                <w:szCs w:val="24"/>
                <w:lang w:val="en-US" w:eastAsia="zh-CN" w:bidi="ar-SA"/>
              </w:rPr>
              <w:t>2.10项目变动情况</w:t>
            </w:r>
          </w:p>
          <w:p w14:paraId="7A43068F">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根据现场踏勘，对比《武汉市江夏长山口生活垃圾卫生填埋场填埋气利用发电项目（续建工程）环境影响评价报告表》（报批本）及其环评批复（武环江夏审(2023)63号），本项目脱硝系统的尿素溶液来源及危废暂存间设置发生了变更，具体如下。</w:t>
            </w:r>
          </w:p>
          <w:p w14:paraId="05624673">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p>
          <w:p w14:paraId="0A7064C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kern w:val="0"/>
                <w:sz w:val="24"/>
                <w:szCs w:val="24"/>
                <w:lang w:val="en-US" w:eastAsia="zh-CN" w:bidi="ar-SA"/>
              </w:rPr>
            </w:pPr>
            <w:r>
              <w:rPr>
                <w:rFonts w:hint="eastAsia" w:ascii="Times New Roman" w:hAnsi="Times New Roman" w:eastAsia="宋体" w:cs="Times New Roman"/>
                <w:b/>
                <w:bCs/>
                <w:color w:val="auto"/>
                <w:kern w:val="0"/>
                <w:sz w:val="24"/>
                <w:szCs w:val="24"/>
                <w:lang w:val="en-US" w:eastAsia="zh-CN" w:bidi="ar-SA"/>
              </w:rPr>
              <w:t>2.10.1尿素溶液来源变更</w:t>
            </w:r>
          </w:p>
          <w:p w14:paraId="7D4A0FA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（1）原环评</w:t>
            </w:r>
          </w:p>
          <w:p w14:paraId="79D77EE5">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原环评采用SCR法烟气脱硝技术脱除烟气中的NO</w:t>
            </w:r>
            <w:r>
              <w:rPr>
                <w:rFonts w:hint="eastAsia" w:ascii="Times New Roman" w:hAnsi="Times New Roman" w:eastAsia="宋体" w:cs="Times New Roman"/>
                <w:color w:val="auto"/>
                <w:kern w:val="0"/>
                <w:sz w:val="24"/>
                <w:szCs w:val="24"/>
                <w:vertAlign w:val="subscript"/>
                <w:lang w:val="en-US" w:eastAsia="zh-CN" w:bidi="ar-SA"/>
              </w:rPr>
              <w:t>X</w:t>
            </w:r>
            <w:r>
              <w:rPr>
                <w:rFonts w:hint="eastAsia" w:ascii="Times New Roman" w:hAnsi="Times New Roman" w:eastAsia="宋体" w:cs="Times New Roman"/>
                <w:color w:val="auto"/>
                <w:kern w:val="0"/>
                <w:sz w:val="24"/>
                <w:szCs w:val="24"/>
                <w:lang w:val="en-US" w:eastAsia="zh-CN" w:bidi="ar-SA"/>
              </w:rPr>
              <w:t>，催化剂选用进口55孔催化剂（孔径小于2.7mm），还原剂选用尿素。</w:t>
            </w:r>
          </w:p>
          <w:p w14:paraId="2A1BB7D4">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袋装尿素或车载散装尿素由电动葫芦或气力输送系统输送到尿素颗粒仓，再通过管道进入溶解罐里，用去离子水在溶解罐内将固体尿素溶解成50%的尿素溶液，通过尿素溶液混合泵输送到尿素溶液储罐储存</w:t>
            </w:r>
            <w:r>
              <w:rPr>
                <w:rFonts w:hint="eastAsia" w:cs="Times New Roman"/>
                <w:color w:val="auto"/>
                <w:kern w:val="0"/>
                <w:sz w:val="24"/>
                <w:szCs w:val="24"/>
                <w:lang w:val="en-US" w:eastAsia="zh-CN" w:bidi="ar-SA"/>
              </w:rPr>
              <w:t>。</w:t>
            </w:r>
          </w:p>
          <w:p w14:paraId="31B97C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（2）实际建设</w:t>
            </w:r>
          </w:p>
          <w:p w14:paraId="755D5953">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采用SCR法烟气脱硝技术脱除烟气中的NO</w:t>
            </w:r>
            <w:r>
              <w:rPr>
                <w:rFonts w:hint="eastAsia" w:ascii="Times New Roman" w:hAnsi="Times New Roman" w:eastAsia="宋体" w:cs="Times New Roman"/>
                <w:color w:val="auto"/>
                <w:kern w:val="0"/>
                <w:sz w:val="24"/>
                <w:szCs w:val="24"/>
                <w:vertAlign w:val="subscript"/>
                <w:lang w:val="en-US" w:eastAsia="zh-CN" w:bidi="ar-SA"/>
              </w:rPr>
              <w:t>X</w:t>
            </w:r>
            <w:r>
              <w:rPr>
                <w:rFonts w:hint="eastAsia" w:ascii="Times New Roman" w:hAnsi="Times New Roman" w:eastAsia="宋体" w:cs="Times New Roman"/>
                <w:color w:val="auto"/>
                <w:kern w:val="0"/>
                <w:sz w:val="24"/>
                <w:szCs w:val="24"/>
                <w:lang w:val="en-US" w:eastAsia="zh-CN" w:bidi="ar-SA"/>
              </w:rPr>
              <w:t>，催化剂选用进口55孔催化剂（孔径小于2.7mm），还原剂选用尿素溶液。</w:t>
            </w:r>
          </w:p>
          <w:p w14:paraId="275013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直接购买50%的尿素溶液，并通过尿素溶液混合泵输送到尿素溶液储罐储存。</w:t>
            </w:r>
          </w:p>
          <w:p w14:paraId="6CBE7C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（3）主要变更内容</w:t>
            </w:r>
          </w:p>
          <w:p w14:paraId="55EA10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尿素溶液来源由“购买尿素并自行配置为50%的尿素溶液”变更为“直接购买50%的尿素溶液”，</w:t>
            </w:r>
            <w:r>
              <w:rPr>
                <w:rFonts w:hint="eastAsia" w:cs="Times New Roman"/>
                <w:color w:val="auto"/>
                <w:kern w:val="0"/>
                <w:sz w:val="24"/>
                <w:szCs w:val="24"/>
                <w:lang w:val="en-US" w:eastAsia="zh-CN" w:bidi="ar-SA"/>
              </w:rPr>
              <w:t>不再产生无组织粉尘</w:t>
            </w:r>
            <w:r>
              <w:rPr>
                <w:rFonts w:hint="eastAsia" w:ascii="Times New Roman" w:hAnsi="Times New Roman" w:eastAsia="宋体" w:cs="Times New Roman"/>
                <w:color w:val="auto"/>
                <w:kern w:val="0"/>
                <w:sz w:val="24"/>
                <w:szCs w:val="24"/>
                <w:lang w:val="en-US" w:eastAsia="zh-CN" w:bidi="ar-SA"/>
              </w:rPr>
              <w:t>废气。</w:t>
            </w:r>
          </w:p>
          <w:p w14:paraId="50BAF51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kern w:val="0"/>
                <w:sz w:val="24"/>
                <w:szCs w:val="24"/>
                <w:lang w:val="en-US" w:eastAsia="zh-CN" w:bidi="ar-SA"/>
              </w:rPr>
            </w:pPr>
            <w:r>
              <w:rPr>
                <w:rFonts w:hint="eastAsia" w:ascii="Times New Roman" w:hAnsi="Times New Roman" w:eastAsia="宋体" w:cs="Times New Roman"/>
                <w:b/>
                <w:bCs/>
                <w:color w:val="auto"/>
                <w:kern w:val="0"/>
                <w:sz w:val="24"/>
                <w:szCs w:val="24"/>
                <w:lang w:val="en-US" w:eastAsia="zh-CN" w:bidi="ar-SA"/>
              </w:rPr>
              <w:t>2.10.2危废暂存间变更</w:t>
            </w:r>
          </w:p>
          <w:p w14:paraId="7D3E9B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（1）原环评</w:t>
            </w:r>
          </w:p>
          <w:p w14:paraId="7A4738CB">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lang w:eastAsia="zh-CN"/>
              </w:rPr>
              <w:t>续建工程</w:t>
            </w:r>
            <w:r>
              <w:rPr>
                <w:rFonts w:hint="eastAsia" w:ascii="Times New Roman" w:hAnsi="Times New Roman" w:eastAsia="宋体" w:cs="Times New Roman"/>
                <w:b w:val="0"/>
                <w:bCs w:val="0"/>
                <w:color w:val="auto"/>
                <w:lang w:eastAsia="zh-CN"/>
              </w:rPr>
              <w:t>危废暂存间</w:t>
            </w:r>
            <w:r>
              <w:rPr>
                <w:rFonts w:hint="default" w:ascii="Times New Roman" w:hAnsi="Times New Roman" w:eastAsia="宋体" w:cs="Times New Roman"/>
                <w:b w:val="0"/>
                <w:bCs w:val="0"/>
                <w:color w:val="auto"/>
              </w:rPr>
              <w:t>依托现有危废暂存间进行暂存。</w:t>
            </w:r>
          </w:p>
          <w:p w14:paraId="095C17F0">
            <w:pPr>
              <w:pStyle w:val="134"/>
              <w:keepNext w:val="0"/>
              <w:keepLines w:val="0"/>
              <w:pageBreakBefore w:val="0"/>
              <w:widowControl w:val="0"/>
              <w:kinsoku/>
              <w:wordWrap/>
              <w:overflowPunct/>
              <w:topLinePunct w:val="0"/>
              <w:bidi w:val="0"/>
              <w:adjustRightInd/>
              <w:snapToGrid/>
              <w:spacing w:line="360" w:lineRule="auto"/>
              <w:ind w:firstLine="480" w:firstLineChars="200"/>
              <w:textAlignment w:val="auto"/>
              <w:rPr>
                <w:b w:val="0"/>
                <w:bCs w:val="0"/>
                <w:color w:val="auto"/>
              </w:rPr>
            </w:pPr>
            <w:r>
              <w:rPr>
                <w:rFonts w:hint="default" w:ascii="Times New Roman" w:hAnsi="Times New Roman" w:eastAsia="宋体" w:cs="Times New Roman"/>
                <w:b w:val="0"/>
                <w:bCs w:val="0"/>
                <w:color w:val="auto"/>
              </w:rPr>
              <w:t>现有危废暂存间位于项目区域的西南角，</w:t>
            </w:r>
            <w:r>
              <w:rPr>
                <w:rFonts w:hint="eastAsia" w:ascii="Times New Roman" w:hAnsi="Times New Roman" w:eastAsia="宋体" w:cs="Times New Roman"/>
                <w:b w:val="0"/>
                <w:bCs w:val="0"/>
                <w:color w:val="auto"/>
                <w:lang w:eastAsia="zh-CN"/>
              </w:rPr>
              <w:t>占地面积</w:t>
            </w:r>
            <w:r>
              <w:rPr>
                <w:rFonts w:hint="eastAsia" w:ascii="Times New Roman" w:hAnsi="Times New Roman" w:eastAsia="宋体" w:cs="Times New Roman"/>
                <w:b w:val="0"/>
                <w:bCs w:val="0"/>
                <w:color w:val="auto"/>
                <w:lang w:val="en-US" w:eastAsia="zh-CN"/>
              </w:rPr>
              <w:t>10m</w:t>
            </w:r>
            <w:r>
              <w:rPr>
                <w:rFonts w:hint="eastAsia" w:ascii="Times New Roman" w:hAnsi="Times New Roman" w:eastAsia="宋体" w:cs="Times New Roman"/>
                <w:b w:val="0"/>
                <w:bCs w:val="0"/>
                <w:color w:val="auto"/>
                <w:vertAlign w:val="superscript"/>
                <w:lang w:val="en-US" w:eastAsia="zh-CN"/>
              </w:rPr>
              <w:t>2</w:t>
            </w:r>
            <w:r>
              <w:rPr>
                <w:rFonts w:hint="eastAsia" w:ascii="Times New Roman" w:hAnsi="Times New Roman" w:eastAsia="宋体" w:cs="Times New Roman"/>
                <w:b w:val="0"/>
                <w:bCs w:val="0"/>
                <w:color w:val="auto"/>
                <w:lang w:val="en-US" w:eastAsia="zh-CN"/>
              </w:rPr>
              <w:t>，</w:t>
            </w:r>
            <w:r>
              <w:rPr>
                <w:rFonts w:hint="default" w:ascii="Times New Roman" w:hAnsi="Times New Roman" w:eastAsia="宋体" w:cs="Times New Roman"/>
                <w:b w:val="0"/>
                <w:bCs w:val="0"/>
                <w:color w:val="auto"/>
              </w:rPr>
              <w:t>有效暂存面积（除去分隔区和走廊区域）约8m</w:t>
            </w:r>
            <w:r>
              <w:rPr>
                <w:rFonts w:hint="default" w:ascii="Times New Roman" w:hAnsi="Times New Roman" w:eastAsia="宋体" w:cs="Times New Roman"/>
                <w:b w:val="0"/>
                <w:bCs w:val="0"/>
                <w:color w:val="auto"/>
                <w:vertAlign w:val="superscript"/>
              </w:rPr>
              <w:t>2</w:t>
            </w:r>
            <w:r>
              <w:rPr>
                <w:rFonts w:hint="default" w:ascii="Times New Roman" w:hAnsi="Times New Roman" w:eastAsia="宋体" w:cs="Times New Roman"/>
                <w:b w:val="0"/>
                <w:bCs w:val="0"/>
                <w:color w:val="auto"/>
              </w:rPr>
              <w:t>，其中废润滑油、废油桶暂存区域面积约2m</w:t>
            </w:r>
            <w:r>
              <w:rPr>
                <w:rFonts w:hint="default" w:ascii="Times New Roman" w:hAnsi="Times New Roman" w:eastAsia="宋体" w:cs="Times New Roman"/>
                <w:b w:val="0"/>
                <w:bCs w:val="0"/>
                <w:color w:val="auto"/>
                <w:vertAlign w:val="superscript"/>
              </w:rPr>
              <w:t>2</w:t>
            </w:r>
            <w:r>
              <w:rPr>
                <w:rFonts w:hint="default" w:ascii="Times New Roman" w:hAnsi="Times New Roman" w:eastAsia="宋体" w:cs="Times New Roman"/>
                <w:b w:val="0"/>
                <w:bCs w:val="0"/>
                <w:color w:val="auto"/>
              </w:rPr>
              <w:t>，废脱硝催化剂暂存区域面积约6m</w:t>
            </w:r>
            <w:r>
              <w:rPr>
                <w:rFonts w:hint="default" w:ascii="Times New Roman" w:hAnsi="Times New Roman" w:eastAsia="宋体" w:cs="Times New Roman"/>
                <w:b w:val="0"/>
                <w:bCs w:val="0"/>
                <w:color w:val="auto"/>
                <w:vertAlign w:val="superscript"/>
              </w:rPr>
              <w:t>2</w:t>
            </w:r>
            <w:r>
              <w:rPr>
                <w:rFonts w:hint="default" w:ascii="Times New Roman" w:hAnsi="Times New Roman" w:eastAsia="宋体" w:cs="Times New Roman"/>
                <w:b w:val="0"/>
                <w:bCs w:val="0"/>
                <w:color w:val="auto"/>
              </w:rPr>
              <w:t>。</w:t>
            </w:r>
          </w:p>
          <w:p w14:paraId="73DB90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（2）实际建设</w:t>
            </w:r>
          </w:p>
          <w:p w14:paraId="2E45C9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拆除了厂区西南角现有的危废暂存间，并在厂区南部空地新建了2个危废暂存间，其中1#危废暂存间面积12m</w:t>
            </w:r>
            <w:r>
              <w:rPr>
                <w:rFonts w:hint="eastAsia" w:ascii="Times New Roman" w:hAnsi="Times New Roman" w:eastAsia="宋体"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，用于废脱硝催化剂暂存。2#危废暂存间面积8m</w:t>
            </w:r>
            <w:r>
              <w:rPr>
                <w:rFonts w:hint="eastAsia" w:ascii="Times New Roman" w:hAnsi="Times New Roman" w:eastAsia="宋体"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，用于废润滑油、废油桶暂存。危废暂存间的建设符合《危险废物贮存污染控制标准》（GB18597-2023）、《危险废物收集、贮存、运输技术规范》（HJ2025-2012）中相应要求。</w:t>
            </w:r>
          </w:p>
          <w:p w14:paraId="00D0AD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（3）主要变更内容</w:t>
            </w:r>
          </w:p>
          <w:p w14:paraId="2B8E66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建设单位拆除了现有的危废暂存间（10m</w:t>
            </w:r>
            <w:r>
              <w:rPr>
                <w:rFonts w:hint="eastAsia" w:ascii="Times New Roman" w:hAnsi="Times New Roman" w:eastAsia="宋体"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），并于厂区南部空地新建了2个危废暂存间，面积分别为12m</w:t>
            </w:r>
            <w:r>
              <w:rPr>
                <w:rFonts w:hint="eastAsia" w:ascii="Times New Roman" w:hAnsi="Times New Roman" w:eastAsia="宋体"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和8m</w:t>
            </w:r>
            <w:r>
              <w:rPr>
                <w:rFonts w:hint="eastAsia" w:ascii="Times New Roman" w:hAnsi="Times New Roman" w:eastAsia="宋体"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w:t>
            </w:r>
          </w:p>
          <w:p w14:paraId="31B3302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auto"/>
                <w:kern w:val="0"/>
                <w:sz w:val="24"/>
                <w:szCs w:val="24"/>
                <w:lang w:val="en-US" w:eastAsia="zh-CN" w:bidi="ar-SA"/>
              </w:rPr>
            </w:pPr>
            <w:r>
              <w:rPr>
                <w:rFonts w:hint="eastAsia" w:ascii="Times New Roman" w:hAnsi="Times New Roman" w:eastAsia="宋体" w:cs="Times New Roman"/>
                <w:b/>
                <w:bCs/>
                <w:color w:val="auto"/>
                <w:kern w:val="0"/>
                <w:sz w:val="24"/>
                <w:szCs w:val="24"/>
                <w:lang w:val="en-US" w:eastAsia="zh-CN" w:bidi="ar-SA"/>
              </w:rPr>
              <w:t>2.10.3项目变动情况判定分析</w:t>
            </w:r>
          </w:p>
          <w:p w14:paraId="7DFB08F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综上分析，并对照《污染影响类建设项目重大变动清单（试行）》（环办环评函〔2020〕688号）本项目的性质、规模、地点、生产工艺、环保措施未发生重大变动，故本项目不存在重大变动情况。</w:t>
            </w:r>
          </w:p>
          <w:p w14:paraId="3C57CC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具体详见下表。</w:t>
            </w:r>
          </w:p>
          <w:p w14:paraId="50F51B16">
            <w:pPr>
              <w:tabs>
                <w:tab w:val="left" w:pos="3240"/>
              </w:tabs>
              <w:adjustRightInd/>
              <w:snapToGrid/>
              <w:spacing w:line="360" w:lineRule="auto"/>
              <w:ind w:firstLine="360" w:firstLineChars="200"/>
              <w:rPr>
                <w:color w:val="auto"/>
                <w:highlight w:val="none"/>
              </w:rPr>
            </w:pPr>
          </w:p>
        </w:tc>
      </w:tr>
    </w:tbl>
    <w:p w14:paraId="4C194939">
      <w:pPr>
        <w:pStyle w:val="4"/>
        <w:adjustRightInd/>
        <w:snapToGrid/>
        <w:rPr>
          <w:color w:val="auto"/>
          <w:highlight w:val="none"/>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9"/>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4218"/>
      </w:tblGrid>
      <w:tr w14:paraId="7A975AE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289" w:hRule="atLeast"/>
        </w:trPr>
        <w:tc>
          <w:tcPr>
            <w:tcW w:w="5000" w:type="pct"/>
          </w:tcPr>
          <w:p w14:paraId="1DA47435">
            <w:pPr>
              <w:pStyle w:val="121"/>
              <w:adjustRightInd/>
              <w:snapToGrid/>
              <w:rPr>
                <w:rFonts w:hint="eastAsia" w:ascii="Times New Roman" w:hAnsi="Times New Roman" w:cs="Times New Roman"/>
                <w:color w:val="auto"/>
                <w:sz w:val="21"/>
                <w:highlight w:val="none"/>
                <w:lang w:eastAsia="zh-CN"/>
              </w:rPr>
            </w:pPr>
            <w:r>
              <w:rPr>
                <w:rFonts w:hint="eastAsia" w:ascii="Times New Roman" w:hAnsi="Times New Roman" w:cs="Times New Roman"/>
                <w:color w:val="auto"/>
                <w:sz w:val="21"/>
                <w:highlight w:val="none"/>
                <w:lang w:eastAsia="zh-CN"/>
              </w:rPr>
              <w:t>项目变动情况判定分析一览表</w:t>
            </w:r>
          </w:p>
          <w:tbl>
            <w:tblPr>
              <w:tblStyle w:val="30"/>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76"/>
              <w:gridCol w:w="3570"/>
              <w:gridCol w:w="3550"/>
              <w:gridCol w:w="3463"/>
              <w:gridCol w:w="1583"/>
              <w:gridCol w:w="1060"/>
            </w:tblGrid>
            <w:tr w14:paraId="49AD01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277" w:type="pct"/>
                  <w:tcBorders>
                    <w:top w:val="single" w:color="auto" w:sz="12" w:space="0"/>
                    <w:bottom w:val="single" w:color="auto" w:sz="12" w:space="0"/>
                  </w:tcBorders>
                  <w:vAlign w:val="center"/>
                </w:tcPr>
                <w:p w14:paraId="5A2D2592">
                  <w:pPr>
                    <w:jc w:val="center"/>
                    <w:rPr>
                      <w:sz w:val="18"/>
                      <w:szCs w:val="18"/>
                    </w:rPr>
                  </w:pPr>
                  <w:r>
                    <w:rPr>
                      <w:rFonts w:hint="eastAsia"/>
                      <w:sz w:val="18"/>
                      <w:szCs w:val="18"/>
                    </w:rPr>
                    <w:t>类别</w:t>
                  </w:r>
                </w:p>
              </w:tc>
              <w:tc>
                <w:tcPr>
                  <w:tcW w:w="1274" w:type="pct"/>
                  <w:tcBorders>
                    <w:top w:val="single" w:color="auto" w:sz="12" w:space="0"/>
                    <w:bottom w:val="single" w:color="auto" w:sz="12" w:space="0"/>
                  </w:tcBorders>
                  <w:vAlign w:val="center"/>
                </w:tcPr>
                <w:p w14:paraId="0C83E4EA">
                  <w:pPr>
                    <w:jc w:val="center"/>
                    <w:rPr>
                      <w:sz w:val="18"/>
                      <w:szCs w:val="18"/>
                    </w:rPr>
                  </w:pPr>
                  <w:r>
                    <w:rPr>
                      <w:rFonts w:hint="eastAsia"/>
                      <w:sz w:val="18"/>
                      <w:szCs w:val="18"/>
                    </w:rPr>
                    <w:t>判定条件</w:t>
                  </w:r>
                </w:p>
              </w:tc>
              <w:tc>
                <w:tcPr>
                  <w:tcW w:w="1267" w:type="pct"/>
                  <w:tcBorders>
                    <w:top w:val="single" w:color="auto" w:sz="12" w:space="0"/>
                    <w:bottom w:val="single" w:color="auto" w:sz="12" w:space="0"/>
                  </w:tcBorders>
                  <w:vAlign w:val="center"/>
                </w:tcPr>
                <w:p w14:paraId="06C93241">
                  <w:pPr>
                    <w:jc w:val="center"/>
                    <w:rPr>
                      <w:sz w:val="18"/>
                      <w:szCs w:val="18"/>
                    </w:rPr>
                  </w:pPr>
                  <w:r>
                    <w:rPr>
                      <w:rFonts w:hint="eastAsia"/>
                      <w:sz w:val="18"/>
                      <w:szCs w:val="18"/>
                    </w:rPr>
                    <w:t>原环评及批复</w:t>
                  </w:r>
                </w:p>
              </w:tc>
              <w:tc>
                <w:tcPr>
                  <w:tcW w:w="1236" w:type="pct"/>
                  <w:tcBorders>
                    <w:top w:val="single" w:color="auto" w:sz="12" w:space="0"/>
                    <w:bottom w:val="single" w:color="auto" w:sz="12" w:space="0"/>
                  </w:tcBorders>
                  <w:vAlign w:val="center"/>
                </w:tcPr>
                <w:p w14:paraId="65B56726">
                  <w:pPr>
                    <w:jc w:val="center"/>
                    <w:rPr>
                      <w:sz w:val="18"/>
                      <w:szCs w:val="18"/>
                    </w:rPr>
                  </w:pPr>
                  <w:r>
                    <w:rPr>
                      <w:rFonts w:hint="eastAsia"/>
                      <w:sz w:val="18"/>
                      <w:szCs w:val="18"/>
                    </w:rPr>
                    <w:t>实际建设情况</w:t>
                  </w:r>
                </w:p>
              </w:tc>
              <w:tc>
                <w:tcPr>
                  <w:tcW w:w="565" w:type="pct"/>
                  <w:tcBorders>
                    <w:top w:val="single" w:color="auto" w:sz="12" w:space="0"/>
                    <w:bottom w:val="single" w:color="auto" w:sz="12" w:space="0"/>
                  </w:tcBorders>
                  <w:vAlign w:val="center"/>
                </w:tcPr>
                <w:p w14:paraId="6B5CD3E8">
                  <w:pPr>
                    <w:jc w:val="center"/>
                    <w:rPr>
                      <w:sz w:val="18"/>
                      <w:szCs w:val="18"/>
                    </w:rPr>
                  </w:pPr>
                  <w:r>
                    <w:rPr>
                      <w:rFonts w:hint="eastAsia"/>
                      <w:sz w:val="18"/>
                      <w:szCs w:val="18"/>
                    </w:rPr>
                    <w:t>判定情况</w:t>
                  </w:r>
                </w:p>
              </w:tc>
              <w:tc>
                <w:tcPr>
                  <w:tcW w:w="378" w:type="pct"/>
                  <w:tcBorders>
                    <w:top w:val="single" w:color="auto" w:sz="12" w:space="0"/>
                    <w:bottom w:val="single" w:color="auto" w:sz="12" w:space="0"/>
                  </w:tcBorders>
                  <w:vAlign w:val="center"/>
                </w:tcPr>
                <w:p w14:paraId="10EED2A8">
                  <w:pPr>
                    <w:jc w:val="center"/>
                    <w:rPr>
                      <w:sz w:val="18"/>
                      <w:szCs w:val="18"/>
                    </w:rPr>
                  </w:pPr>
                  <w:r>
                    <w:rPr>
                      <w:rFonts w:hint="eastAsia"/>
                      <w:sz w:val="18"/>
                      <w:szCs w:val="18"/>
                    </w:rPr>
                    <w:t>是否为重大变动</w:t>
                  </w:r>
                </w:p>
              </w:tc>
            </w:tr>
            <w:tr w14:paraId="3746B0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tcBorders>
                    <w:top w:val="single" w:color="auto" w:sz="12" w:space="0"/>
                  </w:tcBorders>
                  <w:vAlign w:val="center"/>
                </w:tcPr>
                <w:p w14:paraId="13687736">
                  <w:pPr>
                    <w:jc w:val="center"/>
                    <w:rPr>
                      <w:sz w:val="18"/>
                      <w:szCs w:val="18"/>
                    </w:rPr>
                  </w:pPr>
                  <w:r>
                    <w:rPr>
                      <w:rFonts w:hint="eastAsia"/>
                      <w:sz w:val="18"/>
                      <w:szCs w:val="18"/>
                    </w:rPr>
                    <w:t>性质</w:t>
                  </w:r>
                </w:p>
              </w:tc>
              <w:tc>
                <w:tcPr>
                  <w:tcW w:w="1274" w:type="pct"/>
                  <w:tcBorders>
                    <w:top w:val="single" w:color="auto" w:sz="12" w:space="0"/>
                  </w:tcBorders>
                  <w:vAlign w:val="center"/>
                </w:tcPr>
                <w:p w14:paraId="2505D216">
                  <w:pPr>
                    <w:rPr>
                      <w:sz w:val="18"/>
                      <w:szCs w:val="18"/>
                    </w:rPr>
                  </w:pPr>
                  <w:r>
                    <w:rPr>
                      <w:rFonts w:hint="eastAsia"/>
                      <w:sz w:val="18"/>
                      <w:szCs w:val="18"/>
                    </w:rPr>
                    <w:t>1、建设项目开发、使用功能发生变化的。</w:t>
                  </w:r>
                </w:p>
              </w:tc>
              <w:tc>
                <w:tcPr>
                  <w:tcW w:w="1267" w:type="pct"/>
                  <w:tcBorders>
                    <w:top w:val="single" w:color="auto" w:sz="12" w:space="0"/>
                  </w:tcBorders>
                  <w:vAlign w:val="center"/>
                </w:tcPr>
                <w:p w14:paraId="62A84E2D">
                  <w:pPr>
                    <w:jc w:val="center"/>
                    <w:rPr>
                      <w:sz w:val="18"/>
                      <w:szCs w:val="18"/>
                    </w:rPr>
                  </w:pPr>
                  <w:r>
                    <w:rPr>
                      <w:rFonts w:hint="eastAsia"/>
                      <w:color w:val="auto"/>
                      <w:szCs w:val="21"/>
                    </w:rPr>
                    <w:t>D4417生物质能发电</w:t>
                  </w:r>
                </w:p>
              </w:tc>
              <w:tc>
                <w:tcPr>
                  <w:tcW w:w="1236" w:type="pct"/>
                  <w:tcBorders>
                    <w:top w:val="single" w:color="auto" w:sz="12" w:space="0"/>
                  </w:tcBorders>
                  <w:vAlign w:val="center"/>
                </w:tcPr>
                <w:p w14:paraId="74087411">
                  <w:pPr>
                    <w:jc w:val="center"/>
                    <w:rPr>
                      <w:sz w:val="18"/>
                      <w:szCs w:val="18"/>
                    </w:rPr>
                  </w:pPr>
                  <w:r>
                    <w:rPr>
                      <w:rFonts w:hint="eastAsia"/>
                      <w:sz w:val="18"/>
                      <w:szCs w:val="18"/>
                    </w:rPr>
                    <w:t>D4417生物质能发电</w:t>
                  </w:r>
                </w:p>
              </w:tc>
              <w:tc>
                <w:tcPr>
                  <w:tcW w:w="565" w:type="pct"/>
                  <w:tcBorders>
                    <w:top w:val="single" w:color="auto" w:sz="12" w:space="0"/>
                  </w:tcBorders>
                  <w:vAlign w:val="center"/>
                </w:tcPr>
                <w:p w14:paraId="3F7D1DA1">
                  <w:pPr>
                    <w:jc w:val="center"/>
                    <w:rPr>
                      <w:sz w:val="18"/>
                      <w:szCs w:val="18"/>
                    </w:rPr>
                  </w:pPr>
                  <w:r>
                    <w:rPr>
                      <w:rFonts w:hint="eastAsia"/>
                      <w:sz w:val="18"/>
                      <w:szCs w:val="18"/>
                    </w:rPr>
                    <w:t>建设项目开发、使用功能未发生变化</w:t>
                  </w:r>
                </w:p>
              </w:tc>
              <w:tc>
                <w:tcPr>
                  <w:tcW w:w="378" w:type="pct"/>
                  <w:tcBorders>
                    <w:top w:val="single" w:color="auto" w:sz="12" w:space="0"/>
                  </w:tcBorders>
                  <w:vAlign w:val="center"/>
                </w:tcPr>
                <w:p w14:paraId="14F95022">
                  <w:pPr>
                    <w:jc w:val="center"/>
                    <w:rPr>
                      <w:sz w:val="18"/>
                      <w:szCs w:val="18"/>
                    </w:rPr>
                  </w:pPr>
                  <w:r>
                    <w:rPr>
                      <w:rFonts w:hint="eastAsia"/>
                      <w:sz w:val="18"/>
                      <w:szCs w:val="18"/>
                    </w:rPr>
                    <w:t>否</w:t>
                  </w:r>
                </w:p>
              </w:tc>
            </w:tr>
            <w:tr w14:paraId="38459B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restart"/>
                  <w:vAlign w:val="center"/>
                </w:tcPr>
                <w:p w14:paraId="2353A583">
                  <w:pPr>
                    <w:jc w:val="center"/>
                    <w:rPr>
                      <w:sz w:val="18"/>
                      <w:szCs w:val="18"/>
                    </w:rPr>
                  </w:pPr>
                  <w:r>
                    <w:rPr>
                      <w:rFonts w:hint="eastAsia"/>
                      <w:sz w:val="18"/>
                      <w:szCs w:val="18"/>
                    </w:rPr>
                    <w:t>规模</w:t>
                  </w:r>
                </w:p>
              </w:tc>
              <w:tc>
                <w:tcPr>
                  <w:tcW w:w="1274" w:type="pct"/>
                  <w:vAlign w:val="center"/>
                </w:tcPr>
                <w:p w14:paraId="0D5E5983">
                  <w:pPr>
                    <w:rPr>
                      <w:sz w:val="18"/>
                      <w:szCs w:val="18"/>
                    </w:rPr>
                  </w:pPr>
                  <w:r>
                    <w:rPr>
                      <w:rFonts w:hint="eastAsia"/>
                      <w:sz w:val="18"/>
                      <w:szCs w:val="18"/>
                    </w:rPr>
                    <w:t>2、生产、处置或储存能力增大30%及以上的。</w:t>
                  </w:r>
                </w:p>
              </w:tc>
              <w:tc>
                <w:tcPr>
                  <w:tcW w:w="1267" w:type="pct"/>
                  <w:vMerge w:val="restart"/>
                  <w:vAlign w:val="center"/>
                </w:tcPr>
                <w:p w14:paraId="12371E3E">
                  <w:pPr>
                    <w:jc w:val="both"/>
                    <w:rPr>
                      <w:rFonts w:hint="eastAsia" w:ascii="Times New Roman" w:hAnsi="Times New Roman" w:eastAsia="宋体" w:cs="Times New Roman"/>
                      <w:szCs w:val="18"/>
                      <w:lang w:val="en-US" w:eastAsia="zh-CN"/>
                    </w:rPr>
                  </w:pPr>
                  <w:r>
                    <w:rPr>
                      <w:rFonts w:hint="eastAsia" w:cs="Times New Roman"/>
                      <w:szCs w:val="18"/>
                      <w:lang w:val="en-US" w:eastAsia="zh-CN"/>
                    </w:rPr>
                    <w:t>续建工程</w:t>
                  </w:r>
                  <w:r>
                    <w:rPr>
                      <w:rFonts w:hint="eastAsia" w:ascii="Times New Roman" w:hAnsi="Times New Roman" w:eastAsia="宋体" w:cs="Times New Roman"/>
                      <w:szCs w:val="18"/>
                      <w:lang w:val="en-US" w:eastAsia="zh-CN"/>
                    </w:rPr>
                    <w:t>新增发电机组6台1.067MW的燃气内燃发电机组，年均新增耗气量2044.2万Nm</w:t>
                  </w:r>
                  <w:r>
                    <w:rPr>
                      <w:rFonts w:hint="eastAsia" w:ascii="Times New Roman" w:hAnsi="Times New Roman" w:eastAsia="宋体" w:cs="Times New Roman"/>
                      <w:szCs w:val="18"/>
                      <w:vertAlign w:val="superscript"/>
                      <w:lang w:val="en-US" w:eastAsia="zh-CN"/>
                    </w:rPr>
                    <w:t>3</w:t>
                  </w:r>
                  <w:r>
                    <w:rPr>
                      <w:rFonts w:hint="eastAsia" w:ascii="Times New Roman" w:hAnsi="Times New Roman" w:eastAsia="宋体" w:cs="Times New Roman"/>
                      <w:szCs w:val="18"/>
                      <w:lang w:val="en-US" w:eastAsia="zh-CN"/>
                    </w:rPr>
                    <w:t>，年均新增发电量为3407万度。</w:t>
                  </w:r>
                </w:p>
                <w:p w14:paraId="44B8479A">
                  <w:pPr>
                    <w:jc w:val="both"/>
                    <w:rPr>
                      <w:rFonts w:hint="eastAsia" w:eastAsia="宋体"/>
                      <w:sz w:val="18"/>
                      <w:szCs w:val="18"/>
                      <w:lang w:eastAsia="zh-CN"/>
                    </w:rPr>
                  </w:pPr>
                </w:p>
              </w:tc>
              <w:tc>
                <w:tcPr>
                  <w:tcW w:w="1236" w:type="pct"/>
                  <w:vMerge w:val="restart"/>
                  <w:vAlign w:val="center"/>
                </w:tcPr>
                <w:p w14:paraId="0943B2EA">
                  <w:pPr>
                    <w:jc w:val="center"/>
                    <w:rPr>
                      <w:sz w:val="18"/>
                      <w:szCs w:val="18"/>
                    </w:rPr>
                  </w:pPr>
                  <w:r>
                    <w:rPr>
                      <w:rFonts w:hint="eastAsia"/>
                      <w:sz w:val="18"/>
                      <w:szCs w:val="18"/>
                    </w:rPr>
                    <w:t>与环评一致</w:t>
                  </w:r>
                </w:p>
              </w:tc>
              <w:tc>
                <w:tcPr>
                  <w:tcW w:w="565" w:type="pct"/>
                  <w:vMerge w:val="restart"/>
                  <w:vAlign w:val="center"/>
                </w:tcPr>
                <w:p w14:paraId="6BB09ED4">
                  <w:pPr>
                    <w:rPr>
                      <w:sz w:val="18"/>
                      <w:szCs w:val="18"/>
                    </w:rPr>
                  </w:pPr>
                  <w:r>
                    <w:rPr>
                      <w:rFonts w:hint="eastAsia"/>
                      <w:sz w:val="18"/>
                      <w:szCs w:val="18"/>
                    </w:rPr>
                    <w:t>项目生产、处置或储存能力未增大，未导致污染物排放量增加10%及以上。</w:t>
                  </w:r>
                </w:p>
              </w:tc>
              <w:tc>
                <w:tcPr>
                  <w:tcW w:w="378" w:type="pct"/>
                  <w:vMerge w:val="restart"/>
                  <w:vAlign w:val="center"/>
                </w:tcPr>
                <w:p w14:paraId="2ED2A573">
                  <w:pPr>
                    <w:jc w:val="center"/>
                    <w:rPr>
                      <w:sz w:val="18"/>
                      <w:szCs w:val="18"/>
                    </w:rPr>
                  </w:pPr>
                  <w:r>
                    <w:rPr>
                      <w:rFonts w:hint="eastAsia"/>
                      <w:sz w:val="18"/>
                      <w:szCs w:val="18"/>
                    </w:rPr>
                    <w:t>否</w:t>
                  </w:r>
                </w:p>
              </w:tc>
            </w:tr>
            <w:tr w14:paraId="5C1819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7C8771EC">
                  <w:pPr>
                    <w:jc w:val="center"/>
                    <w:rPr>
                      <w:sz w:val="18"/>
                      <w:szCs w:val="18"/>
                    </w:rPr>
                  </w:pPr>
                </w:p>
              </w:tc>
              <w:tc>
                <w:tcPr>
                  <w:tcW w:w="1274" w:type="pct"/>
                  <w:vAlign w:val="center"/>
                </w:tcPr>
                <w:p w14:paraId="355B7FDC">
                  <w:pPr>
                    <w:rPr>
                      <w:sz w:val="18"/>
                      <w:szCs w:val="18"/>
                    </w:rPr>
                  </w:pPr>
                  <w:r>
                    <w:rPr>
                      <w:rFonts w:hint="eastAsia"/>
                      <w:sz w:val="18"/>
                      <w:szCs w:val="18"/>
                    </w:rPr>
                    <w:t>3、生产、处置或储存能力增大，导致废水第一类污染物排放量增加的。</w:t>
                  </w:r>
                </w:p>
              </w:tc>
              <w:tc>
                <w:tcPr>
                  <w:tcW w:w="1267" w:type="pct"/>
                  <w:vMerge w:val="continue"/>
                </w:tcPr>
                <w:p w14:paraId="66724873">
                  <w:pPr>
                    <w:rPr>
                      <w:sz w:val="18"/>
                      <w:szCs w:val="18"/>
                    </w:rPr>
                  </w:pPr>
                </w:p>
              </w:tc>
              <w:tc>
                <w:tcPr>
                  <w:tcW w:w="1236" w:type="pct"/>
                  <w:vMerge w:val="continue"/>
                </w:tcPr>
                <w:p w14:paraId="48455F4C">
                  <w:pPr>
                    <w:rPr>
                      <w:sz w:val="18"/>
                      <w:szCs w:val="18"/>
                    </w:rPr>
                  </w:pPr>
                </w:p>
              </w:tc>
              <w:tc>
                <w:tcPr>
                  <w:tcW w:w="565" w:type="pct"/>
                  <w:vMerge w:val="continue"/>
                  <w:vAlign w:val="center"/>
                </w:tcPr>
                <w:p w14:paraId="549573CD">
                  <w:pPr>
                    <w:rPr>
                      <w:sz w:val="18"/>
                      <w:szCs w:val="18"/>
                    </w:rPr>
                  </w:pPr>
                </w:p>
              </w:tc>
              <w:tc>
                <w:tcPr>
                  <w:tcW w:w="378" w:type="pct"/>
                  <w:vMerge w:val="continue"/>
                  <w:vAlign w:val="center"/>
                </w:tcPr>
                <w:p w14:paraId="27C1CB33">
                  <w:pPr>
                    <w:jc w:val="center"/>
                    <w:rPr>
                      <w:sz w:val="18"/>
                      <w:szCs w:val="18"/>
                    </w:rPr>
                  </w:pPr>
                </w:p>
              </w:tc>
            </w:tr>
            <w:tr w14:paraId="43BA7D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1C766927">
                  <w:pPr>
                    <w:jc w:val="center"/>
                    <w:rPr>
                      <w:sz w:val="18"/>
                      <w:szCs w:val="18"/>
                    </w:rPr>
                  </w:pPr>
                </w:p>
              </w:tc>
              <w:tc>
                <w:tcPr>
                  <w:tcW w:w="1274" w:type="pct"/>
                  <w:vAlign w:val="center"/>
                </w:tcPr>
                <w:p w14:paraId="1D2BEEA3">
                  <w:pPr>
                    <w:rPr>
                      <w:sz w:val="18"/>
                      <w:szCs w:val="18"/>
                    </w:rPr>
                  </w:pPr>
                  <w:r>
                    <w:rPr>
                      <w:rFonts w:hint="eastAsia"/>
                      <w:sz w:val="18"/>
                      <w:szCs w:val="18"/>
                    </w:rPr>
                    <w:t>4、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p>
              </w:tc>
              <w:tc>
                <w:tcPr>
                  <w:tcW w:w="1267" w:type="pct"/>
                  <w:vMerge w:val="continue"/>
                </w:tcPr>
                <w:p w14:paraId="58A81A6A">
                  <w:pPr>
                    <w:rPr>
                      <w:sz w:val="18"/>
                      <w:szCs w:val="18"/>
                    </w:rPr>
                  </w:pPr>
                </w:p>
              </w:tc>
              <w:tc>
                <w:tcPr>
                  <w:tcW w:w="1236" w:type="pct"/>
                  <w:vMerge w:val="continue"/>
                </w:tcPr>
                <w:p w14:paraId="6E781F2E">
                  <w:pPr>
                    <w:rPr>
                      <w:sz w:val="18"/>
                      <w:szCs w:val="18"/>
                    </w:rPr>
                  </w:pPr>
                </w:p>
              </w:tc>
              <w:tc>
                <w:tcPr>
                  <w:tcW w:w="565" w:type="pct"/>
                  <w:vMerge w:val="continue"/>
                  <w:vAlign w:val="center"/>
                </w:tcPr>
                <w:p w14:paraId="647D7B06">
                  <w:pPr>
                    <w:rPr>
                      <w:sz w:val="18"/>
                      <w:szCs w:val="18"/>
                    </w:rPr>
                  </w:pPr>
                </w:p>
              </w:tc>
              <w:tc>
                <w:tcPr>
                  <w:tcW w:w="378" w:type="pct"/>
                  <w:vMerge w:val="continue"/>
                  <w:vAlign w:val="center"/>
                </w:tcPr>
                <w:p w14:paraId="01723190">
                  <w:pPr>
                    <w:jc w:val="center"/>
                    <w:rPr>
                      <w:sz w:val="18"/>
                      <w:szCs w:val="18"/>
                    </w:rPr>
                  </w:pPr>
                </w:p>
              </w:tc>
            </w:tr>
            <w:tr w14:paraId="42F003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Align w:val="center"/>
                </w:tcPr>
                <w:p w14:paraId="06842A98">
                  <w:pPr>
                    <w:jc w:val="center"/>
                    <w:rPr>
                      <w:sz w:val="18"/>
                      <w:szCs w:val="18"/>
                    </w:rPr>
                  </w:pPr>
                  <w:r>
                    <w:rPr>
                      <w:rFonts w:hint="eastAsia"/>
                      <w:sz w:val="18"/>
                      <w:szCs w:val="18"/>
                    </w:rPr>
                    <w:t>地点</w:t>
                  </w:r>
                </w:p>
              </w:tc>
              <w:tc>
                <w:tcPr>
                  <w:tcW w:w="1274" w:type="pct"/>
                  <w:vAlign w:val="center"/>
                </w:tcPr>
                <w:p w14:paraId="56B1EDDA">
                  <w:pPr>
                    <w:rPr>
                      <w:sz w:val="18"/>
                      <w:szCs w:val="18"/>
                    </w:rPr>
                  </w:pPr>
                  <w:r>
                    <w:rPr>
                      <w:rFonts w:hint="eastAsia"/>
                      <w:sz w:val="18"/>
                      <w:szCs w:val="18"/>
                    </w:rPr>
                    <w:t>5、重新选址；在原厂址附近调整（包括总平面布置变化）导致环境防护距离范围变化且新增敏感点的</w:t>
                  </w:r>
                </w:p>
              </w:tc>
              <w:tc>
                <w:tcPr>
                  <w:tcW w:w="1267" w:type="pct"/>
                  <w:vAlign w:val="center"/>
                </w:tcPr>
                <w:p w14:paraId="61625AF3">
                  <w:pPr>
                    <w:jc w:val="center"/>
                    <w:rPr>
                      <w:sz w:val="18"/>
                      <w:szCs w:val="18"/>
                    </w:rPr>
                  </w:pPr>
                  <w:r>
                    <w:rPr>
                      <w:rFonts w:hint="eastAsia"/>
                      <w:sz w:val="18"/>
                      <w:szCs w:val="18"/>
                    </w:rPr>
                    <w:t>未设置卫生防护距离</w:t>
                  </w:r>
                </w:p>
              </w:tc>
              <w:tc>
                <w:tcPr>
                  <w:tcW w:w="1236" w:type="pct"/>
                  <w:vAlign w:val="center"/>
                </w:tcPr>
                <w:p w14:paraId="3EBDCA35">
                  <w:pPr>
                    <w:jc w:val="center"/>
                    <w:rPr>
                      <w:sz w:val="18"/>
                      <w:szCs w:val="18"/>
                    </w:rPr>
                  </w:pPr>
                  <w:r>
                    <w:rPr>
                      <w:rFonts w:hint="eastAsia"/>
                      <w:sz w:val="18"/>
                      <w:szCs w:val="18"/>
                    </w:rPr>
                    <w:t>选址未发生变化</w:t>
                  </w:r>
                </w:p>
              </w:tc>
              <w:tc>
                <w:tcPr>
                  <w:tcW w:w="565" w:type="pct"/>
                  <w:vAlign w:val="center"/>
                </w:tcPr>
                <w:p w14:paraId="2742FBD5">
                  <w:pPr>
                    <w:rPr>
                      <w:sz w:val="18"/>
                      <w:szCs w:val="18"/>
                    </w:rPr>
                  </w:pPr>
                  <w:r>
                    <w:rPr>
                      <w:rFonts w:hint="eastAsia"/>
                      <w:sz w:val="18"/>
                      <w:szCs w:val="18"/>
                    </w:rPr>
                    <w:t>项目未重新选址，平面布置的调整未导致防护距离范围变化，未新增敏感点</w:t>
                  </w:r>
                </w:p>
              </w:tc>
              <w:tc>
                <w:tcPr>
                  <w:tcW w:w="378" w:type="pct"/>
                  <w:vAlign w:val="center"/>
                </w:tcPr>
                <w:p w14:paraId="5D41D39A">
                  <w:pPr>
                    <w:jc w:val="center"/>
                    <w:rPr>
                      <w:sz w:val="18"/>
                      <w:szCs w:val="18"/>
                    </w:rPr>
                  </w:pPr>
                  <w:r>
                    <w:rPr>
                      <w:rFonts w:hint="eastAsia"/>
                      <w:sz w:val="18"/>
                      <w:szCs w:val="18"/>
                    </w:rPr>
                    <w:t>否</w:t>
                  </w:r>
                </w:p>
              </w:tc>
            </w:tr>
            <w:tr w14:paraId="350124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restart"/>
                  <w:vAlign w:val="center"/>
                </w:tcPr>
                <w:p w14:paraId="7A7CA18E">
                  <w:pPr>
                    <w:jc w:val="center"/>
                    <w:rPr>
                      <w:sz w:val="18"/>
                      <w:szCs w:val="18"/>
                    </w:rPr>
                  </w:pPr>
                  <w:r>
                    <w:rPr>
                      <w:rFonts w:hint="eastAsia"/>
                      <w:sz w:val="18"/>
                      <w:szCs w:val="18"/>
                    </w:rPr>
                    <w:t>生产工艺</w:t>
                  </w:r>
                </w:p>
              </w:tc>
              <w:tc>
                <w:tcPr>
                  <w:tcW w:w="1274" w:type="pct"/>
                  <w:vAlign w:val="center"/>
                </w:tcPr>
                <w:p w14:paraId="1FDE949D">
                  <w:pPr>
                    <w:rPr>
                      <w:sz w:val="18"/>
                      <w:szCs w:val="18"/>
                    </w:rPr>
                  </w:pPr>
                  <w:r>
                    <w:rPr>
                      <w:rFonts w:hint="eastAsia"/>
                      <w:sz w:val="18"/>
                      <w:szCs w:val="18"/>
                    </w:rPr>
                    <w:t>6、新增产品品种或生产工艺（含主要生产装置、设备及配套设施）、主要原辅材料、燃料变化，导致以下情形之一：</w:t>
                  </w:r>
                </w:p>
                <w:p w14:paraId="1F0F47E1">
                  <w:pPr>
                    <w:rPr>
                      <w:sz w:val="18"/>
                      <w:szCs w:val="18"/>
                    </w:rPr>
                  </w:pPr>
                  <w:r>
                    <w:rPr>
                      <w:rFonts w:hint="eastAsia"/>
                      <w:sz w:val="18"/>
                      <w:szCs w:val="18"/>
                    </w:rPr>
                    <w:t>（1）新增排放污染物种类的（毒性、挥发性降低的除外）；</w:t>
                  </w:r>
                </w:p>
                <w:p w14:paraId="66D81937">
                  <w:pPr>
                    <w:rPr>
                      <w:sz w:val="18"/>
                      <w:szCs w:val="18"/>
                    </w:rPr>
                  </w:pPr>
                  <w:r>
                    <w:rPr>
                      <w:rFonts w:hint="eastAsia"/>
                      <w:sz w:val="18"/>
                      <w:szCs w:val="18"/>
                    </w:rPr>
                    <w:t>（2）位于环境质量不达标区的建设项目相应污染物排放量增加的；</w:t>
                  </w:r>
                </w:p>
                <w:p w14:paraId="0AA9772B">
                  <w:pPr>
                    <w:rPr>
                      <w:sz w:val="18"/>
                      <w:szCs w:val="18"/>
                    </w:rPr>
                  </w:pPr>
                  <w:r>
                    <w:rPr>
                      <w:rFonts w:hint="eastAsia"/>
                      <w:sz w:val="18"/>
                      <w:szCs w:val="18"/>
                    </w:rPr>
                    <w:t>（3）废水第一类污染物排放量增加的；</w:t>
                  </w:r>
                </w:p>
                <w:p w14:paraId="06C455A5">
                  <w:pPr>
                    <w:rPr>
                      <w:sz w:val="18"/>
                      <w:szCs w:val="18"/>
                    </w:rPr>
                  </w:pPr>
                  <w:r>
                    <w:rPr>
                      <w:rFonts w:hint="eastAsia"/>
                      <w:sz w:val="18"/>
                      <w:szCs w:val="18"/>
                    </w:rPr>
                    <w:t>（4）其他污染物排放量增加10%及以上的。</w:t>
                  </w:r>
                </w:p>
              </w:tc>
              <w:tc>
                <w:tcPr>
                  <w:tcW w:w="1267" w:type="pct"/>
                  <w:vAlign w:val="center"/>
                </w:tcPr>
                <w:p w14:paraId="614E44AD">
                  <w:pPr>
                    <w:pStyle w:val="133"/>
                    <w:keepNext w:val="0"/>
                    <w:keepLines w:val="0"/>
                    <w:pageBreakBefore w:val="0"/>
                    <w:widowControl w:val="0"/>
                    <w:kinsoku/>
                    <w:wordWrap/>
                    <w:overflowPunct/>
                    <w:topLinePunct w:val="0"/>
                    <w:autoSpaceDE/>
                    <w:autoSpaceDN/>
                    <w:bidi w:val="0"/>
                    <w:adjustRightInd w:val="0"/>
                    <w:snapToGrid w:val="0"/>
                    <w:spacing w:line="240" w:lineRule="auto"/>
                    <w:ind w:firstLine="0"/>
                    <w:jc w:val="left"/>
                    <w:textAlignment w:val="auto"/>
                    <w:rPr>
                      <w:rFonts w:hint="eastAsia" w:ascii="Times New Roman" w:hAnsi="Times New Roman" w:eastAsia="宋体" w:cs="Times New Roman"/>
                      <w:szCs w:val="18"/>
                      <w:lang w:val="en-US" w:eastAsia="zh-CN"/>
                    </w:rPr>
                  </w:pPr>
                  <w:r>
                    <w:rPr>
                      <w:rFonts w:hint="eastAsia" w:ascii="Times New Roman" w:hAnsi="Times New Roman" w:eastAsia="宋体" w:cs="Times New Roman"/>
                      <w:b/>
                      <w:bCs/>
                      <w:color w:val="auto"/>
                      <w:lang w:eastAsia="zh-CN"/>
                    </w:rPr>
                    <w:t>主要产品：</w:t>
                  </w:r>
                  <w:r>
                    <w:rPr>
                      <w:rFonts w:hint="eastAsia" w:ascii="Times New Roman" w:hAnsi="Times New Roman" w:eastAsia="宋体" w:cs="Times New Roman"/>
                      <w:szCs w:val="18"/>
                      <w:lang w:val="en-US" w:eastAsia="zh-CN"/>
                    </w:rPr>
                    <w:t>年均新增发电量为</w:t>
                  </w:r>
                  <w:r>
                    <w:rPr>
                      <w:rFonts w:hint="eastAsia" w:cs="Times New Roman"/>
                      <w:szCs w:val="18"/>
                      <w:lang w:val="en-US" w:eastAsia="zh-CN"/>
                    </w:rPr>
                    <w:t>3407</w:t>
                  </w:r>
                  <w:r>
                    <w:rPr>
                      <w:rFonts w:hint="eastAsia" w:ascii="Times New Roman" w:hAnsi="Times New Roman" w:eastAsia="宋体" w:cs="Times New Roman"/>
                      <w:szCs w:val="18"/>
                      <w:lang w:val="en-US" w:eastAsia="zh-CN"/>
                    </w:rPr>
                    <w:t>万度。</w:t>
                  </w:r>
                </w:p>
                <w:p w14:paraId="63A35816">
                  <w:pPr>
                    <w:pStyle w:val="133"/>
                    <w:keepNext w:val="0"/>
                    <w:keepLines w:val="0"/>
                    <w:pageBreakBefore w:val="0"/>
                    <w:widowControl w:val="0"/>
                    <w:kinsoku/>
                    <w:wordWrap/>
                    <w:overflowPunct/>
                    <w:topLinePunct w:val="0"/>
                    <w:autoSpaceDE/>
                    <w:autoSpaceDN/>
                    <w:bidi w:val="0"/>
                    <w:adjustRightInd w:val="0"/>
                    <w:snapToGrid w:val="0"/>
                    <w:spacing w:line="240" w:lineRule="auto"/>
                    <w:ind w:firstLine="0"/>
                    <w:jc w:val="left"/>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b/>
                      <w:bCs/>
                      <w:szCs w:val="18"/>
                      <w:lang w:val="en-US" w:eastAsia="zh-CN"/>
                    </w:rPr>
                    <w:t>生产工艺：</w:t>
                  </w:r>
                  <w:r>
                    <w:rPr>
                      <w:rFonts w:hint="eastAsia" w:ascii="Times New Roman" w:hAnsi="Times New Roman" w:eastAsia="宋体" w:cs="Times New Roman"/>
                      <w:szCs w:val="18"/>
                      <w:lang w:val="en-US" w:eastAsia="zh-CN"/>
                    </w:rPr>
                    <w:t>内燃机发电。</w:t>
                  </w:r>
                </w:p>
                <w:p w14:paraId="042FF982">
                  <w:pPr>
                    <w:pStyle w:val="133"/>
                    <w:keepNext w:val="0"/>
                    <w:keepLines w:val="0"/>
                    <w:pageBreakBefore w:val="0"/>
                    <w:widowControl w:val="0"/>
                    <w:kinsoku/>
                    <w:wordWrap/>
                    <w:overflowPunct/>
                    <w:topLinePunct w:val="0"/>
                    <w:autoSpaceDE/>
                    <w:autoSpaceDN/>
                    <w:bidi w:val="0"/>
                    <w:adjustRightInd w:val="0"/>
                    <w:snapToGrid w:val="0"/>
                    <w:spacing w:line="240" w:lineRule="auto"/>
                    <w:ind w:firstLine="0"/>
                    <w:jc w:val="left"/>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b/>
                      <w:bCs/>
                      <w:color w:val="auto"/>
                      <w:lang w:eastAsia="zh-CN"/>
                    </w:rPr>
                    <w:t>主要原辅材料、燃料：</w:t>
                  </w:r>
                  <w:r>
                    <w:rPr>
                      <w:rFonts w:hint="eastAsia" w:ascii="Times New Roman" w:hAnsi="Times New Roman" w:eastAsia="宋体" w:cs="Times New Roman"/>
                      <w:color w:val="auto"/>
                      <w:lang w:eastAsia="zh-CN"/>
                    </w:rPr>
                    <w:t>年均新增填埋气耗气量</w:t>
                  </w:r>
                  <w:r>
                    <w:rPr>
                      <w:rFonts w:hint="eastAsia" w:cs="Times New Roman"/>
                      <w:color w:val="auto"/>
                      <w:lang w:eastAsia="zh-CN"/>
                    </w:rPr>
                    <w:t>2044.2</w:t>
                  </w:r>
                  <w:r>
                    <w:rPr>
                      <w:rFonts w:hint="eastAsia" w:ascii="Times New Roman" w:hAnsi="Times New Roman" w:eastAsia="宋体" w:cs="Times New Roman"/>
                      <w:color w:val="auto"/>
                      <w:lang w:eastAsia="zh-CN"/>
                    </w:rPr>
                    <w:t>万Nm</w:t>
                  </w:r>
                  <w:r>
                    <w:rPr>
                      <w:rFonts w:hint="eastAsia" w:ascii="Times New Roman" w:hAnsi="Times New Roman" w:eastAsia="宋体" w:cs="Times New Roman"/>
                      <w:color w:val="auto"/>
                      <w:vertAlign w:val="superscript"/>
                      <w:lang w:eastAsia="zh-CN"/>
                    </w:rPr>
                    <w:t>3</w:t>
                  </w:r>
                  <w:r>
                    <w:rPr>
                      <w:rFonts w:hint="eastAsia" w:ascii="Times New Roman" w:hAnsi="Times New Roman" w:eastAsia="宋体" w:cs="Times New Roman"/>
                      <w:color w:val="auto"/>
                      <w:lang w:eastAsia="zh-CN"/>
                    </w:rPr>
                    <w:t>。</w:t>
                  </w:r>
                </w:p>
                <w:p w14:paraId="695852A5">
                  <w:pPr>
                    <w:pStyle w:val="133"/>
                    <w:keepNext w:val="0"/>
                    <w:keepLines w:val="0"/>
                    <w:pageBreakBefore w:val="0"/>
                    <w:widowControl w:val="0"/>
                    <w:kinsoku/>
                    <w:wordWrap/>
                    <w:overflowPunct/>
                    <w:topLinePunct w:val="0"/>
                    <w:autoSpaceDE/>
                    <w:autoSpaceDN/>
                    <w:bidi w:val="0"/>
                    <w:adjustRightInd w:val="0"/>
                    <w:snapToGrid w:val="0"/>
                    <w:spacing w:line="240" w:lineRule="auto"/>
                    <w:ind w:firstLine="0"/>
                    <w:jc w:val="left"/>
                    <w:textAlignment w:val="auto"/>
                    <w:rPr>
                      <w:rFonts w:hint="default" w:ascii="Times New Roman" w:hAnsi="Times New Roman" w:eastAsia="宋体" w:cs="Times New Roman"/>
                      <w:sz w:val="18"/>
                      <w:szCs w:val="18"/>
                      <w:lang w:eastAsia="zh-CN"/>
                    </w:rPr>
                  </w:pPr>
                </w:p>
              </w:tc>
              <w:tc>
                <w:tcPr>
                  <w:tcW w:w="1236" w:type="pct"/>
                  <w:vAlign w:val="center"/>
                </w:tcPr>
                <w:p w14:paraId="40CD29DB">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与环评一致</w:t>
                  </w:r>
                </w:p>
              </w:tc>
              <w:tc>
                <w:tcPr>
                  <w:tcW w:w="565" w:type="pct"/>
                  <w:vAlign w:val="center"/>
                </w:tcPr>
                <w:p w14:paraId="2EEB03C8">
                  <w:pPr>
                    <w:rPr>
                      <w:sz w:val="18"/>
                      <w:szCs w:val="18"/>
                    </w:rPr>
                  </w:pPr>
                  <w:r>
                    <w:rPr>
                      <w:rFonts w:hint="eastAsia"/>
                      <w:sz w:val="18"/>
                      <w:szCs w:val="18"/>
                    </w:rPr>
                    <w:t>产品及生产工艺未发生变化，无新增污染物产生，污染物排放量未增加。</w:t>
                  </w:r>
                </w:p>
              </w:tc>
              <w:tc>
                <w:tcPr>
                  <w:tcW w:w="378" w:type="pct"/>
                  <w:vAlign w:val="center"/>
                </w:tcPr>
                <w:p w14:paraId="2C2A29D0">
                  <w:pPr>
                    <w:jc w:val="center"/>
                    <w:rPr>
                      <w:sz w:val="18"/>
                      <w:szCs w:val="18"/>
                    </w:rPr>
                  </w:pPr>
                  <w:r>
                    <w:rPr>
                      <w:rFonts w:hint="eastAsia"/>
                      <w:sz w:val="18"/>
                      <w:szCs w:val="18"/>
                    </w:rPr>
                    <w:t>否</w:t>
                  </w:r>
                </w:p>
              </w:tc>
            </w:tr>
            <w:tr w14:paraId="4F34CD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096E2144">
                  <w:pPr>
                    <w:jc w:val="center"/>
                    <w:rPr>
                      <w:sz w:val="18"/>
                      <w:szCs w:val="18"/>
                    </w:rPr>
                  </w:pPr>
                </w:p>
              </w:tc>
              <w:tc>
                <w:tcPr>
                  <w:tcW w:w="1274" w:type="pct"/>
                  <w:vAlign w:val="center"/>
                </w:tcPr>
                <w:p w14:paraId="4BF5FD69">
                  <w:pPr>
                    <w:rPr>
                      <w:sz w:val="18"/>
                      <w:szCs w:val="18"/>
                    </w:rPr>
                  </w:pPr>
                  <w:r>
                    <w:rPr>
                      <w:rFonts w:hint="eastAsia"/>
                      <w:sz w:val="18"/>
                      <w:szCs w:val="18"/>
                    </w:rPr>
                    <w:t>7、物料运输、装卸、贮存方式变化，导致大气污染物无组织排放量增加10%及以上的。</w:t>
                  </w:r>
                </w:p>
              </w:tc>
              <w:tc>
                <w:tcPr>
                  <w:tcW w:w="1267" w:type="pct"/>
                  <w:vAlign w:val="center"/>
                </w:tcPr>
                <w:p w14:paraId="29C14BC2">
                  <w:pPr>
                    <w:jc w:val="center"/>
                    <w:rPr>
                      <w:sz w:val="18"/>
                      <w:szCs w:val="18"/>
                    </w:rPr>
                  </w:pPr>
                  <w:r>
                    <w:rPr>
                      <w:rFonts w:hint="eastAsia"/>
                      <w:sz w:val="18"/>
                      <w:szCs w:val="18"/>
                    </w:rPr>
                    <w:t>/</w:t>
                  </w:r>
                </w:p>
              </w:tc>
              <w:tc>
                <w:tcPr>
                  <w:tcW w:w="1236" w:type="pct"/>
                  <w:vAlign w:val="center"/>
                </w:tcPr>
                <w:p w14:paraId="4603E428">
                  <w:pPr>
                    <w:jc w:val="center"/>
                    <w:rPr>
                      <w:sz w:val="18"/>
                      <w:szCs w:val="18"/>
                    </w:rPr>
                  </w:pPr>
                  <w:r>
                    <w:rPr>
                      <w:rFonts w:hint="eastAsia"/>
                      <w:sz w:val="18"/>
                      <w:szCs w:val="18"/>
                    </w:rPr>
                    <w:t>/</w:t>
                  </w:r>
                </w:p>
              </w:tc>
              <w:tc>
                <w:tcPr>
                  <w:tcW w:w="565" w:type="pct"/>
                  <w:vAlign w:val="center"/>
                </w:tcPr>
                <w:p w14:paraId="1353BA0C">
                  <w:pPr>
                    <w:rPr>
                      <w:sz w:val="18"/>
                      <w:szCs w:val="18"/>
                    </w:rPr>
                  </w:pPr>
                  <w:r>
                    <w:rPr>
                      <w:rFonts w:hint="eastAsia"/>
                      <w:sz w:val="18"/>
                      <w:szCs w:val="18"/>
                    </w:rPr>
                    <w:t>物料运输、装卸、贮存方式未发生变化；</w:t>
                  </w:r>
                </w:p>
              </w:tc>
              <w:tc>
                <w:tcPr>
                  <w:tcW w:w="378" w:type="pct"/>
                  <w:vAlign w:val="center"/>
                </w:tcPr>
                <w:p w14:paraId="1598FA83">
                  <w:pPr>
                    <w:jc w:val="center"/>
                    <w:rPr>
                      <w:sz w:val="18"/>
                      <w:szCs w:val="18"/>
                    </w:rPr>
                  </w:pPr>
                  <w:r>
                    <w:rPr>
                      <w:rFonts w:hint="eastAsia"/>
                      <w:sz w:val="18"/>
                      <w:szCs w:val="18"/>
                    </w:rPr>
                    <w:t>否</w:t>
                  </w:r>
                </w:p>
              </w:tc>
            </w:tr>
            <w:tr w14:paraId="72DD88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restart"/>
                  <w:vAlign w:val="center"/>
                </w:tcPr>
                <w:p w14:paraId="6C98A0D6">
                  <w:pPr>
                    <w:jc w:val="center"/>
                    <w:rPr>
                      <w:sz w:val="18"/>
                      <w:szCs w:val="18"/>
                    </w:rPr>
                  </w:pPr>
                  <w:r>
                    <w:rPr>
                      <w:rFonts w:hint="eastAsia"/>
                      <w:sz w:val="18"/>
                      <w:szCs w:val="18"/>
                    </w:rPr>
                    <w:t>环境保护措施</w:t>
                  </w:r>
                </w:p>
              </w:tc>
              <w:tc>
                <w:tcPr>
                  <w:tcW w:w="1274" w:type="pct"/>
                  <w:vMerge w:val="restart"/>
                  <w:vAlign w:val="center"/>
                </w:tcPr>
                <w:p w14:paraId="2FCEEF01">
                  <w:pPr>
                    <w:rPr>
                      <w:sz w:val="18"/>
                      <w:szCs w:val="18"/>
                    </w:rPr>
                  </w:pPr>
                  <w:r>
                    <w:rPr>
                      <w:rFonts w:hint="eastAsia"/>
                      <w:sz w:val="18"/>
                      <w:szCs w:val="18"/>
                    </w:rPr>
                    <w:t>8、废气、废水污染防治措施变化，导致第6条中所列情形之一（废气无组织排放改为有组织排放、污染防治措施强化或改进的除外）或大气污染物无组织排放量增加10%及以上的。</w:t>
                  </w:r>
                </w:p>
              </w:tc>
              <w:tc>
                <w:tcPr>
                  <w:tcW w:w="1267" w:type="pct"/>
                  <w:shd w:val="clear" w:color="auto" w:fill="auto"/>
                  <w:vAlign w:val="center"/>
                </w:tcPr>
                <w:p w14:paraId="596E81F2">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续建工程运营期产废气主要为沼气燃烧废气、逃逸的氨气和无组织粉尘。</w:t>
                  </w:r>
                </w:p>
                <w:p w14:paraId="09043020">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①沼气燃烧废气</w:t>
                  </w:r>
                </w:p>
                <w:p w14:paraId="542F4FC8">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续建工程新增6台内燃发电机组，每台发电机组单独设置一个排气筒，具体如下：</w:t>
                  </w:r>
                </w:p>
                <w:p w14:paraId="128EDEAE">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9号发电机组的沼气燃烧废气经SCR法脱硝处理后经15m高排气筒（DA005）排放；</w:t>
                  </w:r>
                </w:p>
                <w:p w14:paraId="04EF6E88">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10号发电机组的沼气燃烧废气经SCR法脱硝处理后经15m高排气筒（DA006）排放；</w:t>
                  </w:r>
                </w:p>
                <w:p w14:paraId="1BE9D82F">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11号发电机组的沼气燃烧废气经SCR法脱硝处理后经15m高排气筒（DA007）排放；</w:t>
                  </w:r>
                </w:p>
                <w:p w14:paraId="49648B85">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12号发电机组的沼气燃烧废气经SCR法脱硝处理后经15m高排气筒（DA008）排放；</w:t>
                  </w:r>
                </w:p>
                <w:p w14:paraId="00FAB57C">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13号发电机组的沼气燃烧废气经SCR法脱硝处理后经15m高排气筒（DA009）排放；</w:t>
                  </w:r>
                </w:p>
                <w:p w14:paraId="3CCDAD9F">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14号发电机组的沼气燃烧废气经SCR法脱硝处理后经15m高排气筒（DA010）排放；</w:t>
                  </w:r>
                </w:p>
                <w:p w14:paraId="6BD73E6C">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排气筒（DA005~DA010）排放尾气中的污染物（颗粒物、氮氧化物、二氧化硫）排放浓度执行《锅炉大气污染物排放标准》（GB13271-2014）表3相关标准。</w:t>
                  </w:r>
                </w:p>
                <w:p w14:paraId="2F25FE01">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②逃逸的氨气</w:t>
                  </w:r>
                </w:p>
                <w:p w14:paraId="4BC3D963">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SCR脱硝装置在运行时，会有一定的氨气未能参与脱硝反应，这部分属于逃逸的氨气，将随着沼气燃烧烟气一同经6根15m高的排气筒（DA005~DA010）排放。</w:t>
                  </w:r>
                </w:p>
                <w:p w14:paraId="6F7A23D8">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③无组织粉尘</w:t>
                  </w:r>
                </w:p>
                <w:p w14:paraId="0346DE67">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续建工程在制备尿素溶液过程中由于需要人工进行拆袋，故将会有一定的粉尘逸散开来，进行无组织排放。</w:t>
                  </w:r>
                </w:p>
              </w:tc>
              <w:tc>
                <w:tcPr>
                  <w:tcW w:w="1236" w:type="pct"/>
                  <w:shd w:val="clear" w:color="auto" w:fill="auto"/>
                  <w:vAlign w:val="center"/>
                </w:tcPr>
                <w:p w14:paraId="0EFBB0B2">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续建工程运营期产废气主要为沼气燃烧废气</w:t>
                  </w:r>
                  <w:r>
                    <w:rPr>
                      <w:rFonts w:hint="eastAsia" w:ascii="Times New Roman" w:hAnsi="Times New Roman" w:eastAsia="宋体" w:cs="Times New Roman"/>
                      <w:color w:val="auto"/>
                      <w:sz w:val="18"/>
                      <w:szCs w:val="18"/>
                      <w:highlight w:val="none"/>
                      <w:lang w:eastAsia="zh-CN"/>
                    </w:rPr>
                    <w:t>和</w:t>
                  </w:r>
                  <w:r>
                    <w:rPr>
                      <w:rFonts w:hint="default" w:ascii="Times New Roman" w:hAnsi="Times New Roman" w:eastAsia="宋体" w:cs="Times New Roman"/>
                      <w:color w:val="auto"/>
                      <w:sz w:val="18"/>
                      <w:szCs w:val="18"/>
                      <w:highlight w:val="none"/>
                    </w:rPr>
                    <w:t>逃逸的氨气。</w:t>
                  </w:r>
                </w:p>
                <w:p w14:paraId="00D4F1B0">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①沼气燃烧废气</w:t>
                  </w:r>
                </w:p>
                <w:p w14:paraId="5FB9AF6B">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续建工程新增6台内燃发电机组，每台发电机组单独设置一个排气筒，具体如下：</w:t>
                  </w:r>
                </w:p>
                <w:p w14:paraId="322A3A33">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9号发电机组的沼气燃烧废气经SCR法脱硝处理后经15m高排气筒（DA005）排放；</w:t>
                  </w:r>
                </w:p>
                <w:p w14:paraId="0422D43C">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10号发电机组的沼气燃烧废气经SCR法脱硝处理后经15m高排气筒（DA006）排放；</w:t>
                  </w:r>
                </w:p>
                <w:p w14:paraId="4723F7ED">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11号发电机组的沼气燃烧废气经SCR法脱硝处理后经15m高排气筒（DA007）排放；</w:t>
                  </w:r>
                </w:p>
                <w:p w14:paraId="33D30009">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12号发电机组的沼气燃烧废气经SCR法脱硝处理后经15m高排气筒（DA008）排放；</w:t>
                  </w:r>
                </w:p>
                <w:p w14:paraId="1FB3BC09">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13号发电机组的沼气燃烧废气经SCR法脱硝处理后经15m高排气筒（DA009）排放；</w:t>
                  </w:r>
                </w:p>
                <w:p w14:paraId="677C1014">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14号发电机组的沼气燃烧废气经SCR法脱硝处理后经15m高排气筒（DA010）排放；</w:t>
                  </w:r>
                </w:p>
                <w:p w14:paraId="0394B216">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排气筒（DA005~DA010）排放尾气中的污染物（颗粒物、氮氧化物、二氧化硫）排放浓度执行《锅炉大气污染物排放标准》（GB13271-2014）表3相关标准。</w:t>
                  </w:r>
                </w:p>
                <w:p w14:paraId="4FB19D85">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②逃逸的氨气</w:t>
                  </w:r>
                </w:p>
                <w:p w14:paraId="77E6E7EC">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SCR脱硝装置在运行时，会有一定的氨气未能参与脱硝反应，这部分属于逃逸的氨气，将随着沼气燃烧烟气一同经6根15m高的排气筒（DA005~DA010）排放。</w:t>
                  </w:r>
                </w:p>
                <w:p w14:paraId="3927E4A0">
                  <w:pPr>
                    <w:keepNext w:val="0"/>
                    <w:keepLines w:val="0"/>
                    <w:pageBreakBefore w:val="0"/>
                    <w:widowControl w:val="0"/>
                    <w:kinsoku/>
                    <w:wordWrap/>
                    <w:overflowPunct/>
                    <w:topLinePunct w:val="0"/>
                    <w:autoSpaceDE/>
                    <w:autoSpaceDN/>
                    <w:bidi w:val="0"/>
                    <w:adjustRightInd w:val="0"/>
                    <w:snapToGrid w:val="0"/>
                    <w:spacing w:line="240" w:lineRule="auto"/>
                    <w:ind w:firstLine="361" w:firstLineChars="200"/>
                    <w:jc w:val="left"/>
                    <w:textAlignment w:val="auto"/>
                    <w:rPr>
                      <w:rFonts w:hint="eastAsia" w:ascii="Times New Roman" w:hAnsi="Times New Roman" w:eastAsia="宋体" w:cs="Times New Roman"/>
                      <w:b/>
                      <w:bCs/>
                      <w:color w:val="auto"/>
                      <w:sz w:val="18"/>
                      <w:szCs w:val="18"/>
                      <w:highlight w:val="none"/>
                      <w:lang w:eastAsia="zh-CN"/>
                    </w:rPr>
                  </w:pPr>
                  <w:r>
                    <w:rPr>
                      <w:rFonts w:hint="default" w:ascii="Times New Roman" w:hAnsi="Times New Roman" w:eastAsia="宋体" w:cs="Times New Roman"/>
                      <w:b/>
                      <w:bCs/>
                      <w:color w:val="auto"/>
                      <w:sz w:val="18"/>
                      <w:szCs w:val="18"/>
                      <w:highlight w:val="none"/>
                    </w:rPr>
                    <w:t>③无组织粉尘</w:t>
                  </w:r>
                  <w:r>
                    <w:rPr>
                      <w:rFonts w:hint="eastAsia" w:ascii="Times New Roman" w:hAnsi="Times New Roman" w:eastAsia="宋体" w:cs="Times New Roman"/>
                      <w:b/>
                      <w:bCs/>
                      <w:color w:val="auto"/>
                      <w:sz w:val="18"/>
                      <w:szCs w:val="18"/>
                      <w:highlight w:val="none"/>
                      <w:lang w:eastAsia="zh-CN"/>
                    </w:rPr>
                    <w:t>（不在产生）</w:t>
                  </w:r>
                </w:p>
                <w:p w14:paraId="30585C9D">
                  <w:pPr>
                    <w:keepNext w:val="0"/>
                    <w:keepLines w:val="0"/>
                    <w:pageBreakBefore w:val="0"/>
                    <w:widowControl w:val="0"/>
                    <w:kinsoku/>
                    <w:wordWrap/>
                    <w:overflowPunct/>
                    <w:topLinePunct w:val="0"/>
                    <w:autoSpaceDE/>
                    <w:autoSpaceDN/>
                    <w:bidi w:val="0"/>
                    <w:adjustRightInd w:val="0"/>
                    <w:snapToGrid w:val="0"/>
                    <w:spacing w:line="240" w:lineRule="auto"/>
                    <w:ind w:firstLine="360" w:firstLineChars="200"/>
                    <w:jc w:val="left"/>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olor w:val="auto"/>
                      <w:sz w:val="18"/>
                      <w:szCs w:val="18"/>
                      <w:lang w:eastAsia="zh-CN"/>
                    </w:rPr>
                    <w:t>续建工程直接购买</w:t>
                  </w:r>
                  <w:r>
                    <w:rPr>
                      <w:rFonts w:hint="eastAsia"/>
                      <w:color w:val="auto"/>
                      <w:sz w:val="18"/>
                      <w:szCs w:val="18"/>
                      <w:lang w:val="en-US" w:eastAsia="zh-CN"/>
                    </w:rPr>
                    <w:t>50%的尿素溶液，不在自行配置，不再产生无组织粉尘</w:t>
                  </w:r>
                  <w:r>
                    <w:rPr>
                      <w:rFonts w:hint="eastAsia"/>
                      <w:color w:val="auto"/>
                      <w:sz w:val="18"/>
                      <w:szCs w:val="18"/>
                      <w:lang w:eastAsia="zh-CN"/>
                    </w:rPr>
                    <w:t>。</w:t>
                  </w:r>
                </w:p>
              </w:tc>
              <w:tc>
                <w:tcPr>
                  <w:tcW w:w="565" w:type="pct"/>
                  <w:vMerge w:val="restart"/>
                  <w:vAlign w:val="center"/>
                </w:tcPr>
                <w:p w14:paraId="66B1CDDB">
                  <w:pPr>
                    <w:rPr>
                      <w:rFonts w:hint="eastAsia" w:eastAsia="宋体"/>
                      <w:sz w:val="18"/>
                      <w:szCs w:val="18"/>
                      <w:lang w:eastAsia="zh-CN"/>
                    </w:rPr>
                  </w:pPr>
                  <w:r>
                    <w:rPr>
                      <w:rFonts w:hint="eastAsia"/>
                      <w:sz w:val="18"/>
                      <w:szCs w:val="18"/>
                    </w:rPr>
                    <w:t>尿素溶液来源由自行配置变更为直接购买，不</w:t>
                  </w:r>
                  <w:r>
                    <w:rPr>
                      <w:rFonts w:hint="eastAsia"/>
                      <w:sz w:val="18"/>
                      <w:szCs w:val="18"/>
                      <w:lang w:eastAsia="zh-CN"/>
                    </w:rPr>
                    <w:t>再</w:t>
                  </w:r>
                  <w:r>
                    <w:rPr>
                      <w:rFonts w:hint="eastAsia"/>
                      <w:sz w:val="18"/>
                      <w:szCs w:val="18"/>
                    </w:rPr>
                    <w:t>产生无组织粉尘废气</w:t>
                  </w:r>
                  <w:r>
                    <w:rPr>
                      <w:rFonts w:hint="eastAsia"/>
                      <w:sz w:val="18"/>
                      <w:szCs w:val="18"/>
                      <w:lang w:eastAsia="zh-CN"/>
                    </w:rPr>
                    <w:t>，未导致</w:t>
                  </w:r>
                  <w:r>
                    <w:rPr>
                      <w:rFonts w:hint="eastAsia"/>
                      <w:sz w:val="18"/>
                      <w:szCs w:val="18"/>
                    </w:rPr>
                    <w:t>第6条中所列情形之一（废气无组织排放改为有组织排放、污染防治措施强化或改进的除外）</w:t>
                  </w:r>
                  <w:r>
                    <w:rPr>
                      <w:rFonts w:hint="eastAsia"/>
                      <w:sz w:val="18"/>
                      <w:szCs w:val="18"/>
                      <w:lang w:eastAsia="zh-CN"/>
                    </w:rPr>
                    <w:t>或大气污染物无组织排放量增加10%及以上的。</w:t>
                  </w:r>
                </w:p>
              </w:tc>
              <w:tc>
                <w:tcPr>
                  <w:tcW w:w="378" w:type="pct"/>
                  <w:vMerge w:val="restart"/>
                  <w:vAlign w:val="center"/>
                </w:tcPr>
                <w:p w14:paraId="14A30EDE">
                  <w:pPr>
                    <w:jc w:val="center"/>
                  </w:pPr>
                  <w:r>
                    <w:rPr>
                      <w:rFonts w:hint="eastAsia"/>
                      <w:sz w:val="18"/>
                      <w:szCs w:val="18"/>
                    </w:rPr>
                    <w:t>否</w:t>
                  </w:r>
                </w:p>
              </w:tc>
            </w:tr>
            <w:tr w14:paraId="013411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7E06EB9A">
                  <w:pPr>
                    <w:jc w:val="center"/>
                    <w:rPr>
                      <w:rFonts w:hint="eastAsia"/>
                      <w:sz w:val="18"/>
                      <w:szCs w:val="18"/>
                    </w:rPr>
                  </w:pPr>
                </w:p>
              </w:tc>
              <w:tc>
                <w:tcPr>
                  <w:tcW w:w="1274" w:type="pct"/>
                  <w:vMerge w:val="continue"/>
                  <w:vAlign w:val="center"/>
                </w:tcPr>
                <w:p w14:paraId="138D1365">
                  <w:pPr>
                    <w:rPr>
                      <w:rFonts w:hint="eastAsia"/>
                      <w:sz w:val="18"/>
                      <w:szCs w:val="18"/>
                    </w:rPr>
                  </w:pPr>
                </w:p>
              </w:tc>
              <w:tc>
                <w:tcPr>
                  <w:tcW w:w="1267" w:type="pct"/>
                  <w:vAlign w:val="center"/>
                </w:tcPr>
                <w:p w14:paraId="5CA6E69D">
                  <w:pPr>
                    <w:pStyle w:val="135"/>
                    <w:keepNext w:val="0"/>
                    <w:keepLines w:val="0"/>
                    <w:pageBreakBefore w:val="0"/>
                    <w:widowControl w:val="0"/>
                    <w:kinsoku/>
                    <w:wordWrap/>
                    <w:overflowPunct/>
                    <w:topLinePunct w:val="0"/>
                    <w:autoSpaceDE/>
                    <w:autoSpaceDN/>
                    <w:bidi w:val="0"/>
                    <w:adjustRightInd w:val="0"/>
                    <w:snapToGrid w:val="0"/>
                    <w:ind w:left="90" w:leftChars="50"/>
                    <w:jc w:val="left"/>
                    <w:textAlignment w:val="auto"/>
                    <w:rPr>
                      <w:rFonts w:hint="eastAsia"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lang w:val="en-US" w:eastAsia="zh-CN" w:bidi="ar-SA"/>
                    </w:rPr>
                    <w:t>续建工程新增废水主要为填埋气冷凝废水。</w:t>
                  </w:r>
                </w:p>
                <w:p w14:paraId="13240CE9">
                  <w:pPr>
                    <w:pStyle w:val="135"/>
                    <w:keepNext w:val="0"/>
                    <w:keepLines w:val="0"/>
                    <w:pageBreakBefore w:val="0"/>
                    <w:widowControl w:val="0"/>
                    <w:kinsoku/>
                    <w:wordWrap/>
                    <w:overflowPunct/>
                    <w:topLinePunct w:val="0"/>
                    <w:autoSpaceDE/>
                    <w:autoSpaceDN/>
                    <w:bidi w:val="0"/>
                    <w:adjustRightInd w:val="0"/>
                    <w:snapToGrid w:val="0"/>
                    <w:ind w:left="90" w:leftChars="50"/>
                    <w:jc w:val="left"/>
                    <w:textAlignment w:val="auto"/>
                    <w:rPr>
                      <w:rFonts w:hint="eastAsia"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lang w:val="en-US" w:eastAsia="zh-CN" w:bidi="ar-SA"/>
                    </w:rPr>
                    <w:t>项目冷凝脱水单元产生的填埋气冷凝废水依托长山口卫生填埋场渗滤液污水处理站处理达标后排入金口污水处理厂进一步处理，达标后排入长江（武汉）段。</w:t>
                  </w:r>
                </w:p>
              </w:tc>
              <w:tc>
                <w:tcPr>
                  <w:tcW w:w="1236" w:type="pct"/>
                  <w:vAlign w:val="center"/>
                </w:tcPr>
                <w:p w14:paraId="075EBF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与环评一致</w:t>
                  </w:r>
                </w:p>
              </w:tc>
              <w:tc>
                <w:tcPr>
                  <w:tcW w:w="565" w:type="pct"/>
                  <w:vMerge w:val="continue"/>
                  <w:vAlign w:val="center"/>
                </w:tcPr>
                <w:p w14:paraId="02E3A181">
                  <w:pPr>
                    <w:rPr>
                      <w:rFonts w:hint="eastAsia"/>
                      <w:sz w:val="18"/>
                      <w:szCs w:val="18"/>
                    </w:rPr>
                  </w:pPr>
                </w:p>
              </w:tc>
              <w:tc>
                <w:tcPr>
                  <w:tcW w:w="378" w:type="pct"/>
                  <w:vMerge w:val="continue"/>
                  <w:vAlign w:val="center"/>
                </w:tcPr>
                <w:p w14:paraId="0D575EF8">
                  <w:pPr>
                    <w:jc w:val="center"/>
                    <w:rPr>
                      <w:rFonts w:hint="eastAsia"/>
                      <w:sz w:val="18"/>
                      <w:szCs w:val="18"/>
                    </w:rPr>
                  </w:pPr>
                </w:p>
              </w:tc>
            </w:tr>
            <w:tr w14:paraId="5A92FD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007A89C9">
                  <w:pPr>
                    <w:jc w:val="center"/>
                    <w:rPr>
                      <w:sz w:val="18"/>
                      <w:szCs w:val="18"/>
                    </w:rPr>
                  </w:pPr>
                </w:p>
              </w:tc>
              <w:tc>
                <w:tcPr>
                  <w:tcW w:w="1274" w:type="pct"/>
                  <w:vAlign w:val="center"/>
                </w:tcPr>
                <w:p w14:paraId="44A95778">
                  <w:pPr>
                    <w:rPr>
                      <w:sz w:val="18"/>
                      <w:szCs w:val="18"/>
                    </w:rPr>
                  </w:pPr>
                  <w:r>
                    <w:rPr>
                      <w:rFonts w:hint="eastAsia"/>
                      <w:sz w:val="18"/>
                      <w:szCs w:val="18"/>
                    </w:rPr>
                    <w:t>9、新增废水直接排放口；废水由间接排放改为直接排放；废水直接排放口位置变化，导致不利环境影响加重的。</w:t>
                  </w:r>
                </w:p>
              </w:tc>
              <w:tc>
                <w:tcPr>
                  <w:tcW w:w="1267" w:type="pct"/>
                  <w:shd w:val="clear" w:color="auto" w:fill="auto"/>
                  <w:vAlign w:val="center"/>
                </w:tcPr>
                <w:p w14:paraId="754C1D0C">
                  <w:pPr>
                    <w:spacing w:line="240" w:lineRule="auto"/>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rPr>
                    <w:t>废水经长山口填埋场现有渗滤液处理站处理达标后排入金口污水处理厂进一步处理</w:t>
                  </w:r>
                </w:p>
              </w:tc>
              <w:tc>
                <w:tcPr>
                  <w:tcW w:w="1236" w:type="pct"/>
                  <w:shd w:val="clear" w:color="auto" w:fill="auto"/>
                  <w:vAlign w:val="center"/>
                </w:tcPr>
                <w:p w14:paraId="2833D1E7">
                  <w:pPr>
                    <w:spacing w:line="240" w:lineRule="auto"/>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rPr>
                    <w:t>废水经长山口填埋场现有渗滤液处理站处理达标后排入金口污水处理厂进一步处理</w:t>
                  </w:r>
                </w:p>
              </w:tc>
              <w:tc>
                <w:tcPr>
                  <w:tcW w:w="565" w:type="pct"/>
                  <w:vAlign w:val="center"/>
                </w:tcPr>
                <w:p w14:paraId="53171385">
                  <w:pPr>
                    <w:jc w:val="center"/>
                    <w:rPr>
                      <w:rFonts w:hint="eastAsia" w:eastAsia="宋体"/>
                      <w:sz w:val="18"/>
                      <w:szCs w:val="18"/>
                      <w:lang w:eastAsia="zh-CN"/>
                    </w:rPr>
                  </w:pPr>
                  <w:r>
                    <w:rPr>
                      <w:rFonts w:hint="eastAsia"/>
                      <w:sz w:val="18"/>
                      <w:szCs w:val="18"/>
                      <w:lang w:eastAsia="zh-CN"/>
                    </w:rPr>
                    <w:t>未新增废水直接排放口，废水排放方式未发生变化。</w:t>
                  </w:r>
                </w:p>
              </w:tc>
              <w:tc>
                <w:tcPr>
                  <w:tcW w:w="378" w:type="pct"/>
                  <w:vAlign w:val="center"/>
                </w:tcPr>
                <w:p w14:paraId="27209229">
                  <w:pPr>
                    <w:jc w:val="center"/>
                    <w:rPr>
                      <w:sz w:val="18"/>
                      <w:szCs w:val="18"/>
                    </w:rPr>
                  </w:pPr>
                  <w:r>
                    <w:rPr>
                      <w:rFonts w:hint="eastAsia"/>
                      <w:sz w:val="18"/>
                      <w:szCs w:val="18"/>
                    </w:rPr>
                    <w:t>否</w:t>
                  </w:r>
                </w:p>
              </w:tc>
            </w:tr>
            <w:tr w14:paraId="63C41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27B7315E">
                  <w:pPr>
                    <w:jc w:val="center"/>
                    <w:rPr>
                      <w:sz w:val="18"/>
                      <w:szCs w:val="18"/>
                    </w:rPr>
                  </w:pPr>
                </w:p>
              </w:tc>
              <w:tc>
                <w:tcPr>
                  <w:tcW w:w="1274" w:type="pct"/>
                  <w:vAlign w:val="center"/>
                </w:tcPr>
                <w:p w14:paraId="463B07F3">
                  <w:pPr>
                    <w:rPr>
                      <w:sz w:val="18"/>
                      <w:szCs w:val="18"/>
                    </w:rPr>
                  </w:pPr>
                  <w:r>
                    <w:rPr>
                      <w:rFonts w:hint="eastAsia"/>
                      <w:sz w:val="18"/>
                      <w:szCs w:val="18"/>
                    </w:rPr>
                    <w:t>10、新增废气主要排放口（废气无组织排放改为有组织排放的除外）；主要排放口排气筒高度降低10%及以上的。</w:t>
                  </w:r>
                </w:p>
              </w:tc>
              <w:tc>
                <w:tcPr>
                  <w:tcW w:w="1267" w:type="pct"/>
                  <w:vAlign w:val="center"/>
                </w:tcPr>
                <w:p w14:paraId="50067C78">
                  <w:pPr>
                    <w:pStyle w:val="128"/>
                    <w:jc w:val="center"/>
                    <w:rPr>
                      <w:color w:val="auto"/>
                      <w:sz w:val="18"/>
                      <w:szCs w:val="18"/>
                    </w:rPr>
                  </w:pPr>
                  <w:r>
                    <w:rPr>
                      <w:rFonts w:hint="eastAsia"/>
                      <w:color w:val="auto"/>
                      <w:sz w:val="18"/>
                      <w:szCs w:val="18"/>
                    </w:rPr>
                    <w:t>无废气主要排放口。废气排放口为一般排放口。</w:t>
                  </w:r>
                </w:p>
              </w:tc>
              <w:tc>
                <w:tcPr>
                  <w:tcW w:w="1236" w:type="pct"/>
                  <w:vAlign w:val="center"/>
                </w:tcPr>
                <w:p w14:paraId="261D384A">
                  <w:pPr>
                    <w:pStyle w:val="128"/>
                    <w:jc w:val="center"/>
                    <w:rPr>
                      <w:rFonts w:hint="eastAsia" w:eastAsia="宋体"/>
                      <w:color w:val="auto"/>
                      <w:sz w:val="18"/>
                      <w:szCs w:val="18"/>
                      <w:lang w:eastAsia="zh-CN"/>
                    </w:rPr>
                  </w:pPr>
                  <w:r>
                    <w:rPr>
                      <w:rFonts w:hint="eastAsia"/>
                      <w:color w:val="auto"/>
                      <w:sz w:val="18"/>
                      <w:szCs w:val="18"/>
                      <w:lang w:eastAsia="zh-CN"/>
                    </w:rPr>
                    <w:t>与环评一致</w:t>
                  </w:r>
                </w:p>
              </w:tc>
              <w:tc>
                <w:tcPr>
                  <w:tcW w:w="565" w:type="pct"/>
                  <w:vAlign w:val="center"/>
                </w:tcPr>
                <w:p w14:paraId="78E79341">
                  <w:pPr>
                    <w:jc w:val="center"/>
                    <w:rPr>
                      <w:rFonts w:hint="eastAsia" w:eastAsia="宋体"/>
                      <w:sz w:val="18"/>
                      <w:szCs w:val="18"/>
                      <w:lang w:eastAsia="zh-CN"/>
                    </w:rPr>
                  </w:pPr>
                  <w:r>
                    <w:rPr>
                      <w:rFonts w:hint="eastAsia"/>
                      <w:sz w:val="18"/>
                      <w:szCs w:val="18"/>
                      <w:lang w:eastAsia="zh-CN"/>
                    </w:rPr>
                    <w:t>未新增废气主要排放口。</w:t>
                  </w:r>
                </w:p>
              </w:tc>
              <w:tc>
                <w:tcPr>
                  <w:tcW w:w="378" w:type="pct"/>
                  <w:vAlign w:val="center"/>
                </w:tcPr>
                <w:p w14:paraId="78100A35">
                  <w:pPr>
                    <w:jc w:val="center"/>
                    <w:rPr>
                      <w:sz w:val="18"/>
                      <w:szCs w:val="18"/>
                    </w:rPr>
                  </w:pPr>
                  <w:r>
                    <w:rPr>
                      <w:rFonts w:hint="eastAsia"/>
                      <w:sz w:val="18"/>
                      <w:szCs w:val="18"/>
                    </w:rPr>
                    <w:t>否</w:t>
                  </w:r>
                </w:p>
              </w:tc>
            </w:tr>
            <w:tr w14:paraId="02DE59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20998367">
                  <w:pPr>
                    <w:jc w:val="center"/>
                    <w:rPr>
                      <w:sz w:val="18"/>
                      <w:szCs w:val="18"/>
                    </w:rPr>
                  </w:pPr>
                </w:p>
              </w:tc>
              <w:tc>
                <w:tcPr>
                  <w:tcW w:w="1274" w:type="pct"/>
                  <w:vAlign w:val="center"/>
                </w:tcPr>
                <w:p w14:paraId="201AD452">
                  <w:pPr>
                    <w:rPr>
                      <w:sz w:val="18"/>
                      <w:szCs w:val="18"/>
                    </w:rPr>
                  </w:pPr>
                  <w:r>
                    <w:rPr>
                      <w:rFonts w:hint="eastAsia"/>
                      <w:sz w:val="18"/>
                      <w:szCs w:val="18"/>
                    </w:rPr>
                    <w:t>11、噪声、土壤或地下水污染防治措施变化，导致不利环境影响加重的。</w:t>
                  </w:r>
                </w:p>
              </w:tc>
              <w:tc>
                <w:tcPr>
                  <w:tcW w:w="1267" w:type="pct"/>
                  <w:vAlign w:val="center"/>
                </w:tcPr>
                <w:p w14:paraId="2D78CEB8">
                  <w:pPr>
                    <w:pStyle w:val="128"/>
                    <w:jc w:val="both"/>
                    <w:rPr>
                      <w:sz w:val="18"/>
                      <w:szCs w:val="18"/>
                    </w:rPr>
                  </w:pPr>
                  <w:r>
                    <w:rPr>
                      <w:rFonts w:hint="eastAsia" w:hAnsi="宋体"/>
                      <w:sz w:val="18"/>
                      <w:szCs w:val="18"/>
                    </w:rPr>
                    <w:t>①</w:t>
                  </w:r>
                  <w:r>
                    <w:rPr>
                      <w:rFonts w:hint="eastAsia" w:hAnsi="宋体"/>
                      <w:sz w:val="18"/>
                      <w:szCs w:val="18"/>
                      <w:lang w:eastAsia="zh-CN"/>
                    </w:rPr>
                    <w:t>续建工程</w:t>
                  </w:r>
                  <w:r>
                    <w:rPr>
                      <w:rFonts w:hint="eastAsia" w:hAnsi="宋体"/>
                      <w:sz w:val="18"/>
                      <w:szCs w:val="18"/>
                    </w:rPr>
                    <w:t>主要噪声来源于生产车间的发电机组和风机等设备产生的噪音，主要选用低噪声设备，对噪声源合理布局并采取隔音、消声等有效降噪措施。</w:t>
                  </w:r>
                </w:p>
                <w:p w14:paraId="771DB68E">
                  <w:pPr>
                    <w:pStyle w:val="128"/>
                    <w:jc w:val="both"/>
                    <w:rPr>
                      <w:sz w:val="18"/>
                      <w:szCs w:val="18"/>
                    </w:rPr>
                  </w:pPr>
                  <w:r>
                    <w:rPr>
                      <w:rFonts w:hint="eastAsia"/>
                      <w:sz w:val="18"/>
                      <w:szCs w:val="18"/>
                    </w:rPr>
                    <w:t>②建设单位已对生产场所地面进行混凝土硬化防渗。建设单位在落实各项污染防治措施的基础上，加强日常的环境管理。</w:t>
                  </w:r>
                </w:p>
              </w:tc>
              <w:tc>
                <w:tcPr>
                  <w:tcW w:w="1236" w:type="pct"/>
                  <w:vAlign w:val="center"/>
                </w:tcPr>
                <w:p w14:paraId="0F38182E">
                  <w:pPr>
                    <w:pStyle w:val="128"/>
                    <w:jc w:val="center"/>
                    <w:rPr>
                      <w:color w:val="auto"/>
                      <w:sz w:val="18"/>
                      <w:szCs w:val="18"/>
                      <w:lang w:val="en-US"/>
                    </w:rPr>
                  </w:pPr>
                  <w:r>
                    <w:rPr>
                      <w:rFonts w:hint="eastAsia"/>
                      <w:color w:val="auto"/>
                      <w:sz w:val="18"/>
                      <w:szCs w:val="18"/>
                      <w:lang w:val="en-US"/>
                    </w:rPr>
                    <w:t>①噪声防治措施与环评一致</w:t>
                  </w:r>
                </w:p>
                <w:p w14:paraId="7D5C29B5">
                  <w:pPr>
                    <w:pStyle w:val="128"/>
                    <w:jc w:val="center"/>
                    <w:rPr>
                      <w:color w:val="auto"/>
                      <w:sz w:val="18"/>
                      <w:szCs w:val="18"/>
                    </w:rPr>
                  </w:pPr>
                  <w:r>
                    <w:rPr>
                      <w:rFonts w:hint="eastAsia"/>
                      <w:color w:val="auto"/>
                      <w:sz w:val="18"/>
                      <w:szCs w:val="18"/>
                      <w:lang w:val="en-US"/>
                    </w:rPr>
                    <w:t>②</w:t>
                  </w:r>
                  <w:r>
                    <w:rPr>
                      <w:rFonts w:hint="eastAsia"/>
                      <w:sz w:val="18"/>
                      <w:szCs w:val="18"/>
                    </w:rPr>
                    <w:t>土壤和地下水措施与环评一致。</w:t>
                  </w:r>
                </w:p>
              </w:tc>
              <w:tc>
                <w:tcPr>
                  <w:tcW w:w="565" w:type="pct"/>
                  <w:vAlign w:val="center"/>
                </w:tcPr>
                <w:p w14:paraId="737F92BB">
                  <w:pPr>
                    <w:jc w:val="center"/>
                    <w:rPr>
                      <w:rFonts w:hint="eastAsia" w:eastAsia="宋体"/>
                      <w:sz w:val="18"/>
                      <w:szCs w:val="18"/>
                      <w:lang w:eastAsia="zh-CN"/>
                    </w:rPr>
                  </w:pPr>
                  <w:r>
                    <w:rPr>
                      <w:rFonts w:hint="eastAsia"/>
                      <w:sz w:val="18"/>
                      <w:szCs w:val="18"/>
                    </w:rPr>
                    <w:t>噪声、土壤或地下水污染防治措施</w:t>
                  </w:r>
                  <w:r>
                    <w:rPr>
                      <w:rFonts w:hint="eastAsia"/>
                      <w:sz w:val="18"/>
                      <w:szCs w:val="18"/>
                      <w:lang w:eastAsia="zh-CN"/>
                    </w:rPr>
                    <w:t>未发生</w:t>
                  </w:r>
                  <w:r>
                    <w:rPr>
                      <w:rFonts w:hint="eastAsia"/>
                      <w:sz w:val="18"/>
                      <w:szCs w:val="18"/>
                    </w:rPr>
                    <w:t>变化</w:t>
                  </w:r>
                  <w:r>
                    <w:rPr>
                      <w:rFonts w:hint="eastAsia"/>
                      <w:sz w:val="18"/>
                      <w:szCs w:val="18"/>
                      <w:lang w:eastAsia="zh-CN"/>
                    </w:rPr>
                    <w:t>。</w:t>
                  </w:r>
                </w:p>
              </w:tc>
              <w:tc>
                <w:tcPr>
                  <w:tcW w:w="378" w:type="pct"/>
                  <w:vAlign w:val="center"/>
                </w:tcPr>
                <w:p w14:paraId="434B5E9B">
                  <w:pPr>
                    <w:jc w:val="center"/>
                    <w:rPr>
                      <w:sz w:val="18"/>
                      <w:szCs w:val="18"/>
                    </w:rPr>
                  </w:pPr>
                  <w:r>
                    <w:rPr>
                      <w:rFonts w:hint="eastAsia"/>
                      <w:sz w:val="18"/>
                      <w:szCs w:val="18"/>
                    </w:rPr>
                    <w:t>否</w:t>
                  </w:r>
                </w:p>
              </w:tc>
            </w:tr>
            <w:tr w14:paraId="07CA19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7842126F">
                  <w:pPr>
                    <w:jc w:val="center"/>
                    <w:rPr>
                      <w:sz w:val="18"/>
                      <w:szCs w:val="18"/>
                    </w:rPr>
                  </w:pPr>
                </w:p>
              </w:tc>
              <w:tc>
                <w:tcPr>
                  <w:tcW w:w="1274" w:type="pct"/>
                  <w:vAlign w:val="center"/>
                </w:tcPr>
                <w:p w14:paraId="31D078D8">
                  <w:pPr>
                    <w:rPr>
                      <w:sz w:val="18"/>
                      <w:szCs w:val="18"/>
                    </w:rPr>
                  </w:pPr>
                  <w:r>
                    <w:rPr>
                      <w:rFonts w:hint="eastAsia"/>
                      <w:sz w:val="18"/>
                      <w:szCs w:val="18"/>
                    </w:rPr>
                    <w:t>12、固体废物利用处置方式由委托外单位利用处置改为自行利用处置的（自行利用处置设施单独开展环境影响评价的除外）；固体废物自行处置方式变化，导致不利环境影响加重的。</w:t>
                  </w:r>
                </w:p>
              </w:tc>
              <w:tc>
                <w:tcPr>
                  <w:tcW w:w="1267" w:type="pct"/>
                  <w:vAlign w:val="center"/>
                </w:tcPr>
                <w:p w14:paraId="618EF7D0">
                  <w:pPr>
                    <w:pStyle w:val="128"/>
                    <w:jc w:val="both"/>
                    <w:rPr>
                      <w:rFonts w:hint="eastAsia"/>
                      <w:sz w:val="18"/>
                      <w:szCs w:val="18"/>
                    </w:rPr>
                  </w:pPr>
                  <w:r>
                    <w:rPr>
                      <w:rFonts w:hint="eastAsia"/>
                      <w:sz w:val="18"/>
                      <w:szCs w:val="18"/>
                    </w:rPr>
                    <w:t>污泥、除尘粉尘、脱硫废物收集后一并送往</w:t>
                  </w:r>
                  <w:r>
                    <w:rPr>
                      <w:rFonts w:hint="eastAsia"/>
                      <w:sz w:val="18"/>
                      <w:szCs w:val="18"/>
                      <w:lang w:eastAsia="zh-CN"/>
                    </w:rPr>
                    <w:t>长山口</w:t>
                  </w:r>
                  <w:r>
                    <w:rPr>
                      <w:rFonts w:hint="eastAsia"/>
                      <w:sz w:val="18"/>
                      <w:szCs w:val="18"/>
                    </w:rPr>
                    <w:t>填埋场填埋；</w:t>
                  </w:r>
                </w:p>
                <w:p w14:paraId="5406A093">
                  <w:pPr>
                    <w:pStyle w:val="128"/>
                    <w:jc w:val="both"/>
                    <w:rPr>
                      <w:rFonts w:hint="eastAsia"/>
                      <w:sz w:val="18"/>
                      <w:szCs w:val="18"/>
                    </w:rPr>
                  </w:pPr>
                  <w:r>
                    <w:rPr>
                      <w:rFonts w:hint="eastAsia"/>
                      <w:sz w:val="18"/>
                      <w:szCs w:val="18"/>
                    </w:rPr>
                    <w:t>废过滤器由物资部门回收处理；</w:t>
                  </w:r>
                </w:p>
                <w:p w14:paraId="6349087F">
                  <w:pPr>
                    <w:pStyle w:val="128"/>
                    <w:jc w:val="both"/>
                    <w:rPr>
                      <w:rFonts w:hint="eastAsia"/>
                      <w:sz w:val="18"/>
                      <w:szCs w:val="18"/>
                    </w:rPr>
                  </w:pPr>
                  <w:r>
                    <w:rPr>
                      <w:rFonts w:hint="eastAsia"/>
                      <w:sz w:val="18"/>
                      <w:szCs w:val="18"/>
                    </w:rPr>
                    <w:t>脱硝系统产生的废催化剂、润滑油、废油桶</w:t>
                  </w:r>
                  <w:r>
                    <w:rPr>
                      <w:rFonts w:hint="eastAsia"/>
                      <w:sz w:val="18"/>
                      <w:szCs w:val="18"/>
                      <w:lang w:eastAsia="zh-CN"/>
                    </w:rPr>
                    <w:t>等危险废物</w:t>
                  </w:r>
                  <w:r>
                    <w:rPr>
                      <w:rFonts w:hint="eastAsia"/>
                      <w:sz w:val="18"/>
                      <w:szCs w:val="18"/>
                    </w:rPr>
                    <w:t>暂存于危废暂存间</w:t>
                  </w:r>
                  <w:r>
                    <w:rPr>
                      <w:rFonts w:hint="eastAsia"/>
                      <w:sz w:val="18"/>
                      <w:szCs w:val="18"/>
                      <w:lang w:eastAsia="zh-CN"/>
                    </w:rPr>
                    <w:t>，</w:t>
                  </w:r>
                  <w:r>
                    <w:rPr>
                      <w:rFonts w:hint="eastAsia"/>
                      <w:sz w:val="18"/>
                      <w:szCs w:val="18"/>
                    </w:rPr>
                    <w:t>定期委托具有危废处理资质的单位收集处置。</w:t>
                  </w:r>
                </w:p>
                <w:p w14:paraId="74628697">
                  <w:pPr>
                    <w:pStyle w:val="128"/>
                    <w:jc w:val="both"/>
                    <w:rPr>
                      <w:rFonts w:hint="eastAsia"/>
                      <w:sz w:val="18"/>
                      <w:szCs w:val="18"/>
                    </w:rPr>
                  </w:pPr>
                  <w:r>
                    <w:rPr>
                      <w:rFonts w:hint="default" w:ascii="Times New Roman" w:hAnsi="Times New Roman" w:eastAsia="宋体" w:cs="Times New Roman"/>
                      <w:b w:val="0"/>
                      <w:bCs w:val="0"/>
                      <w:color w:val="auto"/>
                    </w:rPr>
                    <w:t>现有危废暂存间位于项目区域的西南角，</w:t>
                  </w:r>
                  <w:r>
                    <w:rPr>
                      <w:rFonts w:hint="eastAsia" w:ascii="Times New Roman" w:hAnsi="Times New Roman" w:eastAsia="宋体" w:cs="Times New Roman"/>
                      <w:b w:val="0"/>
                      <w:bCs w:val="0"/>
                      <w:color w:val="auto"/>
                      <w:lang w:eastAsia="zh-CN"/>
                    </w:rPr>
                    <w:t>占地面积</w:t>
                  </w:r>
                  <w:r>
                    <w:rPr>
                      <w:rFonts w:hint="eastAsia" w:ascii="Times New Roman" w:hAnsi="Times New Roman" w:eastAsia="宋体" w:cs="Times New Roman"/>
                      <w:b w:val="0"/>
                      <w:bCs w:val="0"/>
                      <w:color w:val="auto"/>
                      <w:lang w:val="en-US" w:eastAsia="zh-CN"/>
                    </w:rPr>
                    <w:t>10m</w:t>
                  </w:r>
                  <w:r>
                    <w:rPr>
                      <w:rFonts w:hint="eastAsia" w:ascii="Times New Roman" w:hAnsi="Times New Roman" w:eastAsia="宋体" w:cs="Times New Roman"/>
                      <w:b w:val="0"/>
                      <w:bCs w:val="0"/>
                      <w:color w:val="auto"/>
                      <w:vertAlign w:val="superscript"/>
                      <w:lang w:val="en-US" w:eastAsia="zh-CN"/>
                    </w:rPr>
                    <w:t>2</w:t>
                  </w:r>
                  <w:r>
                    <w:rPr>
                      <w:rFonts w:hint="eastAsia" w:ascii="Times New Roman" w:hAnsi="Times New Roman" w:eastAsia="宋体" w:cs="Times New Roman"/>
                      <w:b w:val="0"/>
                      <w:bCs w:val="0"/>
                      <w:color w:val="auto"/>
                      <w:lang w:val="en-US" w:eastAsia="zh-CN"/>
                    </w:rPr>
                    <w:t>。</w:t>
                  </w:r>
                </w:p>
              </w:tc>
              <w:tc>
                <w:tcPr>
                  <w:tcW w:w="1236" w:type="pct"/>
                  <w:vAlign w:val="center"/>
                </w:tcPr>
                <w:p w14:paraId="20F6647E">
                  <w:pPr>
                    <w:pStyle w:val="128"/>
                    <w:jc w:val="both"/>
                    <w:rPr>
                      <w:rFonts w:hint="eastAsia"/>
                      <w:sz w:val="18"/>
                      <w:szCs w:val="18"/>
                    </w:rPr>
                  </w:pPr>
                  <w:r>
                    <w:rPr>
                      <w:rFonts w:hint="eastAsia"/>
                      <w:sz w:val="18"/>
                      <w:szCs w:val="18"/>
                    </w:rPr>
                    <w:t>污泥、除尘粉尘、脱硫废物收集后一并送往</w:t>
                  </w:r>
                  <w:r>
                    <w:rPr>
                      <w:rFonts w:hint="eastAsia"/>
                      <w:sz w:val="18"/>
                      <w:szCs w:val="18"/>
                      <w:lang w:eastAsia="zh-CN"/>
                    </w:rPr>
                    <w:t>长山口</w:t>
                  </w:r>
                  <w:r>
                    <w:rPr>
                      <w:rFonts w:hint="eastAsia"/>
                      <w:sz w:val="18"/>
                      <w:szCs w:val="18"/>
                    </w:rPr>
                    <w:t>填埋场填埋；</w:t>
                  </w:r>
                </w:p>
                <w:p w14:paraId="5AD226EC">
                  <w:pPr>
                    <w:pStyle w:val="128"/>
                    <w:jc w:val="both"/>
                    <w:rPr>
                      <w:rFonts w:hint="eastAsia"/>
                      <w:sz w:val="18"/>
                      <w:szCs w:val="18"/>
                    </w:rPr>
                  </w:pPr>
                  <w:r>
                    <w:rPr>
                      <w:rFonts w:hint="eastAsia"/>
                      <w:sz w:val="18"/>
                      <w:szCs w:val="18"/>
                    </w:rPr>
                    <w:t>废过滤器由物资部门回收处理；</w:t>
                  </w:r>
                </w:p>
                <w:p w14:paraId="4A9DAE9A">
                  <w:pPr>
                    <w:pStyle w:val="128"/>
                    <w:jc w:val="both"/>
                    <w:rPr>
                      <w:rFonts w:hint="eastAsia"/>
                      <w:sz w:val="18"/>
                      <w:szCs w:val="18"/>
                    </w:rPr>
                  </w:pPr>
                  <w:r>
                    <w:rPr>
                      <w:rFonts w:hint="eastAsia"/>
                      <w:sz w:val="18"/>
                      <w:szCs w:val="18"/>
                    </w:rPr>
                    <w:t>脱硝系统产生的废催化剂、润滑油、废油桶</w:t>
                  </w:r>
                  <w:r>
                    <w:rPr>
                      <w:rFonts w:hint="eastAsia"/>
                      <w:sz w:val="18"/>
                      <w:szCs w:val="18"/>
                      <w:lang w:eastAsia="zh-CN"/>
                    </w:rPr>
                    <w:t>等危险废物</w:t>
                  </w:r>
                  <w:r>
                    <w:rPr>
                      <w:rFonts w:hint="eastAsia"/>
                      <w:sz w:val="18"/>
                      <w:szCs w:val="18"/>
                    </w:rPr>
                    <w:t>暂存于危废暂存间</w:t>
                  </w:r>
                  <w:r>
                    <w:rPr>
                      <w:rFonts w:hint="eastAsia"/>
                      <w:sz w:val="18"/>
                      <w:szCs w:val="18"/>
                      <w:lang w:eastAsia="zh-CN"/>
                    </w:rPr>
                    <w:t>，</w:t>
                  </w:r>
                  <w:r>
                    <w:rPr>
                      <w:rFonts w:hint="eastAsia"/>
                      <w:sz w:val="18"/>
                      <w:szCs w:val="18"/>
                    </w:rPr>
                    <w:t>定期委托具有危废处理资质的单位收集处置。</w:t>
                  </w:r>
                </w:p>
                <w:p w14:paraId="1E65914A">
                  <w:pPr>
                    <w:pStyle w:val="128"/>
                    <w:jc w:val="left"/>
                    <w:rPr>
                      <w:color w:val="auto"/>
                      <w:sz w:val="18"/>
                      <w:szCs w:val="18"/>
                    </w:rPr>
                  </w:pPr>
                  <w:r>
                    <w:rPr>
                      <w:rFonts w:hint="eastAsia"/>
                      <w:color w:val="auto"/>
                      <w:sz w:val="18"/>
                      <w:szCs w:val="18"/>
                    </w:rPr>
                    <w:t>建设单位拆除了现有的危废暂存间（10m</w:t>
                  </w:r>
                  <w:r>
                    <w:rPr>
                      <w:rFonts w:hint="eastAsia"/>
                      <w:color w:val="auto"/>
                      <w:sz w:val="18"/>
                      <w:szCs w:val="18"/>
                      <w:vertAlign w:val="superscript"/>
                    </w:rPr>
                    <w:t>2</w:t>
                  </w:r>
                  <w:r>
                    <w:rPr>
                      <w:rFonts w:hint="eastAsia"/>
                      <w:color w:val="auto"/>
                      <w:sz w:val="18"/>
                      <w:szCs w:val="18"/>
                    </w:rPr>
                    <w:t>），并于厂区南部空地新建了2个危废暂存间，面积分别为12m</w:t>
                  </w:r>
                  <w:r>
                    <w:rPr>
                      <w:rFonts w:hint="eastAsia"/>
                      <w:color w:val="auto"/>
                      <w:sz w:val="18"/>
                      <w:szCs w:val="18"/>
                      <w:vertAlign w:val="superscript"/>
                    </w:rPr>
                    <w:t>2</w:t>
                  </w:r>
                  <w:r>
                    <w:rPr>
                      <w:rFonts w:hint="eastAsia"/>
                      <w:color w:val="auto"/>
                      <w:sz w:val="18"/>
                      <w:szCs w:val="18"/>
                    </w:rPr>
                    <w:t>和8m</w:t>
                  </w:r>
                  <w:r>
                    <w:rPr>
                      <w:rFonts w:hint="eastAsia"/>
                      <w:color w:val="auto"/>
                      <w:sz w:val="18"/>
                      <w:szCs w:val="18"/>
                      <w:vertAlign w:val="superscript"/>
                    </w:rPr>
                    <w:t>2</w:t>
                  </w:r>
                  <w:r>
                    <w:rPr>
                      <w:rFonts w:hint="eastAsia"/>
                      <w:color w:val="auto"/>
                      <w:sz w:val="18"/>
                      <w:szCs w:val="18"/>
                    </w:rPr>
                    <w:t>。</w:t>
                  </w:r>
                </w:p>
              </w:tc>
              <w:tc>
                <w:tcPr>
                  <w:tcW w:w="565" w:type="pct"/>
                  <w:vAlign w:val="center"/>
                </w:tcPr>
                <w:p w14:paraId="10F77281">
                  <w:pPr>
                    <w:rPr>
                      <w:sz w:val="18"/>
                      <w:szCs w:val="18"/>
                    </w:rPr>
                  </w:pPr>
                  <w:r>
                    <w:rPr>
                      <w:rFonts w:hint="eastAsia"/>
                      <w:sz w:val="18"/>
                      <w:szCs w:val="18"/>
                    </w:rPr>
                    <w:t>固废处理方式未发生变化，未导致不利环境影响加重的。</w:t>
                  </w:r>
                </w:p>
              </w:tc>
              <w:tc>
                <w:tcPr>
                  <w:tcW w:w="378" w:type="pct"/>
                  <w:vAlign w:val="center"/>
                </w:tcPr>
                <w:p w14:paraId="6CCB0E39">
                  <w:pPr>
                    <w:jc w:val="center"/>
                    <w:rPr>
                      <w:sz w:val="18"/>
                      <w:szCs w:val="18"/>
                    </w:rPr>
                  </w:pPr>
                  <w:r>
                    <w:rPr>
                      <w:rFonts w:hint="eastAsia"/>
                      <w:sz w:val="18"/>
                      <w:szCs w:val="18"/>
                    </w:rPr>
                    <w:t>否</w:t>
                  </w:r>
                </w:p>
              </w:tc>
            </w:tr>
            <w:tr w14:paraId="347597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7" w:type="pct"/>
                  <w:vMerge w:val="continue"/>
                  <w:vAlign w:val="center"/>
                </w:tcPr>
                <w:p w14:paraId="6B416A01">
                  <w:pPr>
                    <w:jc w:val="center"/>
                    <w:rPr>
                      <w:sz w:val="18"/>
                      <w:szCs w:val="18"/>
                    </w:rPr>
                  </w:pPr>
                </w:p>
              </w:tc>
              <w:tc>
                <w:tcPr>
                  <w:tcW w:w="1274" w:type="pct"/>
                  <w:vAlign w:val="center"/>
                </w:tcPr>
                <w:p w14:paraId="53235D05">
                  <w:pPr>
                    <w:rPr>
                      <w:sz w:val="18"/>
                      <w:szCs w:val="18"/>
                    </w:rPr>
                  </w:pPr>
                  <w:r>
                    <w:rPr>
                      <w:rFonts w:hint="eastAsia"/>
                      <w:sz w:val="18"/>
                      <w:szCs w:val="18"/>
                    </w:rPr>
                    <w:t>13、事故废水暂存能力或拦截设施变化，导致环境风险防范能力弱化或降低的。</w:t>
                  </w:r>
                </w:p>
              </w:tc>
              <w:tc>
                <w:tcPr>
                  <w:tcW w:w="1267" w:type="pct"/>
                  <w:shd w:val="clear" w:color="auto" w:fill="auto"/>
                  <w:vAlign w:val="center"/>
                </w:tcPr>
                <w:p w14:paraId="424302D2">
                  <w:pPr>
                    <w:spacing w:line="240" w:lineRule="auto"/>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事故状态下的事故废水和收集的初期雨水依托武汉市江夏长山口生活垃圾卫生填埋场现有一期工程建设的调节池进行暂存，随后依托已建的</w:t>
                  </w:r>
                  <w:r>
                    <w:rPr>
                      <w:rFonts w:hint="eastAsia" w:cs="Times New Roman"/>
                      <w:color w:val="auto"/>
                      <w:kern w:val="0"/>
                      <w:sz w:val="18"/>
                      <w:szCs w:val="18"/>
                      <w:highlight w:val="none"/>
                      <w:lang w:eastAsia="zh-CN"/>
                    </w:rPr>
                    <w:t>渗滤</w:t>
                  </w:r>
                  <w:r>
                    <w:rPr>
                      <w:rFonts w:hint="default" w:ascii="Times New Roman" w:hAnsi="Times New Roman" w:eastAsia="宋体" w:cs="Times New Roman"/>
                      <w:color w:val="auto"/>
                      <w:kern w:val="0"/>
                      <w:sz w:val="18"/>
                      <w:szCs w:val="18"/>
                      <w:highlight w:val="none"/>
                    </w:rPr>
                    <w:t>液处理站进行处理，达标后排放</w:t>
                  </w:r>
                </w:p>
              </w:tc>
              <w:tc>
                <w:tcPr>
                  <w:tcW w:w="1236" w:type="pct"/>
                  <w:shd w:val="clear" w:color="auto" w:fill="auto"/>
                  <w:vAlign w:val="center"/>
                </w:tcPr>
                <w:p w14:paraId="6855F2E0">
                  <w:pPr>
                    <w:spacing w:line="240" w:lineRule="auto"/>
                    <w:jc w:val="center"/>
                    <w:rPr>
                      <w:rFonts w:hint="eastAsia" w:ascii="Times New Roman" w:hAnsi="Times New Roman" w:eastAsia="宋体" w:cs="Times New Roman"/>
                      <w:color w:val="auto"/>
                      <w:kern w:val="2"/>
                      <w:sz w:val="18"/>
                      <w:szCs w:val="18"/>
                      <w:highlight w:val="none"/>
                      <w:lang w:val="en-US" w:eastAsia="zh-CN" w:bidi="ar-SA"/>
                    </w:rPr>
                  </w:pPr>
                  <w:r>
                    <w:rPr>
                      <w:rFonts w:hint="eastAsia"/>
                      <w:color w:val="auto"/>
                      <w:sz w:val="18"/>
                      <w:szCs w:val="18"/>
                      <w:lang w:eastAsia="zh-CN"/>
                    </w:rPr>
                    <w:t>与环评一致</w:t>
                  </w:r>
                </w:p>
              </w:tc>
              <w:tc>
                <w:tcPr>
                  <w:tcW w:w="565" w:type="pct"/>
                  <w:vAlign w:val="center"/>
                </w:tcPr>
                <w:p w14:paraId="590ECDE5">
                  <w:pPr>
                    <w:jc w:val="center"/>
                    <w:rPr>
                      <w:sz w:val="18"/>
                      <w:szCs w:val="18"/>
                    </w:rPr>
                  </w:pPr>
                  <w:r>
                    <w:rPr>
                      <w:rFonts w:hint="eastAsia"/>
                      <w:sz w:val="18"/>
                      <w:szCs w:val="18"/>
                    </w:rPr>
                    <w:t>/</w:t>
                  </w:r>
                </w:p>
              </w:tc>
              <w:tc>
                <w:tcPr>
                  <w:tcW w:w="378" w:type="pct"/>
                  <w:vAlign w:val="center"/>
                </w:tcPr>
                <w:p w14:paraId="564A289E">
                  <w:pPr>
                    <w:jc w:val="center"/>
                    <w:rPr>
                      <w:sz w:val="18"/>
                      <w:szCs w:val="18"/>
                    </w:rPr>
                  </w:pPr>
                  <w:r>
                    <w:rPr>
                      <w:rFonts w:hint="eastAsia"/>
                      <w:sz w:val="18"/>
                      <w:szCs w:val="18"/>
                    </w:rPr>
                    <w:t>否</w:t>
                  </w:r>
                </w:p>
              </w:tc>
            </w:tr>
          </w:tbl>
          <w:p w14:paraId="12CD9791">
            <w:pPr>
              <w:pStyle w:val="72"/>
              <w:adjustRightInd/>
              <w:snapToGrid/>
              <w:jc w:val="both"/>
              <w:rPr>
                <w:rFonts w:ascii="Times New Roman" w:hAnsi="Times New Roman" w:eastAsia="宋体"/>
                <w:b/>
                <w:color w:val="auto"/>
                <w:sz w:val="24"/>
                <w:highlight w:val="none"/>
              </w:rPr>
            </w:pPr>
          </w:p>
        </w:tc>
      </w:tr>
    </w:tbl>
    <w:p w14:paraId="4668F94F">
      <w:pPr>
        <w:sectPr>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1C40D4D5">
      <w:pPr>
        <w:pStyle w:val="4"/>
        <w:adjustRightInd/>
        <w:snapToGrid/>
        <w:rPr>
          <w:color w:val="auto"/>
          <w:highlight w:val="none"/>
        </w:rPr>
      </w:pPr>
      <w:bookmarkStart w:id="3" w:name="_Toc10444"/>
      <w:r>
        <w:rPr>
          <w:color w:val="auto"/>
          <w:highlight w:val="none"/>
        </w:rPr>
        <w:t>表</w:t>
      </w:r>
      <w:r>
        <w:rPr>
          <w:rFonts w:hint="eastAsia"/>
          <w:color w:val="auto"/>
          <w:highlight w:val="none"/>
        </w:rPr>
        <w:t>三</w:t>
      </w:r>
      <w:r>
        <w:rPr>
          <w:color w:val="auto"/>
          <w:highlight w:val="none"/>
        </w:rPr>
        <w:t>主要污染物</w:t>
      </w:r>
      <w:r>
        <w:rPr>
          <w:rFonts w:hint="eastAsia"/>
          <w:color w:val="auto"/>
          <w:highlight w:val="none"/>
        </w:rPr>
        <w:t>处理设施</w:t>
      </w:r>
      <w:r>
        <w:rPr>
          <w:color w:val="auto"/>
          <w:highlight w:val="none"/>
        </w:rPr>
        <w:t>及排放情况</w:t>
      </w:r>
      <w:bookmarkEnd w:id="3"/>
    </w:p>
    <w:tbl>
      <w:tblPr>
        <w:tblStyle w:val="29"/>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9286"/>
      </w:tblGrid>
      <w:tr w14:paraId="743E593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311" w:hRule="atLeast"/>
          <w:jc w:val="center"/>
        </w:trPr>
        <w:tc>
          <w:tcPr>
            <w:tcW w:w="9286" w:type="dxa"/>
          </w:tcPr>
          <w:p w14:paraId="2327CBD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3.1污染物治理/处置设施</w:t>
            </w:r>
          </w:p>
          <w:p w14:paraId="4D19CD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黑体"/>
                <w:bCs/>
                <w:color w:val="auto"/>
                <w:sz w:val="24"/>
                <w:szCs w:val="24"/>
                <w:highlight w:val="none"/>
              </w:rPr>
            </w:pPr>
            <w:r>
              <w:rPr>
                <w:rFonts w:hint="eastAsia" w:eastAsia="黑体"/>
                <w:bCs/>
                <w:color w:val="auto"/>
                <w:sz w:val="24"/>
                <w:szCs w:val="24"/>
                <w:highlight w:val="none"/>
              </w:rPr>
              <w:t>3.1.1废水</w:t>
            </w:r>
          </w:p>
          <w:p w14:paraId="64FBAD1B">
            <w:pPr>
              <w:adjustRightInd/>
              <w:snapToGrid/>
              <w:spacing w:line="360" w:lineRule="auto"/>
              <w:ind w:firstLine="482" w:firstLineChars="200"/>
              <w:rPr>
                <w:rFonts w:hint="eastAsia" w:eastAsia="宋体"/>
                <w:b/>
                <w:bCs/>
                <w:color w:val="auto"/>
                <w:kern w:val="0"/>
                <w:sz w:val="24"/>
                <w:szCs w:val="24"/>
                <w:highlight w:val="none"/>
                <w:lang w:val="en-US" w:eastAsia="zh-CN"/>
              </w:rPr>
            </w:pPr>
            <w:r>
              <w:rPr>
                <w:rFonts w:hint="eastAsia"/>
                <w:b/>
                <w:bCs/>
                <w:color w:val="auto"/>
                <w:kern w:val="0"/>
                <w:sz w:val="24"/>
                <w:szCs w:val="24"/>
                <w:highlight w:val="none"/>
                <w:lang w:eastAsia="zh-CN"/>
              </w:rPr>
              <w:t>续建工程运营期新增废水主要为</w:t>
            </w:r>
            <w:r>
              <w:rPr>
                <w:rFonts w:hint="eastAsia"/>
                <w:b/>
                <w:bCs/>
                <w:color w:val="auto"/>
                <w:kern w:val="0"/>
                <w:sz w:val="24"/>
                <w:szCs w:val="24"/>
                <w:highlight w:val="none"/>
              </w:rPr>
              <w:t>填埋气冷凝水</w:t>
            </w:r>
            <w:r>
              <w:rPr>
                <w:rFonts w:hint="eastAsia"/>
                <w:b/>
                <w:bCs/>
                <w:color w:val="auto"/>
                <w:kern w:val="0"/>
                <w:sz w:val="24"/>
                <w:szCs w:val="24"/>
                <w:highlight w:val="none"/>
                <w:lang w:eastAsia="zh-CN"/>
              </w:rPr>
              <w:t>。</w:t>
            </w:r>
          </w:p>
          <w:p w14:paraId="48202B95">
            <w:pPr>
              <w:adjustRightInd/>
              <w:snapToGrid/>
              <w:spacing w:line="360" w:lineRule="auto"/>
              <w:ind w:firstLine="480" w:firstLineChars="200"/>
              <w:rPr>
                <w:rFonts w:hint="eastAsia"/>
                <w:color w:val="auto"/>
                <w:kern w:val="0"/>
                <w:sz w:val="24"/>
                <w:szCs w:val="24"/>
                <w:highlight w:val="none"/>
              </w:rPr>
            </w:pPr>
            <w:r>
              <w:rPr>
                <w:rFonts w:hint="eastAsia"/>
                <w:color w:val="auto"/>
                <w:kern w:val="0"/>
                <w:sz w:val="24"/>
                <w:szCs w:val="24"/>
                <w:highlight w:val="none"/>
                <w:lang w:eastAsia="zh-CN"/>
              </w:rPr>
              <w:t>续建工程实施后，武汉环投环境科技有限公司厂区</w:t>
            </w:r>
            <w:r>
              <w:rPr>
                <w:rFonts w:hint="eastAsia"/>
                <w:color w:val="auto"/>
                <w:kern w:val="0"/>
                <w:sz w:val="24"/>
                <w:szCs w:val="24"/>
                <w:highlight w:val="none"/>
              </w:rPr>
              <w:t>运营期废水主要为</w:t>
            </w:r>
            <w:r>
              <w:rPr>
                <w:rFonts w:hint="eastAsia"/>
                <w:color w:val="auto"/>
                <w:kern w:val="0"/>
                <w:sz w:val="24"/>
                <w:szCs w:val="24"/>
                <w:highlight w:val="none"/>
                <w:lang w:eastAsia="zh-CN"/>
              </w:rPr>
              <w:t>员工生活污水和</w:t>
            </w:r>
            <w:r>
              <w:rPr>
                <w:rFonts w:hint="eastAsia"/>
                <w:color w:val="auto"/>
                <w:kern w:val="0"/>
                <w:sz w:val="24"/>
                <w:szCs w:val="24"/>
                <w:highlight w:val="none"/>
              </w:rPr>
              <w:t>填埋气冷凝水。</w:t>
            </w:r>
          </w:p>
          <w:p w14:paraId="504803CA">
            <w:pPr>
              <w:adjustRightInd/>
              <w:snapToGrid/>
              <w:spacing w:line="360" w:lineRule="auto"/>
              <w:ind w:firstLine="480" w:firstLineChars="200"/>
              <w:rPr>
                <w:rFonts w:hint="eastAsia"/>
                <w:color w:val="auto"/>
                <w:kern w:val="0"/>
                <w:sz w:val="24"/>
                <w:szCs w:val="24"/>
                <w:highlight w:val="none"/>
                <w:lang w:eastAsia="zh-CN"/>
              </w:rPr>
            </w:pPr>
            <w:r>
              <w:rPr>
                <w:rFonts w:hint="eastAsia"/>
                <w:color w:val="auto"/>
                <w:kern w:val="0"/>
                <w:sz w:val="24"/>
                <w:szCs w:val="24"/>
                <w:highlight w:val="none"/>
                <w:lang w:eastAsia="zh-CN"/>
              </w:rPr>
              <w:t>其中员工生活污水经自建化粪池预处理达到《污水综合排放标准》（GB8978-1996）表4三级标准要求后，排入长山口填埋场现有渗滤液处理站；项目填埋气冷凝废水直接排入长山口填埋场现有渗滤液处理站。各类废水经渗滤液处理站处理达到《生活垃圾填埋场污染控制标准》（GB16889-2008）中表2的标准后排入金口污水处理厂进一步处理，尾水</w:t>
            </w:r>
            <w:r>
              <w:rPr>
                <w:rFonts w:hint="eastAsia"/>
                <w:color w:val="auto"/>
                <w:kern w:val="0"/>
                <w:sz w:val="24"/>
                <w:szCs w:val="24"/>
                <w:highlight w:val="none"/>
              </w:rPr>
              <w:t>排入长江（武汉段）</w:t>
            </w:r>
            <w:r>
              <w:rPr>
                <w:rFonts w:hint="eastAsia"/>
                <w:color w:val="auto"/>
                <w:kern w:val="0"/>
                <w:sz w:val="24"/>
                <w:szCs w:val="24"/>
                <w:highlight w:val="none"/>
                <w:lang w:eastAsia="zh-CN"/>
              </w:rPr>
              <w:t>。</w:t>
            </w:r>
          </w:p>
          <w:p w14:paraId="734D203E">
            <w:pPr>
              <w:pStyle w:val="121"/>
              <w:adjustRightInd/>
              <w:snapToGrid/>
              <w:rPr>
                <w:color w:val="auto"/>
                <w:sz w:val="21"/>
                <w:highlight w:val="none"/>
              </w:rPr>
            </w:pPr>
            <w:r>
              <w:rPr>
                <w:rFonts w:hint="eastAsia"/>
                <w:color w:val="auto"/>
                <w:sz w:val="21"/>
                <w:highlight w:val="none"/>
                <w:lang w:eastAsia="zh-CN"/>
              </w:rPr>
              <w:t>续建工程建成后，厂区</w:t>
            </w:r>
            <w:r>
              <w:rPr>
                <w:rFonts w:hint="eastAsia"/>
                <w:color w:val="auto"/>
                <w:sz w:val="21"/>
                <w:highlight w:val="none"/>
              </w:rPr>
              <w:t>废水产生排放情况一览表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517"/>
              <w:gridCol w:w="531"/>
              <w:gridCol w:w="1218"/>
              <w:gridCol w:w="1032"/>
              <w:gridCol w:w="1504"/>
              <w:gridCol w:w="637"/>
              <w:gridCol w:w="1208"/>
              <w:gridCol w:w="1594"/>
              <w:gridCol w:w="829"/>
            </w:tblGrid>
            <w:tr w14:paraId="6B3C32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549" w:type="dxa"/>
                  <w:vMerge w:val="restart"/>
                  <w:shd w:val="clear" w:color="auto" w:fill="auto"/>
                  <w:vAlign w:val="center"/>
                </w:tcPr>
                <w:p w14:paraId="3B7F8B62">
                  <w:pPr>
                    <w:spacing w:line="240" w:lineRule="exact"/>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废水类别</w:t>
                  </w:r>
                </w:p>
              </w:tc>
              <w:tc>
                <w:tcPr>
                  <w:tcW w:w="565" w:type="dxa"/>
                  <w:vMerge w:val="restart"/>
                  <w:shd w:val="clear" w:color="auto" w:fill="auto"/>
                  <w:vAlign w:val="center"/>
                </w:tcPr>
                <w:p w14:paraId="2DFC350E">
                  <w:pPr>
                    <w:spacing w:line="240" w:lineRule="exact"/>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来源</w:t>
                  </w:r>
                </w:p>
              </w:tc>
              <w:tc>
                <w:tcPr>
                  <w:tcW w:w="1289" w:type="dxa"/>
                  <w:vMerge w:val="restart"/>
                  <w:shd w:val="clear" w:color="auto" w:fill="auto"/>
                  <w:vAlign w:val="center"/>
                </w:tcPr>
                <w:p w14:paraId="79AF01D3">
                  <w:pPr>
                    <w:spacing w:line="240" w:lineRule="exact"/>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污染物种类</w:t>
                  </w:r>
                </w:p>
              </w:tc>
              <w:tc>
                <w:tcPr>
                  <w:tcW w:w="1113" w:type="dxa"/>
                  <w:vMerge w:val="restart"/>
                  <w:shd w:val="clear" w:color="auto" w:fill="auto"/>
                  <w:vAlign w:val="center"/>
                </w:tcPr>
                <w:p w14:paraId="5633F5BB">
                  <w:pPr>
                    <w:spacing w:line="240" w:lineRule="exact"/>
                    <w:jc w:val="center"/>
                    <w:rPr>
                      <w:rFonts w:hint="eastAsia" w:ascii="Times New Roman" w:hAnsi="Times New Roman" w:eastAsia="宋体" w:cs="Times New Roman"/>
                      <w:b/>
                      <w:bCs/>
                      <w:color w:val="auto"/>
                      <w:sz w:val="18"/>
                      <w:szCs w:val="18"/>
                      <w:highlight w:val="none"/>
                      <w:lang w:eastAsia="zh-CN"/>
                    </w:rPr>
                  </w:pPr>
                  <w:r>
                    <w:rPr>
                      <w:rFonts w:hint="default" w:ascii="Times New Roman" w:hAnsi="Times New Roman" w:eastAsia="宋体" w:cs="Times New Roman"/>
                      <w:b/>
                      <w:bCs/>
                      <w:color w:val="auto"/>
                      <w:sz w:val="18"/>
                      <w:szCs w:val="18"/>
                      <w:highlight w:val="none"/>
                    </w:rPr>
                    <w:t>治理设施</w:t>
                  </w:r>
                </w:p>
              </w:tc>
              <w:tc>
                <w:tcPr>
                  <w:tcW w:w="1418" w:type="dxa"/>
                  <w:vMerge w:val="restart"/>
                  <w:vAlign w:val="center"/>
                </w:tcPr>
                <w:p w14:paraId="4A6202B1">
                  <w:pPr>
                    <w:spacing w:line="240" w:lineRule="exact"/>
                    <w:jc w:val="center"/>
                    <w:rPr>
                      <w:rFonts w:hint="default" w:ascii="Times New Roman" w:hAnsi="Times New Roman" w:eastAsia="宋体" w:cs="Times New Roman"/>
                      <w:b/>
                      <w:bCs/>
                      <w:color w:val="auto"/>
                      <w:sz w:val="18"/>
                      <w:szCs w:val="18"/>
                      <w:highlight w:val="none"/>
                    </w:rPr>
                  </w:pPr>
                  <w:r>
                    <w:rPr>
                      <w:rFonts w:hint="eastAsia" w:ascii="Times New Roman" w:hAnsi="Times New Roman" w:eastAsia="宋体" w:cs="Times New Roman"/>
                      <w:b/>
                      <w:bCs/>
                      <w:color w:val="auto"/>
                      <w:sz w:val="18"/>
                      <w:szCs w:val="18"/>
                      <w:highlight w:val="none"/>
                      <w:lang w:eastAsia="zh-CN"/>
                    </w:rPr>
                    <w:t>处理效果</w:t>
                  </w:r>
                </w:p>
              </w:tc>
              <w:tc>
                <w:tcPr>
                  <w:tcW w:w="687" w:type="dxa"/>
                  <w:vMerge w:val="restart"/>
                  <w:vAlign w:val="center"/>
                </w:tcPr>
                <w:p w14:paraId="1035409A">
                  <w:pPr>
                    <w:spacing w:line="240" w:lineRule="exact"/>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排放</w:t>
                  </w:r>
                </w:p>
                <w:p w14:paraId="344352E8">
                  <w:pPr>
                    <w:spacing w:line="240" w:lineRule="exact"/>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去向</w:t>
                  </w:r>
                </w:p>
              </w:tc>
              <w:tc>
                <w:tcPr>
                  <w:tcW w:w="3449" w:type="dxa"/>
                  <w:gridSpan w:val="3"/>
                  <w:tcBorders>
                    <w:bottom w:val="single" w:color="auto" w:sz="12" w:space="0"/>
                  </w:tcBorders>
                  <w:vAlign w:val="center"/>
                </w:tcPr>
                <w:p w14:paraId="16AF6855">
                  <w:pPr>
                    <w:spacing w:line="240" w:lineRule="exact"/>
                    <w:jc w:val="center"/>
                    <w:rPr>
                      <w:rFonts w:hint="eastAsia"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sz w:val="18"/>
                      <w:szCs w:val="18"/>
                      <w:highlight w:val="none"/>
                    </w:rPr>
                    <w:t>污水处理站</w:t>
                  </w:r>
                  <w:r>
                    <w:rPr>
                      <w:rFonts w:hint="eastAsia" w:ascii="Times New Roman" w:hAnsi="Times New Roman" w:eastAsia="宋体" w:cs="Times New Roman"/>
                      <w:b/>
                      <w:bCs/>
                      <w:color w:val="auto"/>
                      <w:sz w:val="18"/>
                      <w:szCs w:val="18"/>
                      <w:highlight w:val="none"/>
                      <w:lang w:eastAsia="zh-CN"/>
                    </w:rPr>
                    <w:t>信息</w:t>
                  </w:r>
                </w:p>
              </w:tc>
            </w:tr>
            <w:tr w14:paraId="4C3FD8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549" w:type="dxa"/>
                  <w:vMerge w:val="continue"/>
                  <w:tcBorders>
                    <w:bottom w:val="single" w:color="auto" w:sz="12" w:space="0"/>
                  </w:tcBorders>
                  <w:shd w:val="clear" w:color="auto" w:fill="auto"/>
                  <w:vAlign w:val="center"/>
                </w:tcPr>
                <w:p w14:paraId="0A0C8213">
                  <w:pPr>
                    <w:spacing w:line="240" w:lineRule="exact"/>
                    <w:jc w:val="center"/>
                    <w:rPr>
                      <w:color w:val="auto"/>
                      <w:highlight w:val="none"/>
                    </w:rPr>
                  </w:pPr>
                </w:p>
              </w:tc>
              <w:tc>
                <w:tcPr>
                  <w:tcW w:w="565" w:type="dxa"/>
                  <w:vMerge w:val="continue"/>
                  <w:tcBorders>
                    <w:bottom w:val="single" w:color="auto" w:sz="12" w:space="0"/>
                  </w:tcBorders>
                  <w:shd w:val="clear" w:color="auto" w:fill="auto"/>
                  <w:vAlign w:val="center"/>
                </w:tcPr>
                <w:p w14:paraId="5D9BF5DC">
                  <w:pPr>
                    <w:spacing w:line="240" w:lineRule="exact"/>
                    <w:jc w:val="center"/>
                    <w:rPr>
                      <w:color w:val="auto"/>
                      <w:highlight w:val="none"/>
                    </w:rPr>
                  </w:pPr>
                </w:p>
              </w:tc>
              <w:tc>
                <w:tcPr>
                  <w:tcW w:w="1289" w:type="dxa"/>
                  <w:vMerge w:val="continue"/>
                  <w:tcBorders>
                    <w:bottom w:val="single" w:color="auto" w:sz="12" w:space="0"/>
                  </w:tcBorders>
                  <w:shd w:val="clear" w:color="auto" w:fill="auto"/>
                  <w:vAlign w:val="center"/>
                </w:tcPr>
                <w:p w14:paraId="388EAC07">
                  <w:pPr>
                    <w:spacing w:line="240" w:lineRule="exact"/>
                    <w:jc w:val="center"/>
                    <w:rPr>
                      <w:color w:val="auto"/>
                      <w:highlight w:val="none"/>
                    </w:rPr>
                  </w:pPr>
                </w:p>
              </w:tc>
              <w:tc>
                <w:tcPr>
                  <w:tcW w:w="1113" w:type="dxa"/>
                  <w:vMerge w:val="continue"/>
                  <w:tcBorders>
                    <w:bottom w:val="single" w:color="auto" w:sz="12" w:space="0"/>
                  </w:tcBorders>
                  <w:shd w:val="clear" w:color="auto" w:fill="auto"/>
                  <w:vAlign w:val="center"/>
                </w:tcPr>
                <w:p w14:paraId="70A7AEB9">
                  <w:pPr>
                    <w:spacing w:line="240" w:lineRule="exact"/>
                    <w:jc w:val="center"/>
                    <w:rPr>
                      <w:color w:val="auto"/>
                      <w:highlight w:val="none"/>
                    </w:rPr>
                  </w:pPr>
                </w:p>
              </w:tc>
              <w:tc>
                <w:tcPr>
                  <w:tcW w:w="1418" w:type="dxa"/>
                  <w:vMerge w:val="continue"/>
                  <w:tcBorders>
                    <w:bottom w:val="single" w:color="auto" w:sz="12" w:space="0"/>
                  </w:tcBorders>
                  <w:vAlign w:val="center"/>
                </w:tcPr>
                <w:p w14:paraId="162B8325">
                  <w:pPr>
                    <w:spacing w:line="240" w:lineRule="exact"/>
                    <w:jc w:val="center"/>
                    <w:rPr>
                      <w:color w:val="auto"/>
                      <w:highlight w:val="none"/>
                    </w:rPr>
                  </w:pPr>
                </w:p>
              </w:tc>
              <w:tc>
                <w:tcPr>
                  <w:tcW w:w="687" w:type="dxa"/>
                  <w:vMerge w:val="continue"/>
                  <w:tcBorders>
                    <w:bottom w:val="single" w:color="auto" w:sz="12" w:space="0"/>
                  </w:tcBorders>
                  <w:vAlign w:val="center"/>
                </w:tcPr>
                <w:p w14:paraId="76AAF9DF">
                  <w:pPr>
                    <w:spacing w:line="240" w:lineRule="exact"/>
                    <w:jc w:val="center"/>
                    <w:rPr>
                      <w:color w:val="auto"/>
                      <w:highlight w:val="none"/>
                    </w:rPr>
                  </w:pPr>
                </w:p>
              </w:tc>
              <w:tc>
                <w:tcPr>
                  <w:tcW w:w="1026" w:type="dxa"/>
                  <w:tcBorders>
                    <w:bottom w:val="single" w:color="auto" w:sz="12" w:space="0"/>
                  </w:tcBorders>
                  <w:vAlign w:val="center"/>
                </w:tcPr>
                <w:p w14:paraId="4529A4FB">
                  <w:pPr>
                    <w:spacing w:line="240" w:lineRule="exact"/>
                    <w:jc w:val="center"/>
                    <w:rPr>
                      <w:b/>
                      <w:bCs/>
                      <w:color w:val="auto"/>
                      <w:highlight w:val="none"/>
                    </w:rPr>
                  </w:pPr>
                  <w:r>
                    <w:rPr>
                      <w:rFonts w:hint="default" w:ascii="Times New Roman" w:hAnsi="Times New Roman" w:eastAsia="宋体" w:cs="Times New Roman"/>
                      <w:b/>
                      <w:bCs/>
                      <w:color w:val="auto"/>
                      <w:sz w:val="18"/>
                      <w:szCs w:val="18"/>
                      <w:highlight w:val="none"/>
                    </w:rPr>
                    <w:t>处理工艺</w:t>
                  </w:r>
                </w:p>
              </w:tc>
              <w:tc>
                <w:tcPr>
                  <w:tcW w:w="1516" w:type="dxa"/>
                  <w:tcBorders>
                    <w:bottom w:val="single" w:color="auto" w:sz="12" w:space="0"/>
                  </w:tcBorders>
                  <w:vAlign w:val="center"/>
                </w:tcPr>
                <w:p w14:paraId="2D377487">
                  <w:pPr>
                    <w:spacing w:line="240" w:lineRule="exact"/>
                    <w:jc w:val="center"/>
                    <w:rPr>
                      <w:rFonts w:hint="eastAsia"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sz w:val="18"/>
                      <w:szCs w:val="18"/>
                      <w:highlight w:val="none"/>
                    </w:rPr>
                    <w:t>处理效果</w:t>
                  </w:r>
                </w:p>
              </w:tc>
              <w:tc>
                <w:tcPr>
                  <w:tcW w:w="907" w:type="dxa"/>
                  <w:tcBorders>
                    <w:bottom w:val="single" w:color="auto" w:sz="12" w:space="0"/>
                  </w:tcBorders>
                  <w:vAlign w:val="center"/>
                </w:tcPr>
                <w:p w14:paraId="65AA436C">
                  <w:pPr>
                    <w:spacing w:line="240" w:lineRule="exact"/>
                    <w:jc w:val="center"/>
                    <w:rPr>
                      <w:rFonts w:hint="eastAsia"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sz w:val="18"/>
                      <w:szCs w:val="18"/>
                      <w:highlight w:val="none"/>
                    </w:rPr>
                    <w:t>排放去向</w:t>
                  </w:r>
                </w:p>
              </w:tc>
            </w:tr>
            <w:tr w14:paraId="3B4D0C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49" w:type="dxa"/>
                  <w:tcBorders>
                    <w:top w:val="single" w:color="auto" w:sz="12" w:space="0"/>
                    <w:tl2br w:val="nil"/>
                    <w:tr2bl w:val="nil"/>
                  </w:tcBorders>
                  <w:shd w:val="clear" w:color="auto" w:fill="auto"/>
                  <w:vAlign w:val="center"/>
                </w:tcPr>
                <w:p w14:paraId="16171B77">
                  <w:pPr>
                    <w:pStyle w:val="25"/>
                    <w:spacing w:before="0" w:beforeAutospacing="0" w:after="0" w:afterAutospacing="0" w:line="240" w:lineRule="exact"/>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生活污水</w:t>
                  </w:r>
                </w:p>
              </w:tc>
              <w:tc>
                <w:tcPr>
                  <w:tcW w:w="565" w:type="dxa"/>
                  <w:tcBorders>
                    <w:top w:val="single" w:color="auto" w:sz="12" w:space="0"/>
                    <w:tl2br w:val="nil"/>
                    <w:tr2bl w:val="nil"/>
                  </w:tcBorders>
                  <w:shd w:val="clear" w:color="auto" w:fill="auto"/>
                  <w:vAlign w:val="center"/>
                </w:tcPr>
                <w:p w14:paraId="464B0EC7">
                  <w:pPr>
                    <w:pStyle w:val="25"/>
                    <w:spacing w:before="0" w:beforeAutospacing="0" w:after="0" w:afterAutospacing="0" w:line="240" w:lineRule="exact"/>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办公生活</w:t>
                  </w:r>
                </w:p>
              </w:tc>
              <w:tc>
                <w:tcPr>
                  <w:tcW w:w="1289" w:type="dxa"/>
                  <w:tcBorders>
                    <w:top w:val="single" w:color="auto" w:sz="12" w:space="0"/>
                    <w:tl2br w:val="nil"/>
                    <w:tr2bl w:val="nil"/>
                  </w:tcBorders>
                  <w:shd w:val="clear" w:color="auto" w:fill="auto"/>
                  <w:vAlign w:val="center"/>
                </w:tcPr>
                <w:p w14:paraId="4E42282E">
                  <w:pPr>
                    <w:spacing w:before="0" w:beforeAutospacing="0" w:after="0" w:afterAutospacing="0" w:line="240" w:lineRule="exact"/>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SS、COD、BOD</w:t>
                  </w:r>
                  <w:r>
                    <w:rPr>
                      <w:rFonts w:hint="default" w:ascii="Times New Roman" w:hAnsi="Times New Roman" w:eastAsia="宋体" w:cs="Times New Roman"/>
                      <w:color w:val="auto"/>
                      <w:sz w:val="18"/>
                      <w:szCs w:val="18"/>
                      <w:highlight w:val="none"/>
                      <w:vertAlign w:val="subscript"/>
                    </w:rPr>
                    <w:t>5</w:t>
                  </w:r>
                  <w:r>
                    <w:rPr>
                      <w:rFonts w:hint="default" w:ascii="Times New Roman" w:hAnsi="Times New Roman" w:eastAsia="宋体" w:cs="Times New Roman"/>
                      <w:color w:val="auto"/>
                      <w:sz w:val="18"/>
                      <w:szCs w:val="18"/>
                      <w:highlight w:val="none"/>
                    </w:rPr>
                    <w:t>、氨氮等</w:t>
                  </w:r>
                </w:p>
              </w:tc>
              <w:tc>
                <w:tcPr>
                  <w:tcW w:w="1113" w:type="dxa"/>
                  <w:tcBorders>
                    <w:top w:val="single" w:color="auto" w:sz="12" w:space="0"/>
                    <w:tl2br w:val="nil"/>
                    <w:tr2bl w:val="nil"/>
                  </w:tcBorders>
                  <w:shd w:val="clear" w:color="auto" w:fill="auto"/>
                  <w:vAlign w:val="center"/>
                </w:tcPr>
                <w:p w14:paraId="37B20577">
                  <w:pPr>
                    <w:spacing w:line="240" w:lineRule="exact"/>
                    <w:jc w:val="center"/>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eastAsia="zh-CN"/>
                    </w:rPr>
                    <w:t>化粪池</w:t>
                  </w:r>
                </w:p>
                <w:p w14:paraId="080136D0">
                  <w:pPr>
                    <w:spacing w:line="240" w:lineRule="exact"/>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（自建）</w:t>
                  </w:r>
                </w:p>
              </w:tc>
              <w:tc>
                <w:tcPr>
                  <w:tcW w:w="1418" w:type="dxa"/>
                  <w:tcBorders>
                    <w:top w:val="single" w:color="auto" w:sz="12" w:space="0"/>
                    <w:tl2br w:val="nil"/>
                    <w:tr2bl w:val="nil"/>
                  </w:tcBorders>
                  <w:shd w:val="clear" w:color="auto" w:fill="auto"/>
                  <w:vAlign w:val="center"/>
                </w:tcPr>
                <w:p w14:paraId="49B3AE25">
                  <w:pPr>
                    <w:spacing w:line="240" w:lineRule="exact"/>
                    <w:jc w:val="center"/>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《污水综合排放标准》（GB8978-1996）表4三级标准</w:t>
                  </w:r>
                </w:p>
              </w:tc>
              <w:tc>
                <w:tcPr>
                  <w:tcW w:w="687" w:type="dxa"/>
                  <w:vMerge w:val="restart"/>
                  <w:tcBorders>
                    <w:top w:val="single" w:color="auto" w:sz="12" w:space="0"/>
                    <w:tl2br w:val="nil"/>
                    <w:tr2bl w:val="nil"/>
                  </w:tcBorders>
                  <w:vAlign w:val="center"/>
                </w:tcPr>
                <w:p w14:paraId="3F9B9303">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渗滤液污水处理站</w:t>
                  </w:r>
                </w:p>
              </w:tc>
              <w:tc>
                <w:tcPr>
                  <w:tcW w:w="1026" w:type="dxa"/>
                  <w:vMerge w:val="restart"/>
                  <w:tcBorders>
                    <w:top w:val="single" w:color="auto" w:sz="12" w:space="0"/>
                    <w:tl2br w:val="nil"/>
                    <w:tr2bl w:val="nil"/>
                  </w:tcBorders>
                  <w:vAlign w:val="center"/>
                </w:tcPr>
                <w:p w14:paraId="2C509A86">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A2/O2+MBR+纳NF滤+管式RO</w:t>
                  </w:r>
                </w:p>
              </w:tc>
              <w:tc>
                <w:tcPr>
                  <w:tcW w:w="1516" w:type="dxa"/>
                  <w:vMerge w:val="restart"/>
                  <w:tcBorders>
                    <w:top w:val="single" w:color="auto" w:sz="12" w:space="0"/>
                    <w:tl2br w:val="nil"/>
                    <w:tr2bl w:val="nil"/>
                  </w:tcBorders>
                  <w:vAlign w:val="center"/>
                </w:tcPr>
                <w:p w14:paraId="2EAC97EC">
                  <w:pPr>
                    <w:pStyle w:val="25"/>
                    <w:spacing w:before="0" w:beforeAutospacing="0" w:after="0" w:afterAutospacing="0" w:line="240" w:lineRule="exact"/>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《生活垃圾填埋场污染控制标准》（GB16889-2008）表2现有和新建生活垃圾填埋场水污染物排放质量浓度限值</w:t>
                  </w:r>
                </w:p>
              </w:tc>
              <w:tc>
                <w:tcPr>
                  <w:tcW w:w="907" w:type="dxa"/>
                  <w:vMerge w:val="restart"/>
                  <w:tcBorders>
                    <w:top w:val="single" w:color="auto" w:sz="12" w:space="0"/>
                    <w:tl2br w:val="nil"/>
                    <w:tr2bl w:val="nil"/>
                  </w:tcBorders>
                  <w:vAlign w:val="center"/>
                </w:tcPr>
                <w:p w14:paraId="332876C6">
                  <w:pPr>
                    <w:spacing w:line="240" w:lineRule="exact"/>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金口污水处理厂</w:t>
                  </w:r>
                </w:p>
              </w:tc>
            </w:tr>
            <w:tr w14:paraId="2C3162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49" w:type="dxa"/>
                  <w:tcBorders>
                    <w:tl2br w:val="nil"/>
                    <w:tr2bl w:val="nil"/>
                  </w:tcBorders>
                  <w:shd w:val="clear" w:color="auto" w:fill="auto"/>
                  <w:vAlign w:val="center"/>
                </w:tcPr>
                <w:p w14:paraId="50244125">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冷凝废水</w:t>
                  </w:r>
                </w:p>
              </w:tc>
              <w:tc>
                <w:tcPr>
                  <w:tcW w:w="565" w:type="dxa"/>
                  <w:tcBorders>
                    <w:tl2br w:val="nil"/>
                    <w:tr2bl w:val="nil"/>
                  </w:tcBorders>
                  <w:shd w:val="clear" w:color="auto" w:fill="auto"/>
                  <w:vAlign w:val="center"/>
                </w:tcPr>
                <w:p w14:paraId="4C3CA396">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生产</w:t>
                  </w:r>
                </w:p>
              </w:tc>
              <w:tc>
                <w:tcPr>
                  <w:tcW w:w="1289" w:type="dxa"/>
                  <w:tcBorders>
                    <w:tl2br w:val="nil"/>
                    <w:tr2bl w:val="nil"/>
                  </w:tcBorders>
                  <w:shd w:val="clear" w:color="auto" w:fill="auto"/>
                  <w:vAlign w:val="center"/>
                </w:tcPr>
                <w:p w14:paraId="32EC2254">
                  <w:pPr>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SS、COD、BOD</w:t>
                  </w:r>
                  <w:r>
                    <w:rPr>
                      <w:rFonts w:hint="default" w:ascii="Times New Roman" w:hAnsi="Times New Roman" w:eastAsia="宋体" w:cs="Times New Roman"/>
                      <w:color w:val="auto"/>
                      <w:sz w:val="18"/>
                      <w:szCs w:val="18"/>
                      <w:highlight w:val="none"/>
                      <w:vertAlign w:val="subscript"/>
                    </w:rPr>
                    <w:t>5</w:t>
                  </w:r>
                  <w:r>
                    <w:rPr>
                      <w:rFonts w:hint="default" w:ascii="Times New Roman" w:hAnsi="Times New Roman" w:eastAsia="宋体" w:cs="Times New Roman"/>
                      <w:color w:val="auto"/>
                      <w:sz w:val="18"/>
                      <w:szCs w:val="18"/>
                      <w:highlight w:val="none"/>
                    </w:rPr>
                    <w:t>、氨氮等</w:t>
                  </w:r>
                </w:p>
              </w:tc>
              <w:tc>
                <w:tcPr>
                  <w:tcW w:w="1113" w:type="dxa"/>
                  <w:tcBorders>
                    <w:tl2br w:val="nil"/>
                    <w:tr2bl w:val="nil"/>
                  </w:tcBorders>
                  <w:shd w:val="clear" w:color="auto" w:fill="auto"/>
                  <w:vAlign w:val="center"/>
                </w:tcPr>
                <w:p w14:paraId="2EAD3C7B">
                  <w:pPr>
                    <w:spacing w:line="240" w:lineRule="exact"/>
                    <w:jc w:val="center"/>
                    <w:rPr>
                      <w:rFonts w:hint="default"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无</w:t>
                  </w:r>
                </w:p>
              </w:tc>
              <w:tc>
                <w:tcPr>
                  <w:tcW w:w="1418" w:type="dxa"/>
                  <w:tcBorders>
                    <w:tl2br w:val="nil"/>
                    <w:tr2bl w:val="nil"/>
                  </w:tcBorders>
                  <w:vAlign w:val="center"/>
                </w:tcPr>
                <w:p w14:paraId="4A252811">
                  <w:pPr>
                    <w:spacing w:line="240" w:lineRule="exact"/>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无</w:t>
                  </w:r>
                </w:p>
              </w:tc>
              <w:tc>
                <w:tcPr>
                  <w:tcW w:w="687" w:type="dxa"/>
                  <w:vMerge w:val="continue"/>
                  <w:tcBorders>
                    <w:tl2br w:val="nil"/>
                    <w:tr2bl w:val="nil"/>
                  </w:tcBorders>
                  <w:vAlign w:val="center"/>
                </w:tcPr>
                <w:p w14:paraId="2AA1806B">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p>
              </w:tc>
              <w:tc>
                <w:tcPr>
                  <w:tcW w:w="1026" w:type="dxa"/>
                  <w:vMerge w:val="continue"/>
                  <w:tcBorders>
                    <w:tl2br w:val="nil"/>
                    <w:tr2bl w:val="nil"/>
                  </w:tcBorders>
                  <w:vAlign w:val="center"/>
                </w:tcPr>
                <w:p w14:paraId="35D8053D">
                  <w:pPr>
                    <w:pStyle w:val="25"/>
                    <w:spacing w:before="0" w:beforeAutospacing="0" w:after="0" w:afterAutospacing="0" w:line="240" w:lineRule="exact"/>
                    <w:jc w:val="center"/>
                    <w:rPr>
                      <w:rFonts w:hint="default" w:ascii="Times New Roman" w:hAnsi="Times New Roman" w:eastAsia="宋体" w:cs="Times New Roman"/>
                      <w:color w:val="auto"/>
                      <w:sz w:val="18"/>
                      <w:szCs w:val="18"/>
                      <w:highlight w:val="none"/>
                    </w:rPr>
                  </w:pPr>
                </w:p>
              </w:tc>
              <w:tc>
                <w:tcPr>
                  <w:tcW w:w="1516" w:type="dxa"/>
                  <w:vMerge w:val="continue"/>
                  <w:tcBorders>
                    <w:tl2br w:val="nil"/>
                    <w:tr2bl w:val="nil"/>
                  </w:tcBorders>
                  <w:vAlign w:val="center"/>
                </w:tcPr>
                <w:p w14:paraId="681F58A8">
                  <w:pPr>
                    <w:spacing w:line="240" w:lineRule="exact"/>
                    <w:jc w:val="center"/>
                    <w:rPr>
                      <w:rFonts w:hint="default" w:ascii="Times New Roman" w:hAnsi="Times New Roman" w:eastAsia="宋体" w:cs="Times New Roman"/>
                      <w:color w:val="auto"/>
                      <w:sz w:val="18"/>
                      <w:szCs w:val="18"/>
                      <w:highlight w:val="none"/>
                    </w:rPr>
                  </w:pPr>
                </w:p>
              </w:tc>
              <w:tc>
                <w:tcPr>
                  <w:tcW w:w="907" w:type="dxa"/>
                  <w:vMerge w:val="continue"/>
                  <w:tcBorders>
                    <w:tl2br w:val="nil"/>
                    <w:tr2bl w:val="nil"/>
                  </w:tcBorders>
                  <w:vAlign w:val="center"/>
                </w:tcPr>
                <w:p w14:paraId="074042EB">
                  <w:pPr>
                    <w:spacing w:line="240" w:lineRule="exact"/>
                    <w:jc w:val="center"/>
                    <w:rPr>
                      <w:rFonts w:hint="default" w:ascii="Times New Roman" w:hAnsi="Times New Roman" w:eastAsia="宋体" w:cs="Times New Roman"/>
                      <w:color w:val="auto"/>
                      <w:sz w:val="18"/>
                      <w:szCs w:val="18"/>
                      <w:highlight w:val="none"/>
                    </w:rPr>
                  </w:pPr>
                </w:p>
              </w:tc>
            </w:tr>
          </w:tbl>
          <w:p w14:paraId="303050E3">
            <w:pPr>
              <w:pStyle w:val="28"/>
              <w:adjustRightInd/>
              <w:snapToGrid/>
              <w:spacing w:after="0"/>
              <w:ind w:left="0" w:leftChars="0" w:firstLine="0" w:firstLineChars="0"/>
              <w:jc w:val="center"/>
              <w:rPr>
                <w:rFonts w:hint="eastAsia" w:eastAsia="黑体"/>
                <w:color w:val="auto"/>
                <w:szCs w:val="21"/>
                <w:highlight w:val="none"/>
                <w:lang w:eastAsia="zh-CN"/>
              </w:rPr>
            </w:pPr>
            <w:r>
              <w:rPr>
                <w:rFonts w:hint="eastAsia" w:eastAsia="黑体"/>
                <w:color w:val="auto"/>
                <w:szCs w:val="21"/>
                <w:highlight w:val="none"/>
                <w:lang w:eastAsia="zh-CN"/>
              </w:rPr>
              <w:object>
                <v:shape id="_x0000_i1029" o:spt="75" type="#_x0000_t75" style="height:165.65pt;width:438.65pt;" o:ole="t" filled="f" o:preferrelative="t" stroked="f" coordsize="21600,21600">
                  <v:path/>
                  <v:fill on="f" focussize="0,0"/>
                  <v:stroke on="f"/>
                  <v:imagedata r:id="rId16" o:title=""/>
                  <o:lock v:ext="edit" aspectratio="t"/>
                  <w10:wrap type="none"/>
                  <w10:anchorlock/>
                </v:shape>
                <o:OLEObject Type="Embed" ProgID="Visio.Drawing.11" ShapeID="_x0000_i1029" DrawAspect="Content" ObjectID="_1468075729" r:id="rId15">
                  <o:LockedField>false</o:LockedField>
                </o:OLEObject>
              </w:object>
            </w:r>
          </w:p>
          <w:p w14:paraId="1B81E3F9">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rPr>
              <w:t>废水污染防治措施流程图</w:t>
            </w:r>
          </w:p>
          <w:p w14:paraId="531A58D2">
            <w:pPr>
              <w:pStyle w:val="28"/>
              <w:keepNext w:val="0"/>
              <w:keepLines w:val="0"/>
              <w:pageBreakBefore w:val="0"/>
              <w:widowControl w:val="0"/>
              <w:kinsoku/>
              <w:wordWrap/>
              <w:overflowPunct/>
              <w:topLinePunct w:val="0"/>
              <w:autoSpaceDE/>
              <w:autoSpaceDN/>
              <w:bidi w:val="0"/>
              <w:adjustRightInd w:val="0"/>
              <w:snapToGrid w:val="0"/>
              <w:spacing w:after="0"/>
              <w:ind w:left="0" w:leftChars="0" w:firstLine="0" w:firstLineChars="0"/>
              <w:jc w:val="center"/>
              <w:textAlignment w:val="auto"/>
              <w:rPr>
                <w:rFonts w:hint="default" w:eastAsia="宋体"/>
                <w:color w:val="auto"/>
                <w:szCs w:val="21"/>
                <w:highlight w:val="none"/>
                <w:lang w:val="en-US" w:eastAsia="zh-CN"/>
              </w:rPr>
            </w:pPr>
            <w:r>
              <w:rPr>
                <w:color w:val="auto"/>
                <w:highlight w:val="none"/>
              </w:rPr>
              <w:drawing>
                <wp:inline distT="0" distB="0" distL="0" distR="0">
                  <wp:extent cx="4173855" cy="4668520"/>
                  <wp:effectExtent l="0" t="0" r="17145" b="177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4173855" cy="4668520"/>
                          </a:xfrm>
                          <a:prstGeom prst="rect">
                            <a:avLst/>
                          </a:prstGeom>
                        </pic:spPr>
                      </pic:pic>
                    </a:graphicData>
                  </a:graphic>
                </wp:inline>
              </w:drawing>
            </w:r>
          </w:p>
          <w:p w14:paraId="2E05B029">
            <w:pPr>
              <w:pStyle w:val="124"/>
              <w:keepNext w:val="0"/>
              <w:keepLines w:val="0"/>
              <w:pageBreakBefore w:val="0"/>
              <w:widowControl w:val="0"/>
              <w:numPr>
                <w:ilvl w:val="0"/>
                <w:numId w:val="5"/>
              </w:numPr>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lang w:eastAsia="zh-CN"/>
              </w:rPr>
              <w:t>长山口生活垃圾填埋场渗滤液</w:t>
            </w:r>
            <w:r>
              <w:rPr>
                <w:rFonts w:hint="eastAsia"/>
                <w:color w:val="auto"/>
                <w:sz w:val="21"/>
                <w:szCs w:val="21"/>
                <w:highlight w:val="none"/>
              </w:rPr>
              <w:t>污水处理站工艺流程图</w:t>
            </w:r>
          </w:p>
          <w:tbl>
            <w:tblPr>
              <w:tblStyle w:val="30"/>
              <w:tblW w:w="90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30"/>
              <w:gridCol w:w="4530"/>
            </w:tblGrid>
            <w:tr w14:paraId="178B5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88" w:hRule="atLeast"/>
              </w:trPr>
              <w:tc>
                <w:tcPr>
                  <w:tcW w:w="4530" w:type="dxa"/>
                </w:tcPr>
                <w:p w14:paraId="75D5C6EB">
                  <w:pPr>
                    <w:jc w:val="center"/>
                    <w:rPr>
                      <w:rFonts w:hint="eastAsia" w:eastAsia="黑体"/>
                      <w:b/>
                      <w:color w:val="auto"/>
                      <w:sz w:val="24"/>
                      <w:highlight w:val="none"/>
                      <w:lang w:eastAsia="zh-CN"/>
                    </w:rPr>
                  </w:pPr>
                  <w:r>
                    <w:rPr>
                      <w:rFonts w:hint="eastAsia" w:eastAsia="黑体"/>
                      <w:b/>
                      <w:color w:val="auto"/>
                      <w:sz w:val="24"/>
                      <w:highlight w:val="none"/>
                      <w:lang w:eastAsia="zh-CN"/>
                    </w:rPr>
                    <w:drawing>
                      <wp:inline distT="0" distB="0" distL="114300" distR="114300">
                        <wp:extent cx="2713990" cy="2035175"/>
                        <wp:effectExtent l="0" t="0" r="10160" b="3175"/>
                        <wp:docPr id="2" name="图片 2" descr="IMG_6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6898"/>
                                <pic:cNvPicPr>
                                  <a:picLocks noChangeAspect="1"/>
                                </pic:cNvPicPr>
                              </pic:nvPicPr>
                              <pic:blipFill>
                                <a:blip r:embed="rId18"/>
                                <a:stretch>
                                  <a:fillRect/>
                                </a:stretch>
                              </pic:blipFill>
                              <pic:spPr>
                                <a:xfrm>
                                  <a:off x="0" y="0"/>
                                  <a:ext cx="2713990" cy="2035175"/>
                                </a:xfrm>
                                <a:prstGeom prst="rect">
                                  <a:avLst/>
                                </a:prstGeom>
                              </pic:spPr>
                            </pic:pic>
                          </a:graphicData>
                        </a:graphic>
                      </wp:inline>
                    </w:drawing>
                  </w:r>
                </w:p>
              </w:tc>
              <w:tc>
                <w:tcPr>
                  <w:tcW w:w="4530" w:type="dxa"/>
                </w:tcPr>
                <w:p w14:paraId="0AC5742B">
                  <w:pPr>
                    <w:rPr>
                      <w:rFonts w:hint="eastAsia" w:eastAsia="黑体"/>
                      <w:b/>
                      <w:color w:val="auto"/>
                      <w:sz w:val="24"/>
                      <w:highlight w:val="none"/>
                      <w:lang w:eastAsia="zh-CN"/>
                    </w:rPr>
                  </w:pPr>
                  <w:r>
                    <w:rPr>
                      <w:rFonts w:hint="eastAsia" w:eastAsia="黑体"/>
                      <w:b/>
                      <w:color w:val="auto"/>
                      <w:sz w:val="24"/>
                      <w:highlight w:val="none"/>
                      <w:lang w:eastAsia="zh-CN"/>
                    </w:rPr>
                    <w:drawing>
                      <wp:inline distT="0" distB="0" distL="114300" distR="114300">
                        <wp:extent cx="2713990" cy="2035175"/>
                        <wp:effectExtent l="0" t="0" r="10160" b="3175"/>
                        <wp:docPr id="4" name="图片 4" descr="IMG_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6947"/>
                                <pic:cNvPicPr>
                                  <a:picLocks noChangeAspect="1"/>
                                </pic:cNvPicPr>
                              </pic:nvPicPr>
                              <pic:blipFill>
                                <a:blip r:embed="rId19"/>
                                <a:stretch>
                                  <a:fillRect/>
                                </a:stretch>
                              </pic:blipFill>
                              <pic:spPr>
                                <a:xfrm>
                                  <a:off x="0" y="0"/>
                                  <a:ext cx="2713990" cy="2035175"/>
                                </a:xfrm>
                                <a:prstGeom prst="rect">
                                  <a:avLst/>
                                </a:prstGeom>
                              </pic:spPr>
                            </pic:pic>
                          </a:graphicData>
                        </a:graphic>
                      </wp:inline>
                    </w:drawing>
                  </w:r>
                </w:p>
              </w:tc>
            </w:tr>
            <w:tr w14:paraId="6BE79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 w:hRule="atLeast"/>
              </w:trPr>
              <w:tc>
                <w:tcPr>
                  <w:tcW w:w="4530" w:type="dxa"/>
                </w:tcPr>
                <w:p w14:paraId="6EC1916C">
                  <w:pPr>
                    <w:jc w:val="center"/>
                    <w:rPr>
                      <w:rFonts w:hint="eastAsia" w:eastAsia="黑体"/>
                      <w:color w:val="auto"/>
                      <w:sz w:val="24"/>
                      <w:highlight w:val="none"/>
                      <w:lang w:eastAsia="zh-CN"/>
                    </w:rPr>
                  </w:pPr>
                  <w:r>
                    <w:rPr>
                      <w:rFonts w:hint="eastAsia" w:eastAsia="黑体"/>
                      <w:color w:val="auto"/>
                      <w:highlight w:val="none"/>
                      <w:lang w:eastAsia="zh-CN"/>
                    </w:rPr>
                    <w:t>厂区化粪</w:t>
                  </w:r>
                  <w:r>
                    <w:rPr>
                      <w:rFonts w:hint="eastAsia" w:eastAsia="黑体"/>
                      <w:color w:val="auto"/>
                      <w:highlight w:val="none"/>
                    </w:rPr>
                    <w:t>池</w:t>
                  </w:r>
                </w:p>
              </w:tc>
              <w:tc>
                <w:tcPr>
                  <w:tcW w:w="4530" w:type="dxa"/>
                </w:tcPr>
                <w:p w14:paraId="341290B6">
                  <w:pPr>
                    <w:jc w:val="center"/>
                    <w:rPr>
                      <w:rFonts w:eastAsia="黑体"/>
                      <w:b/>
                      <w:color w:val="auto"/>
                      <w:sz w:val="24"/>
                      <w:highlight w:val="none"/>
                    </w:rPr>
                  </w:pPr>
                  <w:r>
                    <w:rPr>
                      <w:rFonts w:hint="eastAsia" w:eastAsia="黑体"/>
                      <w:color w:val="auto"/>
                      <w:highlight w:val="none"/>
                      <w:lang w:eastAsia="zh-CN"/>
                    </w:rPr>
                    <w:t>长山口生活垃圾填埋场渗率液污水处理站（依托）</w:t>
                  </w:r>
                </w:p>
              </w:tc>
            </w:tr>
          </w:tbl>
          <w:p w14:paraId="653F2CC1">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rPr>
              <w:t>废水治理设施照片</w:t>
            </w:r>
          </w:p>
          <w:p w14:paraId="725C8735">
            <w:pPr>
              <w:adjustRightInd/>
              <w:snapToGrid/>
              <w:spacing w:line="360" w:lineRule="auto"/>
              <w:rPr>
                <w:rFonts w:hint="eastAsia" w:eastAsia="黑体"/>
                <w:bCs/>
                <w:color w:val="auto"/>
                <w:sz w:val="24"/>
                <w:szCs w:val="24"/>
                <w:highlight w:val="none"/>
              </w:rPr>
            </w:pPr>
          </w:p>
          <w:p w14:paraId="2C19C5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3.1.2废气</w:t>
            </w:r>
          </w:p>
          <w:p w14:paraId="0F35970A">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续建工程运营期主要废气为沼气燃烧废气和SCR脱硝反应中未参与反应的氨气。</w:t>
            </w:r>
          </w:p>
          <w:p w14:paraId="354404C8">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①沼气燃烧废气</w:t>
            </w:r>
          </w:p>
          <w:p w14:paraId="203B5737">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续建工程发电机组燃烧沼气会产生一定的废气，经SCR脱硝处理后经</w:t>
            </w:r>
            <w:r>
              <w:rPr>
                <w:rFonts w:hint="eastAsia" w:eastAsiaTheme="minorEastAsia"/>
                <w:color w:val="auto"/>
                <w:sz w:val="24"/>
                <w:highlight w:val="none"/>
                <w:lang w:val="en-US" w:eastAsia="zh-CN"/>
              </w:rPr>
              <w:t>6</w:t>
            </w:r>
            <w:r>
              <w:rPr>
                <w:rFonts w:hint="eastAsia" w:eastAsiaTheme="minorEastAsia"/>
                <w:color w:val="auto"/>
                <w:sz w:val="24"/>
                <w:highlight w:val="none"/>
                <w:lang w:eastAsia="zh-CN"/>
              </w:rPr>
              <w:t>根15m高的排气筒（DA00</w:t>
            </w:r>
            <w:r>
              <w:rPr>
                <w:rFonts w:hint="eastAsia" w:eastAsiaTheme="minorEastAsia"/>
                <w:color w:val="auto"/>
                <w:sz w:val="24"/>
                <w:highlight w:val="none"/>
                <w:lang w:val="en-US" w:eastAsia="zh-CN"/>
              </w:rPr>
              <w:t>5</w:t>
            </w:r>
            <w:r>
              <w:rPr>
                <w:rFonts w:hint="eastAsia" w:eastAsiaTheme="minorEastAsia"/>
                <w:color w:val="auto"/>
                <w:sz w:val="24"/>
                <w:highlight w:val="none"/>
                <w:lang w:eastAsia="zh-CN"/>
              </w:rPr>
              <w:t>~DA0</w:t>
            </w:r>
            <w:r>
              <w:rPr>
                <w:rFonts w:hint="eastAsia" w:eastAsiaTheme="minorEastAsia"/>
                <w:color w:val="auto"/>
                <w:sz w:val="24"/>
                <w:highlight w:val="none"/>
                <w:lang w:val="en-US" w:eastAsia="zh-CN"/>
              </w:rPr>
              <w:t>10</w:t>
            </w:r>
            <w:r>
              <w:rPr>
                <w:rFonts w:hint="eastAsia" w:eastAsiaTheme="minorEastAsia"/>
                <w:color w:val="auto"/>
                <w:sz w:val="24"/>
                <w:highlight w:val="none"/>
                <w:lang w:eastAsia="zh-CN"/>
              </w:rPr>
              <w:t>）排放，其收集效率为100%，氮氧化物处理效率取85%。</w:t>
            </w:r>
          </w:p>
          <w:p w14:paraId="033B956D">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●SCR脱硝工艺</w:t>
            </w:r>
          </w:p>
          <w:p w14:paraId="36C103C5">
            <w:pPr>
              <w:adjustRightInd/>
              <w:snapToGrid/>
              <w:spacing w:line="360" w:lineRule="auto"/>
              <w:ind w:firstLine="480" w:firstLineChars="200"/>
              <w:rPr>
                <w:rFonts w:hint="eastAsia" w:eastAsiaTheme="minorEastAsia"/>
                <w:color w:val="auto"/>
                <w:sz w:val="24"/>
                <w:highlight w:val="none"/>
                <w:lang w:val="en-US" w:eastAsia="zh-CN"/>
              </w:rPr>
            </w:pPr>
            <w:r>
              <w:rPr>
                <w:rFonts w:hint="eastAsia" w:eastAsiaTheme="minorEastAsia"/>
                <w:color w:val="auto"/>
                <w:sz w:val="24"/>
                <w:highlight w:val="none"/>
                <w:lang w:val="en-US" w:eastAsia="zh-CN"/>
              </w:rPr>
              <w:t>尿素溶液通过管道输送至绝热分解室内，被从分解室内经过的高温沼气燃烧废气间接加热雾化，分解为氨气和二氧化碳，分解产物分解产物通过布置在烟道中的网格状氨喷嘴均匀喷入SCR催化剂前的烟气管道，与经过的沼气燃烧烟气充分混合后，水平通过催化剂，在催化剂作用下烟气与氨气进行还原反应实现脱硝，脱硝后的烟气再经过SCR反应器的出口，最后经4根排气筒（DA005~DA010）排出。</w:t>
            </w:r>
          </w:p>
          <w:p w14:paraId="498938CD">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603240" cy="3267710"/>
                  <wp:effectExtent l="0" t="0" r="16510" b="8890"/>
                  <wp:docPr id="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descr="IMG_256"/>
                          <pic:cNvPicPr>
                            <a:picLocks noChangeAspect="1"/>
                          </pic:cNvPicPr>
                        </pic:nvPicPr>
                        <pic:blipFill>
                          <a:blip r:embed="rId20"/>
                          <a:stretch>
                            <a:fillRect/>
                          </a:stretch>
                        </pic:blipFill>
                        <pic:spPr>
                          <a:xfrm>
                            <a:off x="0" y="0"/>
                            <a:ext cx="5603240" cy="3267710"/>
                          </a:xfrm>
                          <a:prstGeom prst="rect">
                            <a:avLst/>
                          </a:prstGeom>
                          <a:noFill/>
                          <a:ln w="9525">
                            <a:noFill/>
                          </a:ln>
                        </pic:spPr>
                      </pic:pic>
                    </a:graphicData>
                  </a:graphic>
                </wp:inline>
              </w:drawing>
            </w:r>
          </w:p>
          <w:p w14:paraId="074A308C">
            <w:pPr>
              <w:pStyle w:val="124"/>
              <w:numPr>
                <w:ilvl w:val="0"/>
                <w:numId w:val="5"/>
              </w:numPr>
              <w:adjustRightInd/>
              <w:snapToGrid/>
              <w:spacing w:line="240" w:lineRule="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烟气脱硝系统工作原理图</w:t>
            </w:r>
          </w:p>
          <w:p w14:paraId="6500E303">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②逃逸的氨气（未参与反应）</w:t>
            </w:r>
          </w:p>
          <w:p w14:paraId="0FA2E9E7">
            <w:pPr>
              <w:adjustRightInd/>
              <w:snapToGrid/>
              <w:spacing w:line="360" w:lineRule="auto"/>
              <w:ind w:firstLine="480" w:firstLineChars="200"/>
              <w:rPr>
                <w:rFonts w:hint="eastAsia" w:eastAsiaTheme="minorEastAsia"/>
                <w:color w:val="auto"/>
                <w:sz w:val="24"/>
                <w:highlight w:val="none"/>
                <w:lang w:eastAsia="zh-CN"/>
              </w:rPr>
            </w:pPr>
            <w:r>
              <w:rPr>
                <w:rFonts w:hint="eastAsia" w:eastAsiaTheme="minorEastAsia"/>
                <w:color w:val="auto"/>
                <w:sz w:val="24"/>
                <w:highlight w:val="none"/>
                <w:lang w:eastAsia="zh-CN"/>
              </w:rPr>
              <w:t>SCR脱硝装置在运行时，会有一定的氨气未能参与脱硝反应，这部分属于逃逸的氨气，将随着沼气燃烧烟气一同经4根15m高的排气筒（DA00</w:t>
            </w:r>
            <w:r>
              <w:rPr>
                <w:rFonts w:hint="eastAsia" w:eastAsiaTheme="minorEastAsia"/>
                <w:color w:val="auto"/>
                <w:sz w:val="24"/>
                <w:highlight w:val="none"/>
                <w:lang w:val="en-US" w:eastAsia="zh-CN"/>
              </w:rPr>
              <w:t>5</w:t>
            </w:r>
            <w:r>
              <w:rPr>
                <w:rFonts w:hint="eastAsia" w:eastAsiaTheme="minorEastAsia"/>
                <w:color w:val="auto"/>
                <w:sz w:val="24"/>
                <w:highlight w:val="none"/>
                <w:lang w:eastAsia="zh-CN"/>
              </w:rPr>
              <w:t>~DA0</w:t>
            </w:r>
            <w:r>
              <w:rPr>
                <w:rFonts w:hint="eastAsia" w:eastAsiaTheme="minorEastAsia"/>
                <w:color w:val="auto"/>
                <w:sz w:val="24"/>
                <w:highlight w:val="none"/>
                <w:lang w:val="en-US" w:eastAsia="zh-CN"/>
              </w:rPr>
              <w:t>10</w:t>
            </w:r>
            <w:r>
              <w:rPr>
                <w:rFonts w:hint="eastAsia" w:eastAsiaTheme="minorEastAsia"/>
                <w:color w:val="auto"/>
                <w:sz w:val="24"/>
                <w:highlight w:val="none"/>
                <w:lang w:eastAsia="zh-CN"/>
              </w:rPr>
              <w:t>）排放。</w:t>
            </w:r>
          </w:p>
          <w:p w14:paraId="391E8F56">
            <w:pPr>
              <w:pStyle w:val="121"/>
              <w:adjustRightInd/>
              <w:snapToGrid/>
              <w:rPr>
                <w:color w:val="auto"/>
                <w:sz w:val="21"/>
                <w:highlight w:val="none"/>
              </w:rPr>
            </w:pPr>
            <w:r>
              <w:rPr>
                <w:rFonts w:hint="eastAsia"/>
                <w:color w:val="auto"/>
                <w:sz w:val="21"/>
                <w:highlight w:val="none"/>
                <w:lang w:eastAsia="zh-CN"/>
              </w:rPr>
              <w:t>续建工程</w:t>
            </w:r>
            <w:r>
              <w:rPr>
                <w:rFonts w:hint="eastAsia"/>
                <w:color w:val="auto"/>
                <w:sz w:val="21"/>
                <w:highlight w:val="none"/>
              </w:rPr>
              <w:t>生产废气情况一览表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519"/>
              <w:gridCol w:w="1240"/>
              <w:gridCol w:w="971"/>
              <w:gridCol w:w="2160"/>
              <w:gridCol w:w="1160"/>
              <w:gridCol w:w="900"/>
              <w:gridCol w:w="750"/>
              <w:gridCol w:w="705"/>
              <w:gridCol w:w="665"/>
            </w:tblGrid>
            <w:tr w14:paraId="52BE81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restart"/>
                  <w:shd w:val="clear" w:color="auto" w:fill="auto"/>
                  <w:vAlign w:val="center"/>
                </w:tcPr>
                <w:p w14:paraId="65F244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废气名称</w:t>
                  </w:r>
                </w:p>
              </w:tc>
              <w:tc>
                <w:tcPr>
                  <w:tcW w:w="1218" w:type="pct"/>
                  <w:gridSpan w:val="2"/>
                  <w:shd w:val="clear" w:color="auto" w:fill="auto"/>
                  <w:vAlign w:val="center"/>
                </w:tcPr>
                <w:p w14:paraId="3D9594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来源</w:t>
                  </w:r>
                </w:p>
              </w:tc>
              <w:tc>
                <w:tcPr>
                  <w:tcW w:w="1190" w:type="pct"/>
                  <w:vMerge w:val="restart"/>
                  <w:shd w:val="clear" w:color="auto" w:fill="auto"/>
                  <w:vAlign w:val="center"/>
                </w:tcPr>
                <w:p w14:paraId="2DD468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污染物种类</w:t>
                  </w:r>
                </w:p>
              </w:tc>
              <w:tc>
                <w:tcPr>
                  <w:tcW w:w="1135" w:type="pct"/>
                  <w:gridSpan w:val="2"/>
                  <w:shd w:val="clear" w:color="auto" w:fill="auto"/>
                  <w:vAlign w:val="center"/>
                </w:tcPr>
                <w:p w14:paraId="7D53FC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污染防治设施</w:t>
                  </w:r>
                </w:p>
              </w:tc>
              <w:tc>
                <w:tcPr>
                  <w:tcW w:w="413" w:type="pct"/>
                  <w:vMerge w:val="restart"/>
                  <w:shd w:val="clear" w:color="auto" w:fill="auto"/>
                  <w:vAlign w:val="center"/>
                </w:tcPr>
                <w:p w14:paraId="451B22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排气筒</w:t>
                  </w:r>
                </w:p>
                <w:p w14:paraId="539AF2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编号</w:t>
                  </w:r>
                </w:p>
              </w:tc>
              <w:tc>
                <w:tcPr>
                  <w:tcW w:w="388" w:type="pct"/>
                  <w:vMerge w:val="restart"/>
                  <w:shd w:val="clear" w:color="auto" w:fill="auto"/>
                  <w:vAlign w:val="center"/>
                </w:tcPr>
                <w:p w14:paraId="6322E2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排气筒</w:t>
                  </w:r>
                </w:p>
                <w:p w14:paraId="429F3A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高度</w:t>
                  </w:r>
                </w:p>
              </w:tc>
              <w:tc>
                <w:tcPr>
                  <w:tcW w:w="366" w:type="pct"/>
                  <w:vMerge w:val="restart"/>
                  <w:shd w:val="clear" w:color="auto" w:fill="auto"/>
                  <w:vAlign w:val="center"/>
                </w:tcPr>
                <w:p w14:paraId="040D7F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排放</w:t>
                  </w:r>
                </w:p>
                <w:p w14:paraId="794CB52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sz w:val="18"/>
                      <w:szCs w:val="18"/>
                      <w:highlight w:val="none"/>
                    </w:rPr>
                    <w:t>方式</w:t>
                  </w:r>
                </w:p>
              </w:tc>
            </w:tr>
            <w:tr w14:paraId="6A7B93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bottom w:val="single" w:color="auto" w:sz="12" w:space="0"/>
                  </w:tcBorders>
                  <w:shd w:val="clear" w:color="auto" w:fill="auto"/>
                  <w:vAlign w:val="center"/>
                </w:tcPr>
                <w:p w14:paraId="4784D3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highlight w:val="none"/>
                    </w:rPr>
                  </w:pPr>
                </w:p>
              </w:tc>
              <w:tc>
                <w:tcPr>
                  <w:tcW w:w="683" w:type="pct"/>
                  <w:tcBorders>
                    <w:bottom w:val="single" w:color="auto" w:sz="12" w:space="0"/>
                  </w:tcBorders>
                  <w:shd w:val="clear" w:color="auto" w:fill="auto"/>
                  <w:vAlign w:val="center"/>
                </w:tcPr>
                <w:p w14:paraId="709A7FB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r>
                    <w:rPr>
                      <w:rFonts w:hint="eastAsia"/>
                      <w:b/>
                      <w:bCs/>
                      <w:color w:val="auto"/>
                      <w:highlight w:val="none"/>
                    </w:rPr>
                    <w:t>设施名称</w:t>
                  </w:r>
                </w:p>
              </w:tc>
              <w:tc>
                <w:tcPr>
                  <w:tcW w:w="534" w:type="pct"/>
                  <w:tcBorders>
                    <w:bottom w:val="single" w:color="auto" w:sz="12" w:space="0"/>
                  </w:tcBorders>
                  <w:shd w:val="clear" w:color="auto" w:fill="auto"/>
                  <w:vAlign w:val="center"/>
                </w:tcPr>
                <w:p w14:paraId="2F647F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r>
                    <w:rPr>
                      <w:rFonts w:hint="eastAsia"/>
                      <w:b/>
                      <w:bCs/>
                      <w:color w:val="auto"/>
                      <w:highlight w:val="none"/>
                    </w:rPr>
                    <w:t>设施编号</w:t>
                  </w:r>
                </w:p>
              </w:tc>
              <w:tc>
                <w:tcPr>
                  <w:tcW w:w="1190" w:type="pct"/>
                  <w:vMerge w:val="continue"/>
                  <w:tcBorders>
                    <w:bottom w:val="single" w:color="auto" w:sz="12" w:space="0"/>
                  </w:tcBorders>
                  <w:shd w:val="clear" w:color="auto" w:fill="auto"/>
                  <w:vAlign w:val="center"/>
                </w:tcPr>
                <w:p w14:paraId="6E8E6B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p>
              </w:tc>
              <w:tc>
                <w:tcPr>
                  <w:tcW w:w="639" w:type="pct"/>
                  <w:tcBorders>
                    <w:bottom w:val="single" w:color="auto" w:sz="12" w:space="0"/>
                  </w:tcBorders>
                  <w:shd w:val="clear" w:color="auto" w:fill="auto"/>
                  <w:vAlign w:val="center"/>
                </w:tcPr>
                <w:p w14:paraId="6A6EFF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b/>
                      <w:bCs/>
                      <w:color w:val="auto"/>
                      <w:highlight w:val="none"/>
                      <w:lang w:eastAsia="zh-CN"/>
                    </w:rPr>
                  </w:pPr>
                  <w:r>
                    <w:rPr>
                      <w:rFonts w:hint="eastAsia"/>
                      <w:b/>
                      <w:bCs/>
                      <w:color w:val="auto"/>
                      <w:highlight w:val="none"/>
                    </w:rPr>
                    <w:t>设施名称</w:t>
                  </w:r>
                </w:p>
              </w:tc>
              <w:tc>
                <w:tcPr>
                  <w:tcW w:w="496" w:type="pct"/>
                  <w:tcBorders>
                    <w:bottom w:val="single" w:color="auto" w:sz="12" w:space="0"/>
                  </w:tcBorders>
                  <w:shd w:val="clear" w:color="auto" w:fill="auto"/>
                  <w:vAlign w:val="center"/>
                </w:tcPr>
                <w:p w14:paraId="0BA9F5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r>
                    <w:rPr>
                      <w:rFonts w:hint="eastAsia"/>
                      <w:b/>
                      <w:bCs/>
                      <w:color w:val="auto"/>
                      <w:highlight w:val="none"/>
                    </w:rPr>
                    <w:t>设施编号</w:t>
                  </w:r>
                </w:p>
              </w:tc>
              <w:tc>
                <w:tcPr>
                  <w:tcW w:w="413" w:type="pct"/>
                  <w:vMerge w:val="continue"/>
                  <w:tcBorders>
                    <w:bottom w:val="single" w:color="auto" w:sz="12" w:space="0"/>
                  </w:tcBorders>
                  <w:shd w:val="clear" w:color="auto" w:fill="auto"/>
                  <w:vAlign w:val="center"/>
                </w:tcPr>
                <w:p w14:paraId="2E2914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p>
              </w:tc>
              <w:tc>
                <w:tcPr>
                  <w:tcW w:w="388" w:type="pct"/>
                  <w:vMerge w:val="continue"/>
                  <w:tcBorders>
                    <w:bottom w:val="single" w:color="auto" w:sz="12" w:space="0"/>
                  </w:tcBorders>
                  <w:shd w:val="clear" w:color="auto" w:fill="auto"/>
                  <w:vAlign w:val="center"/>
                </w:tcPr>
                <w:p w14:paraId="45EEEF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p>
              </w:tc>
              <w:tc>
                <w:tcPr>
                  <w:tcW w:w="366" w:type="pct"/>
                  <w:vMerge w:val="continue"/>
                  <w:tcBorders>
                    <w:bottom w:val="single" w:color="auto" w:sz="12" w:space="0"/>
                  </w:tcBorders>
                  <w:shd w:val="clear" w:color="auto" w:fill="auto"/>
                  <w:vAlign w:val="center"/>
                </w:tcPr>
                <w:p w14:paraId="4F70B3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highlight w:val="none"/>
                    </w:rPr>
                  </w:pPr>
                </w:p>
              </w:tc>
            </w:tr>
            <w:tr w14:paraId="72F9E3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restart"/>
                  <w:tcBorders>
                    <w:top w:val="single" w:color="auto" w:sz="12" w:space="0"/>
                    <w:tl2br w:val="nil"/>
                    <w:tr2bl w:val="nil"/>
                  </w:tcBorders>
                  <w:shd w:val="clear" w:color="auto" w:fill="auto"/>
                  <w:vAlign w:val="center"/>
                </w:tcPr>
                <w:p w14:paraId="19BABD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沼气燃烧废气</w:t>
                  </w:r>
                </w:p>
              </w:tc>
              <w:tc>
                <w:tcPr>
                  <w:tcW w:w="683" w:type="pct"/>
                  <w:tcBorders>
                    <w:top w:val="single" w:color="auto" w:sz="12" w:space="0"/>
                    <w:tl2br w:val="nil"/>
                    <w:tr2bl w:val="nil"/>
                  </w:tcBorders>
                  <w:shd w:val="clear" w:color="auto" w:fill="auto"/>
                  <w:vAlign w:val="center"/>
                </w:tcPr>
                <w:p w14:paraId="10E893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9</w:t>
                  </w:r>
                  <w:r>
                    <w:rPr>
                      <w:rFonts w:hint="default" w:ascii="Times New Roman" w:hAnsi="Times New Roman" w:eastAsia="宋体" w:cs="Times New Roman"/>
                      <w:color w:val="auto"/>
                      <w:sz w:val="18"/>
                      <w:szCs w:val="18"/>
                      <w:highlight w:val="none"/>
                    </w:rPr>
                    <w:t>号发电机组</w:t>
                  </w:r>
                </w:p>
              </w:tc>
              <w:tc>
                <w:tcPr>
                  <w:tcW w:w="534" w:type="pct"/>
                  <w:tcBorders>
                    <w:top w:val="single" w:color="auto" w:sz="12" w:space="0"/>
                    <w:tl2br w:val="nil"/>
                    <w:tr2bl w:val="nil"/>
                  </w:tcBorders>
                  <w:shd w:val="clear" w:color="auto" w:fill="auto"/>
                  <w:vAlign w:val="center"/>
                </w:tcPr>
                <w:p w14:paraId="04C0F41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MF001</w:t>
                  </w:r>
                  <w:r>
                    <w:rPr>
                      <w:rFonts w:hint="eastAsia" w:cs="Times New Roman"/>
                      <w:color w:val="auto"/>
                      <w:sz w:val="18"/>
                      <w:szCs w:val="18"/>
                      <w:highlight w:val="none"/>
                      <w:lang w:val="en-US" w:eastAsia="zh-CN"/>
                    </w:rPr>
                    <w:t>6</w:t>
                  </w:r>
                </w:p>
              </w:tc>
              <w:tc>
                <w:tcPr>
                  <w:tcW w:w="1190" w:type="pct"/>
                  <w:tcBorders>
                    <w:top w:val="single" w:color="auto" w:sz="12" w:space="0"/>
                    <w:tl2br w:val="nil"/>
                    <w:tr2bl w:val="nil"/>
                  </w:tcBorders>
                  <w:shd w:val="clear" w:color="auto" w:fill="auto"/>
                  <w:vAlign w:val="center"/>
                </w:tcPr>
                <w:p w14:paraId="2A3E10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op w:val="single" w:color="auto" w:sz="12" w:space="0"/>
                    <w:tl2br w:val="nil"/>
                    <w:tr2bl w:val="nil"/>
                  </w:tcBorders>
                  <w:shd w:val="clear" w:color="auto" w:fill="auto"/>
                  <w:vAlign w:val="center"/>
                </w:tcPr>
                <w:p w14:paraId="68CA18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5</w:t>
                  </w:r>
                  <w:r>
                    <w:rPr>
                      <w:rFonts w:hint="eastAsia" w:ascii="Times New Roman" w:hAnsi="Times New Roman" w:eastAsia="宋体" w:cs="Times New Roman"/>
                      <w:color w:val="auto"/>
                      <w:sz w:val="18"/>
                      <w:szCs w:val="18"/>
                      <w:highlight w:val="none"/>
                      <w:lang w:val="en-US" w:eastAsia="zh-CN"/>
                    </w:rPr>
                    <w:t>#</w:t>
                  </w:r>
                  <w:r>
                    <w:rPr>
                      <w:rFonts w:hint="default" w:ascii="Times New Roman" w:hAnsi="Times New Roman" w:eastAsia="宋体" w:cs="Times New Roman"/>
                      <w:color w:val="auto"/>
                      <w:sz w:val="18"/>
                      <w:szCs w:val="18"/>
                      <w:highlight w:val="none"/>
                    </w:rPr>
                    <w:t>SCR脱硝</w:t>
                  </w:r>
                </w:p>
              </w:tc>
              <w:tc>
                <w:tcPr>
                  <w:tcW w:w="496" w:type="pct"/>
                  <w:tcBorders>
                    <w:top w:val="single" w:color="auto" w:sz="12" w:space="0"/>
                    <w:tl2br w:val="nil"/>
                    <w:tr2bl w:val="nil"/>
                  </w:tcBorders>
                  <w:shd w:val="clear" w:color="auto" w:fill="auto"/>
                  <w:vAlign w:val="center"/>
                </w:tcPr>
                <w:p w14:paraId="124CF7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TA00</w:t>
                  </w:r>
                  <w:r>
                    <w:rPr>
                      <w:rFonts w:hint="eastAsia" w:cs="Times New Roman"/>
                      <w:color w:val="auto"/>
                      <w:sz w:val="18"/>
                      <w:szCs w:val="18"/>
                      <w:highlight w:val="none"/>
                      <w:lang w:val="en-US" w:eastAsia="zh-CN"/>
                    </w:rPr>
                    <w:t>5</w:t>
                  </w:r>
                </w:p>
              </w:tc>
              <w:tc>
                <w:tcPr>
                  <w:tcW w:w="413" w:type="pct"/>
                  <w:tcBorders>
                    <w:top w:val="single" w:color="auto" w:sz="12" w:space="0"/>
                    <w:tl2br w:val="nil"/>
                    <w:tr2bl w:val="nil"/>
                  </w:tcBorders>
                  <w:shd w:val="clear" w:color="auto" w:fill="auto"/>
                  <w:vAlign w:val="center"/>
                </w:tcPr>
                <w:p w14:paraId="74D9C5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5</w:t>
                  </w:r>
                </w:p>
              </w:tc>
              <w:tc>
                <w:tcPr>
                  <w:tcW w:w="388" w:type="pct"/>
                  <w:tcBorders>
                    <w:top w:val="single" w:color="auto" w:sz="12" w:space="0"/>
                    <w:tl2br w:val="nil"/>
                    <w:tr2bl w:val="nil"/>
                  </w:tcBorders>
                  <w:shd w:val="clear" w:color="auto" w:fill="auto"/>
                  <w:vAlign w:val="center"/>
                </w:tcPr>
                <w:p w14:paraId="597EDD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15m</w:t>
                  </w:r>
                </w:p>
              </w:tc>
              <w:tc>
                <w:tcPr>
                  <w:tcW w:w="366" w:type="pct"/>
                  <w:vMerge w:val="restart"/>
                  <w:tcBorders>
                    <w:top w:val="single" w:color="auto" w:sz="12" w:space="0"/>
                    <w:tl2br w:val="nil"/>
                    <w:tr2bl w:val="nil"/>
                  </w:tcBorders>
                  <w:shd w:val="clear" w:color="auto" w:fill="auto"/>
                  <w:vAlign w:val="center"/>
                </w:tcPr>
                <w:p w14:paraId="4FFAB52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有组织</w:t>
                  </w:r>
                </w:p>
              </w:tc>
            </w:tr>
            <w:tr w14:paraId="1804CB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tl2br w:val="nil"/>
                    <w:tr2bl w:val="nil"/>
                  </w:tcBorders>
                  <w:shd w:val="clear" w:color="auto" w:fill="auto"/>
                  <w:vAlign w:val="center"/>
                </w:tcPr>
                <w:p w14:paraId="4B2CA5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683" w:type="pct"/>
                  <w:tcBorders>
                    <w:tl2br w:val="nil"/>
                    <w:tr2bl w:val="nil"/>
                  </w:tcBorders>
                  <w:shd w:val="clear" w:color="auto" w:fill="auto"/>
                  <w:vAlign w:val="center"/>
                </w:tcPr>
                <w:p w14:paraId="3D016A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10</w:t>
                  </w:r>
                  <w:r>
                    <w:rPr>
                      <w:rFonts w:hint="default" w:ascii="Times New Roman" w:hAnsi="Times New Roman" w:eastAsia="宋体" w:cs="Times New Roman"/>
                      <w:color w:val="auto"/>
                      <w:sz w:val="18"/>
                      <w:szCs w:val="18"/>
                      <w:highlight w:val="none"/>
                    </w:rPr>
                    <w:t>号发电机组</w:t>
                  </w:r>
                </w:p>
              </w:tc>
              <w:tc>
                <w:tcPr>
                  <w:tcW w:w="534" w:type="pct"/>
                  <w:tcBorders>
                    <w:tl2br w:val="nil"/>
                    <w:tr2bl w:val="nil"/>
                  </w:tcBorders>
                  <w:shd w:val="clear" w:color="auto" w:fill="auto"/>
                  <w:vAlign w:val="center"/>
                </w:tcPr>
                <w:p w14:paraId="01AB23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MF00</w:t>
                  </w:r>
                  <w:r>
                    <w:rPr>
                      <w:rFonts w:hint="eastAsia" w:cs="Times New Roman"/>
                      <w:color w:val="auto"/>
                      <w:sz w:val="18"/>
                      <w:szCs w:val="18"/>
                      <w:highlight w:val="none"/>
                      <w:lang w:val="en-US" w:eastAsia="zh-CN"/>
                    </w:rPr>
                    <w:t>17</w:t>
                  </w:r>
                </w:p>
              </w:tc>
              <w:tc>
                <w:tcPr>
                  <w:tcW w:w="1190" w:type="pct"/>
                  <w:tcBorders>
                    <w:tl2br w:val="nil"/>
                    <w:tr2bl w:val="nil"/>
                  </w:tcBorders>
                  <w:shd w:val="clear" w:color="auto" w:fill="auto"/>
                  <w:vAlign w:val="center"/>
                </w:tcPr>
                <w:p w14:paraId="58A7DF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l2br w:val="nil"/>
                    <w:tr2bl w:val="nil"/>
                  </w:tcBorders>
                  <w:shd w:val="clear" w:color="auto" w:fill="auto"/>
                  <w:vAlign w:val="center"/>
                </w:tcPr>
                <w:p w14:paraId="23BB39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eastAsia" w:cs="Times New Roman"/>
                      <w:color w:val="auto"/>
                      <w:sz w:val="18"/>
                      <w:szCs w:val="18"/>
                      <w:highlight w:val="none"/>
                      <w:lang w:val="en-US" w:eastAsia="zh-CN"/>
                    </w:rPr>
                    <w:t>6</w:t>
                  </w:r>
                  <w:r>
                    <w:rPr>
                      <w:rFonts w:hint="eastAsia" w:ascii="Times New Roman" w:hAnsi="Times New Roman" w:eastAsia="宋体" w:cs="Times New Roman"/>
                      <w:color w:val="auto"/>
                      <w:sz w:val="18"/>
                      <w:szCs w:val="18"/>
                      <w:highlight w:val="none"/>
                      <w:lang w:val="en-US" w:eastAsia="zh-CN"/>
                    </w:rPr>
                    <w:t>#</w:t>
                  </w:r>
                  <w:r>
                    <w:rPr>
                      <w:rFonts w:hint="default" w:ascii="Times New Roman" w:hAnsi="Times New Roman" w:eastAsia="宋体" w:cs="Times New Roman"/>
                      <w:color w:val="auto"/>
                      <w:sz w:val="18"/>
                      <w:szCs w:val="18"/>
                      <w:highlight w:val="none"/>
                    </w:rPr>
                    <w:t>SCR脱硝</w:t>
                  </w:r>
                </w:p>
              </w:tc>
              <w:tc>
                <w:tcPr>
                  <w:tcW w:w="496" w:type="pct"/>
                  <w:tcBorders>
                    <w:tl2br w:val="nil"/>
                    <w:tr2bl w:val="nil"/>
                  </w:tcBorders>
                  <w:shd w:val="clear" w:color="auto" w:fill="auto"/>
                  <w:vAlign w:val="center"/>
                </w:tcPr>
                <w:p w14:paraId="3A1380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TA00</w:t>
                  </w:r>
                  <w:r>
                    <w:rPr>
                      <w:rFonts w:hint="eastAsia" w:cs="Times New Roman"/>
                      <w:color w:val="auto"/>
                      <w:sz w:val="18"/>
                      <w:szCs w:val="18"/>
                      <w:highlight w:val="none"/>
                      <w:lang w:val="en-US" w:eastAsia="zh-CN"/>
                    </w:rPr>
                    <w:t>6</w:t>
                  </w:r>
                </w:p>
              </w:tc>
              <w:tc>
                <w:tcPr>
                  <w:tcW w:w="413" w:type="pct"/>
                  <w:tcBorders>
                    <w:tl2br w:val="nil"/>
                    <w:tr2bl w:val="nil"/>
                  </w:tcBorders>
                  <w:shd w:val="clear" w:color="auto" w:fill="auto"/>
                  <w:vAlign w:val="center"/>
                </w:tcPr>
                <w:p w14:paraId="6C4AEB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6</w:t>
                  </w:r>
                </w:p>
              </w:tc>
              <w:tc>
                <w:tcPr>
                  <w:tcW w:w="388" w:type="pct"/>
                  <w:tcBorders>
                    <w:tl2br w:val="nil"/>
                    <w:tr2bl w:val="nil"/>
                  </w:tcBorders>
                  <w:shd w:val="clear" w:color="auto" w:fill="auto"/>
                  <w:vAlign w:val="center"/>
                </w:tcPr>
                <w:p w14:paraId="0E8982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15m</w:t>
                  </w:r>
                </w:p>
              </w:tc>
              <w:tc>
                <w:tcPr>
                  <w:tcW w:w="366" w:type="pct"/>
                  <w:vMerge w:val="continue"/>
                  <w:tcBorders>
                    <w:tl2br w:val="nil"/>
                    <w:tr2bl w:val="nil"/>
                  </w:tcBorders>
                  <w:shd w:val="clear" w:color="auto" w:fill="auto"/>
                  <w:vAlign w:val="center"/>
                </w:tcPr>
                <w:p w14:paraId="73815F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p>
              </w:tc>
            </w:tr>
            <w:tr w14:paraId="78E736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tl2br w:val="nil"/>
                    <w:tr2bl w:val="nil"/>
                  </w:tcBorders>
                  <w:shd w:val="clear" w:color="auto" w:fill="auto"/>
                  <w:vAlign w:val="center"/>
                </w:tcPr>
                <w:p w14:paraId="7898AA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683" w:type="pct"/>
                  <w:tcBorders>
                    <w:tl2br w:val="nil"/>
                    <w:tr2bl w:val="nil"/>
                  </w:tcBorders>
                  <w:shd w:val="clear" w:color="auto" w:fill="auto"/>
                  <w:vAlign w:val="center"/>
                </w:tcPr>
                <w:p w14:paraId="2922A5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val="en-US" w:eastAsia="zh-CN"/>
                    </w:rPr>
                    <w:t>11</w:t>
                  </w:r>
                  <w:r>
                    <w:rPr>
                      <w:rFonts w:hint="default" w:ascii="Times New Roman" w:hAnsi="Times New Roman" w:eastAsia="宋体" w:cs="Times New Roman"/>
                      <w:color w:val="auto"/>
                      <w:sz w:val="18"/>
                      <w:szCs w:val="18"/>
                      <w:highlight w:val="none"/>
                    </w:rPr>
                    <w:t>号发电机组</w:t>
                  </w:r>
                </w:p>
              </w:tc>
              <w:tc>
                <w:tcPr>
                  <w:tcW w:w="534" w:type="pct"/>
                  <w:tcBorders>
                    <w:tl2br w:val="nil"/>
                    <w:tr2bl w:val="nil"/>
                  </w:tcBorders>
                  <w:shd w:val="clear" w:color="auto" w:fill="auto"/>
                  <w:vAlign w:val="center"/>
                </w:tcPr>
                <w:p w14:paraId="022446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MF00</w:t>
                  </w:r>
                  <w:r>
                    <w:rPr>
                      <w:rFonts w:hint="eastAsia" w:cs="Times New Roman"/>
                      <w:color w:val="auto"/>
                      <w:sz w:val="18"/>
                      <w:szCs w:val="18"/>
                      <w:highlight w:val="none"/>
                      <w:lang w:val="en-US" w:eastAsia="zh-CN"/>
                    </w:rPr>
                    <w:t>18</w:t>
                  </w:r>
                </w:p>
              </w:tc>
              <w:tc>
                <w:tcPr>
                  <w:tcW w:w="1190" w:type="pct"/>
                  <w:tcBorders>
                    <w:tl2br w:val="nil"/>
                    <w:tr2bl w:val="nil"/>
                  </w:tcBorders>
                  <w:shd w:val="clear" w:color="auto" w:fill="auto"/>
                  <w:vAlign w:val="center"/>
                </w:tcPr>
                <w:p w14:paraId="50C30F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l2br w:val="nil"/>
                    <w:tr2bl w:val="nil"/>
                  </w:tcBorders>
                  <w:shd w:val="clear" w:color="auto" w:fill="auto"/>
                  <w:vAlign w:val="center"/>
                </w:tcPr>
                <w:p w14:paraId="1B9460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eastAsia" w:cs="Times New Roman"/>
                      <w:color w:val="auto"/>
                      <w:sz w:val="18"/>
                      <w:szCs w:val="18"/>
                      <w:highlight w:val="none"/>
                      <w:lang w:val="en-US" w:eastAsia="zh-CN"/>
                    </w:rPr>
                    <w:t>7</w:t>
                  </w:r>
                  <w:r>
                    <w:rPr>
                      <w:rFonts w:hint="eastAsia" w:ascii="Times New Roman" w:hAnsi="Times New Roman" w:eastAsia="宋体" w:cs="Times New Roman"/>
                      <w:color w:val="auto"/>
                      <w:sz w:val="18"/>
                      <w:szCs w:val="18"/>
                      <w:highlight w:val="none"/>
                      <w:lang w:val="en-US" w:eastAsia="zh-CN"/>
                    </w:rPr>
                    <w:t>#</w:t>
                  </w:r>
                  <w:r>
                    <w:rPr>
                      <w:rFonts w:hint="default" w:ascii="Times New Roman" w:hAnsi="Times New Roman" w:eastAsia="宋体" w:cs="Times New Roman"/>
                      <w:color w:val="auto"/>
                      <w:sz w:val="18"/>
                      <w:szCs w:val="18"/>
                      <w:highlight w:val="none"/>
                    </w:rPr>
                    <w:t>SCR脱硝</w:t>
                  </w:r>
                </w:p>
              </w:tc>
              <w:tc>
                <w:tcPr>
                  <w:tcW w:w="496" w:type="pct"/>
                  <w:tcBorders>
                    <w:tl2br w:val="nil"/>
                    <w:tr2bl w:val="nil"/>
                  </w:tcBorders>
                  <w:shd w:val="clear" w:color="auto" w:fill="auto"/>
                  <w:vAlign w:val="center"/>
                </w:tcPr>
                <w:p w14:paraId="0FC044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TA00</w:t>
                  </w:r>
                  <w:r>
                    <w:rPr>
                      <w:rFonts w:hint="eastAsia" w:cs="Times New Roman"/>
                      <w:color w:val="auto"/>
                      <w:sz w:val="18"/>
                      <w:szCs w:val="18"/>
                      <w:highlight w:val="none"/>
                      <w:lang w:val="en-US" w:eastAsia="zh-CN"/>
                    </w:rPr>
                    <w:t>7</w:t>
                  </w:r>
                </w:p>
              </w:tc>
              <w:tc>
                <w:tcPr>
                  <w:tcW w:w="413" w:type="pct"/>
                  <w:tcBorders>
                    <w:tl2br w:val="nil"/>
                    <w:tr2bl w:val="nil"/>
                  </w:tcBorders>
                  <w:shd w:val="clear" w:color="auto" w:fill="auto"/>
                  <w:vAlign w:val="center"/>
                </w:tcPr>
                <w:p w14:paraId="6F4A92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7</w:t>
                  </w:r>
                </w:p>
              </w:tc>
              <w:tc>
                <w:tcPr>
                  <w:tcW w:w="388" w:type="pct"/>
                  <w:tcBorders>
                    <w:tl2br w:val="nil"/>
                    <w:tr2bl w:val="nil"/>
                  </w:tcBorders>
                  <w:shd w:val="clear" w:color="auto" w:fill="auto"/>
                  <w:vAlign w:val="center"/>
                </w:tcPr>
                <w:p w14:paraId="2377CD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15m</w:t>
                  </w:r>
                </w:p>
              </w:tc>
              <w:tc>
                <w:tcPr>
                  <w:tcW w:w="366" w:type="pct"/>
                  <w:vMerge w:val="continue"/>
                  <w:tcBorders>
                    <w:tl2br w:val="nil"/>
                    <w:tr2bl w:val="nil"/>
                  </w:tcBorders>
                  <w:shd w:val="clear" w:color="auto" w:fill="auto"/>
                  <w:vAlign w:val="center"/>
                </w:tcPr>
                <w:p w14:paraId="612F32D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p>
              </w:tc>
            </w:tr>
            <w:tr w14:paraId="69D313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tl2br w:val="nil"/>
                    <w:tr2bl w:val="nil"/>
                  </w:tcBorders>
                  <w:shd w:val="clear" w:color="auto" w:fill="auto"/>
                  <w:vAlign w:val="center"/>
                </w:tcPr>
                <w:p w14:paraId="7B0D74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683" w:type="pct"/>
                  <w:tcBorders>
                    <w:tl2br w:val="nil"/>
                    <w:tr2bl w:val="nil"/>
                  </w:tcBorders>
                  <w:shd w:val="clear" w:color="auto" w:fill="auto"/>
                  <w:vAlign w:val="center"/>
                </w:tcPr>
                <w:p w14:paraId="0707FF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号发电机组</w:t>
                  </w:r>
                </w:p>
              </w:tc>
              <w:tc>
                <w:tcPr>
                  <w:tcW w:w="534" w:type="pct"/>
                  <w:tcBorders>
                    <w:tl2br w:val="nil"/>
                    <w:tr2bl w:val="nil"/>
                  </w:tcBorders>
                  <w:shd w:val="clear" w:color="auto" w:fill="auto"/>
                  <w:vAlign w:val="center"/>
                </w:tcPr>
                <w:p w14:paraId="335DF8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MF00</w:t>
                  </w:r>
                  <w:r>
                    <w:rPr>
                      <w:rFonts w:hint="eastAsia" w:cs="Times New Roman"/>
                      <w:color w:val="auto"/>
                      <w:sz w:val="18"/>
                      <w:szCs w:val="18"/>
                      <w:highlight w:val="none"/>
                      <w:lang w:val="en-US" w:eastAsia="zh-CN"/>
                    </w:rPr>
                    <w:t>19</w:t>
                  </w:r>
                </w:p>
              </w:tc>
              <w:tc>
                <w:tcPr>
                  <w:tcW w:w="1190" w:type="pct"/>
                  <w:tcBorders>
                    <w:tl2br w:val="nil"/>
                    <w:tr2bl w:val="nil"/>
                  </w:tcBorders>
                  <w:shd w:val="clear" w:color="auto" w:fill="auto"/>
                  <w:vAlign w:val="center"/>
                </w:tcPr>
                <w:p w14:paraId="6A4AD8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l2br w:val="nil"/>
                    <w:tr2bl w:val="nil"/>
                  </w:tcBorders>
                  <w:shd w:val="clear" w:color="auto" w:fill="auto"/>
                  <w:vAlign w:val="center"/>
                </w:tcPr>
                <w:p w14:paraId="1A2CC8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eastAsia" w:cs="Times New Roman"/>
                      <w:color w:val="auto"/>
                      <w:sz w:val="18"/>
                      <w:szCs w:val="18"/>
                      <w:highlight w:val="none"/>
                      <w:lang w:val="en-US" w:eastAsia="zh-CN"/>
                    </w:rPr>
                    <w:t>8</w:t>
                  </w:r>
                  <w:r>
                    <w:rPr>
                      <w:rFonts w:hint="eastAsia" w:ascii="Times New Roman" w:hAnsi="Times New Roman" w:eastAsia="宋体" w:cs="Times New Roman"/>
                      <w:color w:val="auto"/>
                      <w:sz w:val="18"/>
                      <w:szCs w:val="18"/>
                      <w:highlight w:val="none"/>
                      <w:lang w:val="en-US" w:eastAsia="zh-CN"/>
                    </w:rPr>
                    <w:t>#</w:t>
                  </w:r>
                  <w:r>
                    <w:rPr>
                      <w:rFonts w:hint="default" w:ascii="Times New Roman" w:hAnsi="Times New Roman" w:eastAsia="宋体" w:cs="Times New Roman"/>
                      <w:color w:val="auto"/>
                      <w:sz w:val="18"/>
                      <w:szCs w:val="18"/>
                      <w:highlight w:val="none"/>
                    </w:rPr>
                    <w:t>SCR脱硝</w:t>
                  </w:r>
                </w:p>
              </w:tc>
              <w:tc>
                <w:tcPr>
                  <w:tcW w:w="496" w:type="pct"/>
                  <w:tcBorders>
                    <w:tl2br w:val="nil"/>
                    <w:tr2bl w:val="nil"/>
                  </w:tcBorders>
                  <w:shd w:val="clear" w:color="auto" w:fill="auto"/>
                  <w:vAlign w:val="center"/>
                </w:tcPr>
                <w:p w14:paraId="1FD9DD4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TA00</w:t>
                  </w:r>
                  <w:r>
                    <w:rPr>
                      <w:rFonts w:hint="eastAsia" w:cs="Times New Roman"/>
                      <w:color w:val="auto"/>
                      <w:sz w:val="18"/>
                      <w:szCs w:val="18"/>
                      <w:highlight w:val="none"/>
                      <w:lang w:val="en-US" w:eastAsia="zh-CN"/>
                    </w:rPr>
                    <w:t>8</w:t>
                  </w:r>
                </w:p>
              </w:tc>
              <w:tc>
                <w:tcPr>
                  <w:tcW w:w="413" w:type="pct"/>
                  <w:tcBorders>
                    <w:tl2br w:val="nil"/>
                    <w:tr2bl w:val="nil"/>
                  </w:tcBorders>
                  <w:shd w:val="clear" w:color="auto" w:fill="auto"/>
                  <w:vAlign w:val="center"/>
                </w:tcPr>
                <w:p w14:paraId="173235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8</w:t>
                  </w:r>
                </w:p>
              </w:tc>
              <w:tc>
                <w:tcPr>
                  <w:tcW w:w="388" w:type="pct"/>
                  <w:tcBorders>
                    <w:tl2br w:val="nil"/>
                    <w:tr2bl w:val="nil"/>
                  </w:tcBorders>
                  <w:shd w:val="clear" w:color="auto" w:fill="auto"/>
                  <w:vAlign w:val="center"/>
                </w:tcPr>
                <w:p w14:paraId="6A590D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lang w:val="en-US" w:eastAsia="zh-CN"/>
                    </w:rPr>
                  </w:pPr>
                  <w:r>
                    <w:rPr>
                      <w:rFonts w:hint="eastAsia" w:cs="Times New Roman"/>
                      <w:color w:val="auto"/>
                      <w:sz w:val="18"/>
                      <w:szCs w:val="18"/>
                      <w:highlight w:val="none"/>
                      <w:lang w:val="en-US" w:eastAsia="zh-CN"/>
                    </w:rPr>
                    <w:t>15m</w:t>
                  </w:r>
                </w:p>
              </w:tc>
              <w:tc>
                <w:tcPr>
                  <w:tcW w:w="366" w:type="pct"/>
                  <w:vMerge w:val="continue"/>
                  <w:tcBorders>
                    <w:tl2br w:val="nil"/>
                    <w:tr2bl w:val="nil"/>
                  </w:tcBorders>
                  <w:shd w:val="clear" w:color="auto" w:fill="auto"/>
                  <w:vAlign w:val="center"/>
                </w:tcPr>
                <w:p w14:paraId="77FF2C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p>
              </w:tc>
            </w:tr>
            <w:tr w14:paraId="6EB8B9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tl2br w:val="nil"/>
                    <w:tr2bl w:val="nil"/>
                  </w:tcBorders>
                  <w:shd w:val="clear" w:color="auto" w:fill="auto"/>
                  <w:vAlign w:val="center"/>
                </w:tcPr>
                <w:p w14:paraId="29CE1A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683" w:type="pct"/>
                  <w:tcBorders>
                    <w:tl2br w:val="nil"/>
                    <w:tr2bl w:val="nil"/>
                  </w:tcBorders>
                  <w:shd w:val="clear" w:color="auto" w:fill="auto"/>
                  <w:vAlign w:val="center"/>
                </w:tcPr>
                <w:p w14:paraId="5E76D4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13</w:t>
                  </w:r>
                  <w:r>
                    <w:rPr>
                      <w:rFonts w:hint="default" w:ascii="Times New Roman" w:hAnsi="Times New Roman" w:eastAsia="宋体" w:cs="Times New Roman"/>
                      <w:color w:val="auto"/>
                      <w:sz w:val="18"/>
                      <w:szCs w:val="18"/>
                      <w:highlight w:val="none"/>
                    </w:rPr>
                    <w:t>号发电机组</w:t>
                  </w:r>
                </w:p>
              </w:tc>
              <w:tc>
                <w:tcPr>
                  <w:tcW w:w="534" w:type="pct"/>
                  <w:tcBorders>
                    <w:tl2br w:val="nil"/>
                    <w:tr2bl w:val="nil"/>
                  </w:tcBorders>
                  <w:shd w:val="clear" w:color="auto" w:fill="auto"/>
                  <w:vAlign w:val="center"/>
                </w:tcPr>
                <w:p w14:paraId="3516EA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MF0020</w:t>
                  </w:r>
                </w:p>
              </w:tc>
              <w:tc>
                <w:tcPr>
                  <w:tcW w:w="1190" w:type="pct"/>
                  <w:tcBorders>
                    <w:tl2br w:val="nil"/>
                    <w:tr2bl w:val="nil"/>
                  </w:tcBorders>
                  <w:shd w:val="clear" w:color="auto" w:fill="auto"/>
                  <w:vAlign w:val="center"/>
                </w:tcPr>
                <w:p w14:paraId="2E54B3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l2br w:val="nil"/>
                    <w:tr2bl w:val="nil"/>
                  </w:tcBorders>
                  <w:shd w:val="clear" w:color="auto" w:fill="auto"/>
                  <w:vAlign w:val="center"/>
                </w:tcPr>
                <w:p w14:paraId="7BB98B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9#</w:t>
                  </w:r>
                  <w:r>
                    <w:rPr>
                      <w:rFonts w:hint="default" w:ascii="Times New Roman" w:hAnsi="Times New Roman" w:eastAsia="宋体" w:cs="Times New Roman"/>
                      <w:color w:val="auto"/>
                      <w:sz w:val="18"/>
                      <w:szCs w:val="18"/>
                      <w:highlight w:val="none"/>
                    </w:rPr>
                    <w:t>SCR脱硝</w:t>
                  </w:r>
                </w:p>
              </w:tc>
              <w:tc>
                <w:tcPr>
                  <w:tcW w:w="496" w:type="pct"/>
                  <w:tcBorders>
                    <w:tl2br w:val="nil"/>
                    <w:tr2bl w:val="nil"/>
                  </w:tcBorders>
                  <w:shd w:val="clear" w:color="auto" w:fill="auto"/>
                  <w:vAlign w:val="center"/>
                </w:tcPr>
                <w:p w14:paraId="45F7E4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TA009</w:t>
                  </w:r>
                </w:p>
              </w:tc>
              <w:tc>
                <w:tcPr>
                  <w:tcW w:w="413" w:type="pct"/>
                  <w:tcBorders>
                    <w:tl2br w:val="nil"/>
                    <w:tr2bl w:val="nil"/>
                  </w:tcBorders>
                  <w:shd w:val="clear" w:color="auto" w:fill="auto"/>
                  <w:vAlign w:val="center"/>
                </w:tcPr>
                <w:p w14:paraId="377BE6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DA00</w:t>
                  </w:r>
                  <w:r>
                    <w:rPr>
                      <w:rFonts w:hint="eastAsia" w:ascii="Times New Roman" w:hAnsi="Times New Roman" w:eastAsia="宋体" w:cs="Times New Roman"/>
                      <w:color w:val="auto"/>
                      <w:sz w:val="18"/>
                      <w:szCs w:val="18"/>
                      <w:highlight w:val="none"/>
                      <w:lang w:val="en-US" w:eastAsia="zh-CN"/>
                    </w:rPr>
                    <w:t>9</w:t>
                  </w:r>
                </w:p>
              </w:tc>
              <w:tc>
                <w:tcPr>
                  <w:tcW w:w="388" w:type="pct"/>
                  <w:tcBorders>
                    <w:tl2br w:val="nil"/>
                    <w:tr2bl w:val="nil"/>
                  </w:tcBorders>
                  <w:shd w:val="clear" w:color="auto" w:fill="auto"/>
                  <w:vAlign w:val="center"/>
                </w:tcPr>
                <w:p w14:paraId="73FBCC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kern w:val="2"/>
                      <w:sz w:val="18"/>
                      <w:szCs w:val="18"/>
                      <w:lang w:val="en-US" w:eastAsia="zh-CN" w:bidi="ar-SA"/>
                    </w:rPr>
                  </w:pPr>
                  <w:r>
                    <w:rPr>
                      <w:rFonts w:hint="eastAsia" w:cs="Times New Roman"/>
                      <w:color w:val="auto"/>
                      <w:sz w:val="18"/>
                      <w:szCs w:val="18"/>
                      <w:highlight w:val="none"/>
                      <w:lang w:val="en-US" w:eastAsia="zh-CN"/>
                    </w:rPr>
                    <w:t>15m</w:t>
                  </w:r>
                </w:p>
              </w:tc>
              <w:tc>
                <w:tcPr>
                  <w:tcW w:w="366" w:type="pct"/>
                  <w:vMerge w:val="continue"/>
                  <w:tcBorders>
                    <w:tl2br w:val="nil"/>
                    <w:tr2bl w:val="nil"/>
                  </w:tcBorders>
                  <w:shd w:val="clear" w:color="auto" w:fill="auto"/>
                  <w:vAlign w:val="center"/>
                </w:tcPr>
                <w:p w14:paraId="3AD4B3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p>
              </w:tc>
            </w:tr>
            <w:tr w14:paraId="54205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86" w:type="pct"/>
                  <w:vMerge w:val="continue"/>
                  <w:tcBorders>
                    <w:tl2br w:val="nil"/>
                    <w:tr2bl w:val="nil"/>
                  </w:tcBorders>
                  <w:shd w:val="clear" w:color="auto" w:fill="auto"/>
                  <w:vAlign w:val="center"/>
                </w:tcPr>
                <w:p w14:paraId="5E1F32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683" w:type="pct"/>
                  <w:tcBorders>
                    <w:tl2br w:val="nil"/>
                    <w:tr2bl w:val="nil"/>
                  </w:tcBorders>
                  <w:shd w:val="clear" w:color="auto" w:fill="auto"/>
                  <w:vAlign w:val="center"/>
                </w:tcPr>
                <w:p w14:paraId="06BABB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14</w:t>
                  </w:r>
                  <w:r>
                    <w:rPr>
                      <w:rFonts w:hint="default" w:ascii="Times New Roman" w:hAnsi="Times New Roman" w:eastAsia="宋体" w:cs="Times New Roman"/>
                      <w:color w:val="auto"/>
                      <w:sz w:val="18"/>
                      <w:szCs w:val="18"/>
                      <w:highlight w:val="none"/>
                    </w:rPr>
                    <w:t>号发电机组</w:t>
                  </w:r>
                </w:p>
              </w:tc>
              <w:tc>
                <w:tcPr>
                  <w:tcW w:w="534" w:type="pct"/>
                  <w:tcBorders>
                    <w:tl2br w:val="nil"/>
                    <w:tr2bl w:val="nil"/>
                  </w:tcBorders>
                  <w:shd w:val="clear" w:color="auto" w:fill="auto"/>
                  <w:vAlign w:val="center"/>
                </w:tcPr>
                <w:p w14:paraId="0A301F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MF0021</w:t>
                  </w:r>
                </w:p>
              </w:tc>
              <w:tc>
                <w:tcPr>
                  <w:tcW w:w="1190" w:type="pct"/>
                  <w:tcBorders>
                    <w:tl2br w:val="nil"/>
                    <w:tr2bl w:val="nil"/>
                  </w:tcBorders>
                  <w:shd w:val="clear" w:color="auto" w:fill="auto"/>
                  <w:vAlign w:val="center"/>
                </w:tcPr>
                <w:p w14:paraId="01B056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颗粒物、二氧化硫、氮氧化物、林格曼黑度</w:t>
                  </w:r>
                  <w:r>
                    <w:rPr>
                      <w:rFonts w:hint="default" w:ascii="Times New Roman" w:hAnsi="Times New Roman" w:eastAsia="宋体" w:cs="Times New Roman"/>
                      <w:color w:val="auto"/>
                      <w:sz w:val="18"/>
                      <w:szCs w:val="18"/>
                      <w:highlight w:val="none"/>
                      <w:lang w:eastAsia="zh-CN"/>
                    </w:rPr>
                    <w:t>、氨</w:t>
                  </w:r>
                  <w:r>
                    <w:rPr>
                      <w:rFonts w:hint="default" w:ascii="Times New Roman" w:hAnsi="Times New Roman" w:eastAsia="宋体" w:cs="Times New Roman"/>
                      <w:color w:val="auto"/>
                      <w:sz w:val="18"/>
                      <w:szCs w:val="18"/>
                      <w:highlight w:val="none"/>
                      <w:vertAlign w:val="superscript"/>
                      <w:lang w:val="en-US" w:eastAsia="zh-CN"/>
                    </w:rPr>
                    <w:t>*</w:t>
                  </w:r>
                </w:p>
              </w:tc>
              <w:tc>
                <w:tcPr>
                  <w:tcW w:w="639" w:type="pct"/>
                  <w:tcBorders>
                    <w:tl2br w:val="nil"/>
                    <w:tr2bl w:val="nil"/>
                  </w:tcBorders>
                  <w:shd w:val="clear" w:color="auto" w:fill="auto"/>
                  <w:vAlign w:val="center"/>
                </w:tcPr>
                <w:p w14:paraId="269F23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10#</w:t>
                  </w:r>
                  <w:r>
                    <w:rPr>
                      <w:rFonts w:hint="default" w:ascii="Times New Roman" w:hAnsi="Times New Roman" w:eastAsia="宋体" w:cs="Times New Roman"/>
                      <w:color w:val="auto"/>
                      <w:sz w:val="18"/>
                      <w:szCs w:val="18"/>
                      <w:highlight w:val="none"/>
                    </w:rPr>
                    <w:t>SCR脱硝</w:t>
                  </w:r>
                </w:p>
              </w:tc>
              <w:tc>
                <w:tcPr>
                  <w:tcW w:w="496" w:type="pct"/>
                  <w:tcBorders>
                    <w:tl2br w:val="nil"/>
                    <w:tr2bl w:val="nil"/>
                  </w:tcBorders>
                  <w:shd w:val="clear" w:color="auto" w:fill="auto"/>
                  <w:vAlign w:val="center"/>
                </w:tcPr>
                <w:p w14:paraId="57DF70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TA010</w:t>
                  </w:r>
                </w:p>
              </w:tc>
              <w:tc>
                <w:tcPr>
                  <w:tcW w:w="413" w:type="pct"/>
                  <w:tcBorders>
                    <w:tl2br w:val="nil"/>
                    <w:tr2bl w:val="nil"/>
                  </w:tcBorders>
                  <w:shd w:val="clear" w:color="auto" w:fill="auto"/>
                  <w:vAlign w:val="center"/>
                </w:tcPr>
                <w:p w14:paraId="6D609D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DA0</w:t>
                  </w:r>
                  <w:r>
                    <w:rPr>
                      <w:rFonts w:hint="eastAsia" w:ascii="Times New Roman" w:hAnsi="Times New Roman" w:eastAsia="宋体" w:cs="Times New Roman"/>
                      <w:color w:val="auto"/>
                      <w:sz w:val="18"/>
                      <w:szCs w:val="18"/>
                      <w:highlight w:val="none"/>
                      <w:lang w:val="en-US" w:eastAsia="zh-CN"/>
                    </w:rPr>
                    <w:t>10</w:t>
                  </w:r>
                </w:p>
              </w:tc>
              <w:tc>
                <w:tcPr>
                  <w:tcW w:w="388" w:type="pct"/>
                  <w:tcBorders>
                    <w:tl2br w:val="nil"/>
                    <w:tr2bl w:val="nil"/>
                  </w:tcBorders>
                  <w:shd w:val="clear" w:color="auto" w:fill="auto"/>
                  <w:vAlign w:val="center"/>
                </w:tcPr>
                <w:p w14:paraId="161C76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kern w:val="2"/>
                      <w:sz w:val="18"/>
                      <w:szCs w:val="18"/>
                      <w:lang w:val="en-US" w:eastAsia="zh-CN" w:bidi="ar-SA"/>
                    </w:rPr>
                  </w:pPr>
                  <w:r>
                    <w:rPr>
                      <w:rFonts w:hint="eastAsia" w:cs="Times New Roman"/>
                      <w:color w:val="auto"/>
                      <w:sz w:val="18"/>
                      <w:szCs w:val="18"/>
                      <w:highlight w:val="none"/>
                      <w:lang w:val="en-US" w:eastAsia="zh-CN"/>
                    </w:rPr>
                    <w:t>15m</w:t>
                  </w:r>
                </w:p>
              </w:tc>
              <w:tc>
                <w:tcPr>
                  <w:tcW w:w="366" w:type="pct"/>
                  <w:vMerge w:val="continue"/>
                  <w:tcBorders>
                    <w:tl2br w:val="nil"/>
                    <w:tr2bl w:val="nil"/>
                  </w:tcBorders>
                  <w:shd w:val="clear" w:color="auto" w:fill="auto"/>
                  <w:vAlign w:val="center"/>
                </w:tcPr>
                <w:p w14:paraId="068229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p>
              </w:tc>
            </w:tr>
          </w:tbl>
          <w:p w14:paraId="0D7DF8A9">
            <w:pPr>
              <w:pStyle w:val="124"/>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eastAsia="zh-CN"/>
              </w:rPr>
              <w:t>备注：尿素溶液来源由自行配置变更为直接购买，不再产生无组织粉尘废气。</w:t>
            </w:r>
            <w:r>
              <w:rPr>
                <w:rFonts w:hint="eastAsia" w:eastAsia="宋体" w:cs="Times New Roman"/>
                <w:color w:val="auto"/>
                <w:sz w:val="18"/>
                <w:szCs w:val="18"/>
                <w:highlight w:val="none"/>
                <w:lang w:eastAsia="zh-CN"/>
              </w:rPr>
              <w:t>相关编号来源于202</w:t>
            </w:r>
            <w:r>
              <w:rPr>
                <w:rFonts w:hint="eastAsia" w:eastAsia="宋体" w:cs="Times New Roman"/>
                <w:color w:val="auto"/>
                <w:sz w:val="18"/>
                <w:szCs w:val="18"/>
                <w:highlight w:val="none"/>
                <w:lang w:val="en-US" w:eastAsia="zh-CN"/>
              </w:rPr>
              <w:t>4</w:t>
            </w:r>
            <w:r>
              <w:rPr>
                <w:rFonts w:hint="eastAsia" w:eastAsia="宋体" w:cs="Times New Roman"/>
                <w:color w:val="auto"/>
                <w:sz w:val="18"/>
                <w:szCs w:val="18"/>
                <w:highlight w:val="none"/>
                <w:lang w:eastAsia="zh-CN"/>
              </w:rPr>
              <w:t>年</w:t>
            </w:r>
            <w:r>
              <w:rPr>
                <w:rFonts w:hint="eastAsia" w:eastAsia="宋体" w:cs="Times New Roman"/>
                <w:color w:val="auto"/>
                <w:sz w:val="18"/>
                <w:szCs w:val="18"/>
                <w:highlight w:val="none"/>
                <w:lang w:val="en-US" w:eastAsia="zh-CN"/>
              </w:rPr>
              <w:t>7</w:t>
            </w:r>
            <w:r>
              <w:rPr>
                <w:rFonts w:hint="eastAsia" w:eastAsia="宋体" w:cs="Times New Roman"/>
                <w:color w:val="auto"/>
                <w:sz w:val="18"/>
                <w:szCs w:val="18"/>
                <w:highlight w:val="none"/>
                <w:lang w:eastAsia="zh-CN"/>
              </w:rPr>
              <w:t>月</w:t>
            </w:r>
            <w:r>
              <w:rPr>
                <w:rFonts w:hint="eastAsia" w:eastAsia="宋体" w:cs="Times New Roman"/>
                <w:color w:val="auto"/>
                <w:sz w:val="18"/>
                <w:szCs w:val="18"/>
                <w:highlight w:val="none"/>
                <w:lang w:val="en-US" w:eastAsia="zh-CN"/>
              </w:rPr>
              <w:t>23</w:t>
            </w:r>
            <w:r>
              <w:rPr>
                <w:rFonts w:hint="eastAsia" w:eastAsia="宋体" w:cs="Times New Roman"/>
                <w:color w:val="auto"/>
                <w:sz w:val="18"/>
                <w:szCs w:val="18"/>
                <w:highlight w:val="none"/>
                <w:lang w:eastAsia="zh-CN"/>
              </w:rPr>
              <w:t>日取得的排污许可证。</w:t>
            </w:r>
          </w:p>
          <w:tbl>
            <w:tblPr>
              <w:tblStyle w:val="30"/>
              <w:tblW w:w="90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4ED1A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26" w:hRule="atLeast"/>
                <w:jc w:val="center"/>
              </w:trPr>
              <w:tc>
                <w:tcPr>
                  <w:tcW w:w="9060" w:type="dxa"/>
                  <w:vAlign w:val="center"/>
                </w:tcPr>
                <w:p w14:paraId="1610D70C">
                  <w:pPr>
                    <w:pStyle w:val="140"/>
                    <w:bidi w:val="0"/>
                    <w:rPr>
                      <w:rFonts w:hint="default" w:ascii="仿宋" w:hAnsi="仿宋" w:eastAsia="仿宋" w:cs="仿宋"/>
                      <w:color w:val="auto"/>
                      <w:kern w:val="2"/>
                      <w:sz w:val="24"/>
                      <w:szCs w:val="24"/>
                      <w:lang w:val="en-US" w:eastAsia="zh-CN" w:bidi="ar-SA"/>
                    </w:rPr>
                  </w:pPr>
                  <w:r>
                    <w:rPr>
                      <w:rFonts w:hint="default" w:ascii="仿宋" w:hAnsi="仿宋" w:eastAsia="仿宋" w:cs="仿宋"/>
                      <w:color w:val="auto"/>
                      <w:kern w:val="2"/>
                      <w:sz w:val="24"/>
                      <w:szCs w:val="24"/>
                      <w:lang w:val="en-US" w:eastAsia="zh-CN" w:bidi="ar-SA"/>
                    </w:rPr>
                    <w:drawing>
                      <wp:inline distT="0" distB="0" distL="114300" distR="114300">
                        <wp:extent cx="2879725" cy="2164080"/>
                        <wp:effectExtent l="0" t="0" r="15875" b="7620"/>
                        <wp:docPr id="8" name="图片 8" descr="1736401260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36401260590"/>
                                <pic:cNvPicPr>
                                  <a:picLocks noChangeAspect="1"/>
                                </pic:cNvPicPr>
                              </pic:nvPicPr>
                              <pic:blipFill>
                                <a:blip r:embed="rId21"/>
                                <a:stretch>
                                  <a:fillRect/>
                                </a:stretch>
                              </pic:blipFill>
                              <pic:spPr>
                                <a:xfrm>
                                  <a:off x="0" y="0"/>
                                  <a:ext cx="2879725" cy="2164080"/>
                                </a:xfrm>
                                <a:prstGeom prst="rect">
                                  <a:avLst/>
                                </a:prstGeom>
                              </pic:spPr>
                            </pic:pic>
                          </a:graphicData>
                        </a:graphic>
                      </wp:inline>
                    </w:drawing>
                  </w:r>
                </w:p>
              </w:tc>
            </w:tr>
            <w:tr w14:paraId="56F8B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20" w:hRule="atLeast"/>
                <w:jc w:val="center"/>
              </w:trPr>
              <w:tc>
                <w:tcPr>
                  <w:tcW w:w="9060" w:type="dxa"/>
                  <w:vAlign w:val="center"/>
                </w:tcPr>
                <w:p w14:paraId="7770B326">
                  <w:pPr>
                    <w:pStyle w:val="140"/>
                    <w:bidi w:val="0"/>
                    <w:rPr>
                      <w:rFonts w:hint="default" w:ascii="仿宋" w:hAnsi="仿宋" w:eastAsia="仿宋" w:cs="仿宋"/>
                      <w:color w:val="auto"/>
                      <w:kern w:val="2"/>
                      <w:sz w:val="24"/>
                      <w:szCs w:val="24"/>
                      <w:lang w:val="en-US" w:eastAsia="zh-CN" w:bidi="ar-SA"/>
                    </w:rPr>
                  </w:pPr>
                  <w:r>
                    <w:rPr>
                      <w:rFonts w:hint="eastAsia" w:ascii="仿宋" w:hAnsi="仿宋" w:eastAsia="仿宋" w:cs="仿宋"/>
                      <w:color w:val="auto"/>
                      <w:sz w:val="21"/>
                      <w:szCs w:val="21"/>
                      <w:lang w:val="en-US" w:eastAsia="zh-CN"/>
                    </w:rPr>
                    <w:t>发电机组废气排放口（DA005</w:t>
                  </w:r>
                  <w:r>
                    <w:rPr>
                      <w:rFonts w:hint="eastAsia" w:eastAsiaTheme="minorEastAsia"/>
                      <w:color w:val="auto"/>
                      <w:sz w:val="18"/>
                      <w:szCs w:val="18"/>
                      <w:highlight w:val="none"/>
                      <w:lang w:eastAsia="zh-CN"/>
                    </w:rPr>
                    <w:t>~</w:t>
                  </w:r>
                  <w:r>
                    <w:rPr>
                      <w:rFonts w:hint="eastAsia" w:ascii="仿宋" w:hAnsi="仿宋" w:eastAsia="仿宋" w:cs="仿宋"/>
                      <w:color w:val="auto"/>
                      <w:sz w:val="21"/>
                      <w:szCs w:val="21"/>
                      <w:lang w:val="en-US" w:eastAsia="zh-CN"/>
                    </w:rPr>
                    <w:t>DA010）</w:t>
                  </w:r>
                </w:p>
              </w:tc>
            </w:tr>
            <w:tr w14:paraId="2D1F8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9060" w:type="dxa"/>
                  <w:vAlign w:val="center"/>
                </w:tcPr>
                <w:p w14:paraId="22F58769">
                  <w:pPr>
                    <w:adjustRightInd/>
                    <w:snapToGrid/>
                    <w:jc w:val="center"/>
                    <w:rPr>
                      <w:rFonts w:hint="default" w:ascii="Times New Roman" w:hAnsi="Times New Roman" w:eastAsia="黑体" w:cs="Times New Roman"/>
                      <w:bCs/>
                      <w:color w:val="auto"/>
                      <w:kern w:val="2"/>
                      <w:sz w:val="18"/>
                      <w:szCs w:val="18"/>
                      <w:highlight w:val="none"/>
                      <w:lang w:val="en-US" w:eastAsia="zh-CN" w:bidi="ar-SA"/>
                    </w:rPr>
                  </w:pPr>
                  <w:r>
                    <w:rPr>
                      <w:rFonts w:hint="default" w:ascii="Times New Roman" w:hAnsi="Times New Roman" w:eastAsia="黑体" w:cs="Times New Roman"/>
                      <w:bCs/>
                      <w:color w:val="auto"/>
                      <w:kern w:val="2"/>
                      <w:sz w:val="18"/>
                      <w:szCs w:val="18"/>
                      <w:highlight w:val="none"/>
                      <w:lang w:val="en-US" w:eastAsia="zh-CN" w:bidi="ar-SA"/>
                    </w:rPr>
                    <w:drawing>
                      <wp:inline distT="0" distB="0" distL="114300" distR="114300">
                        <wp:extent cx="2879725" cy="2721610"/>
                        <wp:effectExtent l="0" t="0" r="15875" b="2540"/>
                        <wp:docPr id="11" name="图片 11" descr="173640150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36401505848"/>
                                <pic:cNvPicPr>
                                  <a:picLocks noChangeAspect="1"/>
                                </pic:cNvPicPr>
                              </pic:nvPicPr>
                              <pic:blipFill>
                                <a:blip r:embed="rId22"/>
                                <a:stretch>
                                  <a:fillRect/>
                                </a:stretch>
                              </pic:blipFill>
                              <pic:spPr>
                                <a:xfrm>
                                  <a:off x="0" y="0"/>
                                  <a:ext cx="2879725" cy="2721610"/>
                                </a:xfrm>
                                <a:prstGeom prst="rect">
                                  <a:avLst/>
                                </a:prstGeom>
                              </pic:spPr>
                            </pic:pic>
                          </a:graphicData>
                        </a:graphic>
                      </wp:inline>
                    </w:drawing>
                  </w:r>
                </w:p>
              </w:tc>
            </w:tr>
            <w:tr w14:paraId="2733D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9060" w:type="dxa"/>
                  <w:vAlign w:val="center"/>
                </w:tcPr>
                <w:p w14:paraId="77430C4F">
                  <w:pPr>
                    <w:adjustRightInd/>
                    <w:snapToGrid/>
                    <w:jc w:val="center"/>
                    <w:rPr>
                      <w:rFonts w:hint="default" w:ascii="Times New Roman" w:hAnsi="Times New Roman" w:eastAsia="黑体" w:cs="Times New Roman"/>
                      <w:bCs/>
                      <w:color w:val="auto"/>
                      <w:highlight w:val="none"/>
                    </w:rPr>
                  </w:pPr>
                  <w:r>
                    <w:rPr>
                      <w:rFonts w:hint="default" w:ascii="Times New Roman" w:hAnsi="Times New Roman" w:eastAsia="黑体" w:cs="Times New Roman"/>
                      <w:bCs/>
                      <w:color w:val="auto"/>
                      <w:highlight w:val="none"/>
                    </w:rPr>
                    <w:t>SCR脱硝</w:t>
                  </w:r>
                </w:p>
              </w:tc>
            </w:tr>
          </w:tbl>
          <w:p w14:paraId="38B752D5">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rPr>
              <w:t>废气治理设施照片</w:t>
            </w:r>
          </w:p>
          <w:p w14:paraId="48258E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黑体"/>
                <w:bCs/>
                <w:color w:val="auto"/>
                <w:sz w:val="24"/>
                <w:szCs w:val="24"/>
                <w:highlight w:val="none"/>
              </w:rPr>
            </w:pPr>
          </w:p>
          <w:p w14:paraId="134B20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黑体"/>
                <w:bCs/>
                <w:color w:val="auto"/>
                <w:sz w:val="24"/>
                <w:szCs w:val="24"/>
                <w:highlight w:val="none"/>
              </w:rPr>
            </w:pPr>
            <w:r>
              <w:rPr>
                <w:rFonts w:hint="eastAsia" w:eastAsia="黑体"/>
                <w:bCs/>
                <w:color w:val="auto"/>
                <w:sz w:val="24"/>
                <w:szCs w:val="24"/>
                <w:highlight w:val="none"/>
              </w:rPr>
              <w:t>3.1.3噪声</w:t>
            </w:r>
          </w:p>
          <w:p w14:paraId="586963A2">
            <w:pPr>
              <w:adjustRightInd/>
              <w:snapToGrid/>
              <w:spacing w:line="360" w:lineRule="auto"/>
              <w:ind w:firstLine="480" w:firstLineChars="200"/>
              <w:rPr>
                <w:color w:val="auto"/>
                <w:kern w:val="0"/>
                <w:sz w:val="24"/>
                <w:szCs w:val="20"/>
                <w:highlight w:val="none"/>
              </w:rPr>
            </w:pPr>
            <w:r>
              <w:rPr>
                <w:rFonts w:hint="eastAsia"/>
                <w:color w:val="auto"/>
                <w:sz w:val="24"/>
                <w:highlight w:val="none"/>
                <w:lang w:eastAsia="zh-CN"/>
              </w:rPr>
              <w:t>续建工程</w:t>
            </w:r>
            <w:r>
              <w:rPr>
                <w:rFonts w:hint="eastAsia"/>
                <w:color w:val="auto"/>
                <w:sz w:val="24"/>
                <w:highlight w:val="none"/>
              </w:rPr>
              <w:t>主要噪声来源于生产车间的发电机组和风机等设备产生的噪音，</w:t>
            </w:r>
            <w:r>
              <w:rPr>
                <w:rFonts w:hint="eastAsia"/>
                <w:color w:val="auto"/>
                <w:kern w:val="0"/>
                <w:sz w:val="24"/>
                <w:szCs w:val="20"/>
                <w:highlight w:val="none"/>
              </w:rPr>
              <w:t>主要选用低噪声设备，对噪声源合理布局并采取隔音、消声等有效降噪措施。</w:t>
            </w:r>
          </w:p>
          <w:tbl>
            <w:tblPr>
              <w:tblStyle w:val="30"/>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46"/>
              <w:gridCol w:w="440"/>
              <w:gridCol w:w="4082"/>
            </w:tblGrid>
            <w:tr w14:paraId="2BB30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29" w:hRule="atLeast"/>
              </w:trPr>
              <w:tc>
                <w:tcPr>
                  <w:tcW w:w="2742" w:type="pct"/>
                  <w:gridSpan w:val="2"/>
                </w:tcPr>
                <w:p w14:paraId="6560E455">
                  <w:pPr>
                    <w:keepNext w:val="0"/>
                    <w:keepLines w:val="0"/>
                    <w:widowControl/>
                    <w:suppressLineNumbers w:val="0"/>
                    <w:jc w:val="left"/>
                    <w:rPr>
                      <w:rFonts w:hint="eastAsia" w:ascii="Times New Roman" w:hAnsi="Times New Roman" w:eastAsia="黑体" w:cs="Times New Roman"/>
                      <w:bCs/>
                      <w:color w:val="auto"/>
                      <w:highlight w:val="none"/>
                      <w:lang w:eastAsia="zh-CN"/>
                    </w:rPr>
                  </w:pPr>
                  <w:r>
                    <w:rPr>
                      <w:rFonts w:ascii="宋体" w:hAnsi="宋体" w:eastAsia="宋体" w:cs="宋体"/>
                      <w:kern w:val="0"/>
                      <w:sz w:val="24"/>
                      <w:szCs w:val="24"/>
                      <w:lang w:val="en-US" w:eastAsia="zh-CN" w:bidi="ar"/>
                    </w:rPr>
                    <w:drawing>
                      <wp:inline distT="0" distB="0" distL="114300" distR="114300">
                        <wp:extent cx="3023870" cy="1979930"/>
                        <wp:effectExtent l="0" t="0" r="5080" b="1270"/>
                        <wp:docPr id="14"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IMG_256"/>
                                <pic:cNvPicPr>
                                  <a:picLocks noChangeAspect="1"/>
                                </pic:cNvPicPr>
                              </pic:nvPicPr>
                              <pic:blipFill>
                                <a:blip r:embed="rId23"/>
                                <a:stretch>
                                  <a:fillRect/>
                                </a:stretch>
                              </pic:blipFill>
                              <pic:spPr>
                                <a:xfrm>
                                  <a:off x="0" y="0"/>
                                  <a:ext cx="3023870" cy="1979930"/>
                                </a:xfrm>
                                <a:prstGeom prst="rect">
                                  <a:avLst/>
                                </a:prstGeom>
                                <a:noFill/>
                                <a:ln w="9525">
                                  <a:noFill/>
                                </a:ln>
                              </pic:spPr>
                            </pic:pic>
                          </a:graphicData>
                        </a:graphic>
                      </wp:inline>
                    </w:drawing>
                  </w:r>
                </w:p>
              </w:tc>
              <w:tc>
                <w:tcPr>
                  <w:tcW w:w="2257" w:type="pct"/>
                </w:tcPr>
                <w:p w14:paraId="5F62E991">
                  <w:pPr>
                    <w:keepNext w:val="0"/>
                    <w:keepLines w:val="0"/>
                    <w:widowControl/>
                    <w:suppressLineNumbers w:val="0"/>
                    <w:jc w:val="center"/>
                    <w:rPr>
                      <w:rFonts w:eastAsia="黑体"/>
                      <w:bCs/>
                      <w:color w:val="auto"/>
                      <w:highlight w:val="none"/>
                    </w:rPr>
                  </w:pPr>
                  <w:r>
                    <w:rPr>
                      <w:rFonts w:ascii="宋体" w:hAnsi="宋体" w:eastAsia="宋体" w:cs="宋体"/>
                      <w:kern w:val="0"/>
                      <w:sz w:val="24"/>
                      <w:szCs w:val="24"/>
                      <w:lang w:val="en-US" w:eastAsia="zh-CN" w:bidi="ar"/>
                    </w:rPr>
                    <w:drawing>
                      <wp:inline distT="0" distB="0" distL="114300" distR="114300">
                        <wp:extent cx="2174875" cy="1979930"/>
                        <wp:effectExtent l="0" t="0" r="15875" b="1270"/>
                        <wp:docPr id="16"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IMG_256"/>
                                <pic:cNvPicPr>
                                  <a:picLocks noChangeAspect="1"/>
                                </pic:cNvPicPr>
                              </pic:nvPicPr>
                              <pic:blipFill>
                                <a:blip r:embed="rId24"/>
                                <a:stretch>
                                  <a:fillRect/>
                                </a:stretch>
                              </pic:blipFill>
                              <pic:spPr>
                                <a:xfrm>
                                  <a:off x="0" y="0"/>
                                  <a:ext cx="2174875" cy="1979930"/>
                                </a:xfrm>
                                <a:prstGeom prst="rect">
                                  <a:avLst/>
                                </a:prstGeom>
                                <a:noFill/>
                                <a:ln w="9525">
                                  <a:noFill/>
                                </a:ln>
                              </pic:spPr>
                            </pic:pic>
                          </a:graphicData>
                        </a:graphic>
                      </wp:inline>
                    </w:drawing>
                  </w:r>
                </w:p>
              </w:tc>
            </w:tr>
            <w:tr w14:paraId="23125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2500" w:type="pct"/>
                </w:tcPr>
                <w:p w14:paraId="2A06ADFD">
                  <w:pPr>
                    <w:adjustRightInd/>
                    <w:snapToGrid/>
                    <w:jc w:val="center"/>
                    <w:rPr>
                      <w:rFonts w:hint="eastAsia" w:ascii="Times New Roman" w:hAnsi="Times New Roman" w:eastAsia="黑体" w:cs="Times New Roman"/>
                      <w:bCs/>
                      <w:color w:val="auto"/>
                      <w:highlight w:val="none"/>
                      <w:lang w:eastAsia="zh-CN"/>
                    </w:rPr>
                  </w:pPr>
                  <w:r>
                    <w:rPr>
                      <w:rFonts w:hint="eastAsia" w:ascii="Times New Roman" w:hAnsi="Times New Roman" w:eastAsia="黑体" w:cs="Times New Roman"/>
                      <w:bCs/>
                      <w:color w:val="auto"/>
                      <w:highlight w:val="none"/>
                    </w:rPr>
                    <w:t>发电机组</w:t>
                  </w:r>
                  <w:r>
                    <w:rPr>
                      <w:rFonts w:hint="eastAsia" w:ascii="Times New Roman" w:hAnsi="Times New Roman" w:eastAsia="黑体" w:cs="Times New Roman"/>
                      <w:bCs/>
                      <w:color w:val="auto"/>
                      <w:highlight w:val="none"/>
                      <w:lang w:eastAsia="zh-CN"/>
                    </w:rPr>
                    <w:t>箱体</w:t>
                  </w:r>
                  <w:r>
                    <w:rPr>
                      <w:rFonts w:hint="eastAsia" w:ascii="Times New Roman" w:hAnsi="Times New Roman" w:eastAsia="黑体" w:cs="Times New Roman"/>
                      <w:bCs/>
                      <w:color w:val="auto"/>
                      <w:highlight w:val="none"/>
                    </w:rPr>
                    <w:t>隔音</w:t>
                  </w:r>
                </w:p>
              </w:tc>
              <w:tc>
                <w:tcPr>
                  <w:tcW w:w="2499" w:type="pct"/>
                  <w:gridSpan w:val="2"/>
                </w:tcPr>
                <w:p w14:paraId="723E33EA">
                  <w:pPr>
                    <w:adjustRightInd/>
                    <w:snapToGrid/>
                    <w:jc w:val="center"/>
                    <w:rPr>
                      <w:rFonts w:hint="eastAsia" w:eastAsia="黑体"/>
                      <w:bCs/>
                      <w:color w:val="auto"/>
                      <w:highlight w:val="none"/>
                    </w:rPr>
                  </w:pPr>
                  <w:r>
                    <w:rPr>
                      <w:rFonts w:hint="eastAsia" w:eastAsia="黑体"/>
                      <w:bCs/>
                      <w:color w:val="auto"/>
                      <w:highlight w:val="none"/>
                    </w:rPr>
                    <w:t>消声器</w:t>
                  </w:r>
                </w:p>
              </w:tc>
            </w:tr>
          </w:tbl>
          <w:p w14:paraId="398D89C8">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rPr>
              <w:t>噪声治理设施照片</w:t>
            </w:r>
          </w:p>
          <w:p w14:paraId="68D7D4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p>
          <w:p w14:paraId="10E5BE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3.1.4固体废物</w:t>
            </w:r>
          </w:p>
          <w:p w14:paraId="61884553">
            <w:pPr>
              <w:adjustRightInd/>
              <w:snapToGrid/>
              <w:spacing w:line="360" w:lineRule="auto"/>
              <w:ind w:firstLine="480" w:firstLineChars="200"/>
              <w:rPr>
                <w:rFonts w:hint="eastAsia"/>
                <w:color w:val="auto"/>
                <w:sz w:val="24"/>
                <w:highlight w:val="none"/>
              </w:rPr>
            </w:pPr>
            <w:r>
              <w:rPr>
                <w:rFonts w:hint="eastAsia"/>
                <w:color w:val="auto"/>
                <w:sz w:val="24"/>
                <w:highlight w:val="none"/>
                <w:lang w:eastAsia="zh-CN"/>
              </w:rPr>
              <w:t>续建工程</w:t>
            </w:r>
            <w:r>
              <w:rPr>
                <w:rFonts w:hint="eastAsia"/>
                <w:color w:val="auto"/>
                <w:sz w:val="24"/>
                <w:highlight w:val="none"/>
              </w:rPr>
              <w:t>实施后固体废物</w:t>
            </w:r>
            <w:r>
              <w:rPr>
                <w:rFonts w:eastAsiaTheme="minorEastAsia"/>
                <w:color w:val="auto"/>
                <w:kern w:val="0"/>
                <w:sz w:val="24"/>
                <w:szCs w:val="20"/>
                <w:highlight w:val="none"/>
              </w:rPr>
              <w:t>主要</w:t>
            </w:r>
            <w:r>
              <w:rPr>
                <w:rFonts w:hint="eastAsia" w:eastAsiaTheme="minorEastAsia"/>
                <w:color w:val="auto"/>
                <w:kern w:val="0"/>
                <w:sz w:val="24"/>
                <w:szCs w:val="20"/>
                <w:highlight w:val="none"/>
                <w:lang w:eastAsia="zh-CN"/>
              </w:rPr>
              <w:t>包括填埋气预处理产生的</w:t>
            </w:r>
            <w:r>
              <w:rPr>
                <w:rFonts w:hint="eastAsia" w:eastAsiaTheme="minorEastAsia"/>
                <w:color w:val="auto"/>
                <w:kern w:val="0"/>
                <w:sz w:val="24"/>
                <w:szCs w:val="20"/>
                <w:highlight w:val="none"/>
              </w:rPr>
              <w:t>除尘粉尘</w:t>
            </w:r>
            <w:r>
              <w:rPr>
                <w:rFonts w:hint="eastAsia" w:eastAsiaTheme="minorEastAsia"/>
                <w:color w:val="auto"/>
                <w:kern w:val="0"/>
                <w:sz w:val="24"/>
                <w:szCs w:val="20"/>
                <w:highlight w:val="none"/>
                <w:lang w:eastAsia="zh-CN"/>
              </w:rPr>
              <w:t>和</w:t>
            </w:r>
            <w:r>
              <w:rPr>
                <w:rFonts w:hint="eastAsia" w:eastAsiaTheme="minorEastAsia"/>
                <w:color w:val="auto"/>
                <w:kern w:val="0"/>
                <w:sz w:val="24"/>
                <w:szCs w:val="20"/>
                <w:highlight w:val="none"/>
              </w:rPr>
              <w:t>废脱硫剂、</w:t>
            </w:r>
            <w:r>
              <w:rPr>
                <w:rFonts w:hint="eastAsia" w:eastAsiaTheme="minorEastAsia"/>
                <w:color w:val="auto"/>
                <w:kern w:val="0"/>
                <w:sz w:val="24"/>
                <w:szCs w:val="20"/>
                <w:highlight w:val="none"/>
                <w:lang w:eastAsia="zh-CN"/>
              </w:rPr>
              <w:t>废过滤器、</w:t>
            </w:r>
            <w:r>
              <w:rPr>
                <w:rFonts w:hint="eastAsia" w:eastAsiaTheme="minorEastAsia"/>
                <w:color w:val="auto"/>
                <w:kern w:val="0"/>
                <w:sz w:val="24"/>
                <w:szCs w:val="20"/>
                <w:highlight w:val="none"/>
                <w:lang w:val="en-US" w:eastAsia="zh-CN"/>
              </w:rPr>
              <w:t>SCR脱硝装置产生的</w:t>
            </w:r>
            <w:r>
              <w:rPr>
                <w:rFonts w:hint="eastAsia" w:eastAsiaTheme="minorEastAsia"/>
                <w:color w:val="auto"/>
                <w:kern w:val="0"/>
                <w:sz w:val="24"/>
                <w:szCs w:val="20"/>
                <w:highlight w:val="none"/>
              </w:rPr>
              <w:t>废脱硝催化剂</w:t>
            </w:r>
            <w:r>
              <w:rPr>
                <w:rFonts w:hint="eastAsia" w:eastAsiaTheme="minorEastAsia"/>
                <w:color w:val="auto"/>
                <w:kern w:val="0"/>
                <w:sz w:val="24"/>
                <w:szCs w:val="20"/>
                <w:highlight w:val="none"/>
                <w:lang w:eastAsia="zh-CN"/>
              </w:rPr>
              <w:t>、</w:t>
            </w:r>
            <w:r>
              <w:rPr>
                <w:rFonts w:hint="eastAsia" w:eastAsiaTheme="minorEastAsia"/>
                <w:color w:val="auto"/>
                <w:kern w:val="0"/>
                <w:sz w:val="24"/>
                <w:szCs w:val="20"/>
                <w:highlight w:val="none"/>
              </w:rPr>
              <w:t>维修保养产生的废润滑油和废油桶</w:t>
            </w:r>
            <w:r>
              <w:rPr>
                <w:rFonts w:hint="eastAsia" w:eastAsiaTheme="minorEastAsia"/>
                <w:color w:val="auto"/>
                <w:kern w:val="0"/>
                <w:sz w:val="24"/>
                <w:szCs w:val="20"/>
                <w:highlight w:val="none"/>
                <w:lang w:eastAsia="zh-CN"/>
              </w:rPr>
              <w:t>，以及废水依托长山口生活垃圾填埋场渗滤液污水处理站进行处理过程中新增的</w:t>
            </w:r>
            <w:r>
              <w:rPr>
                <w:rFonts w:hint="eastAsia" w:eastAsiaTheme="minorEastAsia"/>
                <w:color w:val="auto"/>
                <w:kern w:val="0"/>
                <w:sz w:val="24"/>
                <w:szCs w:val="20"/>
                <w:highlight w:val="none"/>
              </w:rPr>
              <w:t>污泥</w:t>
            </w:r>
            <w:r>
              <w:rPr>
                <w:rFonts w:hint="eastAsia"/>
                <w:color w:val="auto"/>
                <w:sz w:val="24"/>
                <w:highlight w:val="none"/>
              </w:rPr>
              <w:t>。</w:t>
            </w:r>
          </w:p>
          <w:p w14:paraId="179BF90A">
            <w:pPr>
              <w:adjustRightInd/>
              <w:snapToGrid/>
              <w:spacing w:line="360" w:lineRule="auto"/>
              <w:ind w:firstLine="480" w:firstLineChars="200"/>
              <w:rPr>
                <w:rFonts w:hint="eastAsia"/>
                <w:color w:val="auto"/>
                <w:sz w:val="24"/>
                <w:highlight w:val="none"/>
                <w:lang w:val="en-US" w:eastAsia="zh-CN"/>
              </w:rPr>
            </w:pPr>
            <w:r>
              <w:rPr>
                <w:rFonts w:hint="eastAsia"/>
                <w:color w:val="auto"/>
                <w:sz w:val="24"/>
                <w:highlight w:val="none"/>
              </w:rPr>
              <w:t>一般工业固废</w:t>
            </w:r>
            <w:r>
              <w:rPr>
                <w:rFonts w:hint="eastAsia"/>
                <w:color w:val="auto"/>
                <w:sz w:val="24"/>
                <w:highlight w:val="none"/>
                <w:lang w:eastAsia="zh-CN"/>
              </w:rPr>
              <w:t>（包括除尘粉尘、废脱硫剂、</w:t>
            </w:r>
            <w:r>
              <w:rPr>
                <w:rFonts w:hint="eastAsia" w:eastAsiaTheme="minorEastAsia"/>
                <w:color w:val="auto"/>
                <w:kern w:val="0"/>
                <w:sz w:val="24"/>
                <w:szCs w:val="20"/>
                <w:highlight w:val="none"/>
                <w:lang w:eastAsia="zh-CN"/>
              </w:rPr>
              <w:t>新增的</w:t>
            </w:r>
            <w:r>
              <w:rPr>
                <w:rFonts w:hint="eastAsia" w:eastAsiaTheme="minorEastAsia"/>
                <w:color w:val="auto"/>
                <w:kern w:val="0"/>
                <w:sz w:val="24"/>
                <w:szCs w:val="20"/>
                <w:highlight w:val="none"/>
              </w:rPr>
              <w:t>污泥</w:t>
            </w:r>
            <w:r>
              <w:rPr>
                <w:rFonts w:hint="eastAsia" w:eastAsiaTheme="minorEastAsia"/>
                <w:color w:val="auto"/>
                <w:kern w:val="0"/>
                <w:sz w:val="24"/>
                <w:szCs w:val="20"/>
                <w:highlight w:val="none"/>
                <w:lang w:eastAsia="zh-CN"/>
              </w:rPr>
              <w:t>、废过滤器</w:t>
            </w:r>
            <w:r>
              <w:rPr>
                <w:rFonts w:hint="eastAsia"/>
                <w:color w:val="auto"/>
                <w:sz w:val="24"/>
                <w:highlight w:val="none"/>
                <w:lang w:eastAsia="zh-CN"/>
              </w:rPr>
              <w:t>）</w:t>
            </w:r>
            <w:r>
              <w:rPr>
                <w:rFonts w:hint="eastAsia"/>
                <w:color w:val="auto"/>
                <w:sz w:val="24"/>
                <w:highlight w:val="none"/>
              </w:rPr>
              <w:t>收集后直接运至武汉市</w:t>
            </w:r>
            <w:r>
              <w:rPr>
                <w:rFonts w:hint="eastAsia"/>
                <w:color w:val="auto"/>
                <w:sz w:val="24"/>
                <w:highlight w:val="none"/>
                <w:lang w:eastAsia="zh-CN"/>
              </w:rPr>
              <w:t>长山口</w:t>
            </w:r>
            <w:r>
              <w:rPr>
                <w:rFonts w:hint="eastAsia"/>
                <w:color w:val="auto"/>
                <w:sz w:val="24"/>
                <w:highlight w:val="none"/>
              </w:rPr>
              <w:t>生活垃圾卫生填埋场进行填埋处理</w:t>
            </w:r>
            <w:r>
              <w:rPr>
                <w:rFonts w:hint="eastAsia"/>
                <w:color w:val="auto"/>
                <w:sz w:val="24"/>
                <w:highlight w:val="none"/>
                <w:lang w:val="en-US" w:eastAsia="zh-CN"/>
              </w:rPr>
              <w:t>。</w:t>
            </w:r>
          </w:p>
          <w:p w14:paraId="01FD75BF">
            <w:pPr>
              <w:adjustRightInd/>
              <w:snapToGrid/>
              <w:spacing w:line="360" w:lineRule="auto"/>
              <w:ind w:firstLine="480" w:firstLineChars="200"/>
              <w:rPr>
                <w:rFonts w:hint="eastAsia"/>
                <w:color w:val="auto"/>
                <w:sz w:val="24"/>
                <w:highlight w:val="none"/>
                <w:lang w:val="en-US" w:eastAsia="zh-CN"/>
              </w:rPr>
            </w:pPr>
            <w:r>
              <w:rPr>
                <w:rFonts w:hint="eastAsia"/>
                <w:color w:val="auto"/>
                <w:sz w:val="24"/>
                <w:highlight w:val="none"/>
                <w:lang w:val="en-US" w:eastAsia="zh-CN"/>
              </w:rPr>
              <w:t>危险废物分别为</w:t>
            </w:r>
            <w:r>
              <w:rPr>
                <w:rFonts w:hint="eastAsia" w:eastAsiaTheme="minorEastAsia"/>
                <w:color w:val="auto"/>
                <w:kern w:val="0"/>
                <w:sz w:val="24"/>
                <w:szCs w:val="20"/>
                <w:highlight w:val="none"/>
              </w:rPr>
              <w:t>废脱硝催化剂</w:t>
            </w:r>
            <w:r>
              <w:rPr>
                <w:rFonts w:hint="eastAsia"/>
                <w:color w:val="auto"/>
                <w:sz w:val="24"/>
                <w:highlight w:val="none"/>
                <w:lang w:val="en-US" w:eastAsia="zh-CN"/>
              </w:rPr>
              <w:t>（HW50，772-007-50）、废润滑油（HW08，900-249-08）、废油桶（HW08，900-249-08），分类暂存于危废暂存间内，最终交由具有危废处置资质的单位进行安全处置。</w:t>
            </w:r>
          </w:p>
          <w:p w14:paraId="088F0A56">
            <w:pPr>
              <w:adjustRightInd/>
              <w:snapToGrid/>
              <w:spacing w:line="360" w:lineRule="auto"/>
              <w:ind w:firstLine="480" w:firstLineChars="200"/>
              <w:rPr>
                <w:rFonts w:hint="eastAsia"/>
                <w:color w:val="auto"/>
                <w:sz w:val="24"/>
                <w:highlight w:val="none"/>
                <w:lang w:val="en-US" w:eastAsia="zh-CN"/>
              </w:rPr>
            </w:pPr>
            <w:r>
              <w:rPr>
                <w:rFonts w:hint="eastAsia"/>
                <w:color w:val="auto"/>
                <w:sz w:val="24"/>
                <w:highlight w:val="none"/>
                <w:lang w:val="en-US" w:eastAsia="zh-CN"/>
              </w:rPr>
              <w:t>建设单位在厂区南部空地新建了2个危废暂存间，其中1#危废暂存间面积12m</w:t>
            </w:r>
            <w:r>
              <w:rPr>
                <w:rFonts w:hint="eastAsia"/>
                <w:color w:val="auto"/>
                <w:sz w:val="24"/>
                <w:highlight w:val="none"/>
                <w:vertAlign w:val="superscript"/>
                <w:lang w:val="en-US" w:eastAsia="zh-CN"/>
              </w:rPr>
              <w:t>2</w:t>
            </w:r>
            <w:r>
              <w:rPr>
                <w:rFonts w:hint="eastAsia"/>
                <w:color w:val="auto"/>
                <w:sz w:val="24"/>
                <w:highlight w:val="none"/>
                <w:lang w:val="en-US" w:eastAsia="zh-CN"/>
              </w:rPr>
              <w:t>，用于废脱硝催化剂暂存；2#危废暂存间面积8m</w:t>
            </w:r>
            <w:r>
              <w:rPr>
                <w:rFonts w:hint="eastAsia"/>
                <w:color w:val="auto"/>
                <w:sz w:val="24"/>
                <w:highlight w:val="none"/>
                <w:vertAlign w:val="superscript"/>
                <w:lang w:val="en-US" w:eastAsia="zh-CN"/>
              </w:rPr>
              <w:t>2</w:t>
            </w:r>
            <w:r>
              <w:rPr>
                <w:rFonts w:hint="eastAsia"/>
                <w:color w:val="auto"/>
                <w:sz w:val="24"/>
                <w:highlight w:val="none"/>
                <w:lang w:val="en-US" w:eastAsia="zh-CN"/>
              </w:rPr>
              <w:t>，用于废润滑油、废油桶暂存。</w:t>
            </w:r>
            <w:r>
              <w:rPr>
                <w:rFonts w:hint="eastAsia" w:ascii="Times New Roman" w:hAnsi="Times New Roman" w:cs="Times New Roman" w:eastAsiaTheme="minorEastAsia"/>
                <w:color w:val="auto"/>
                <w:sz w:val="24"/>
                <w:highlight w:val="none"/>
                <w:lang w:eastAsia="zh-CN"/>
              </w:rPr>
              <w:t>底板使用镀锌板无缝焊接而成，内设截留、收集系统、分区暂存</w:t>
            </w:r>
            <w:r>
              <w:rPr>
                <w:rFonts w:hint="eastAsia"/>
                <w:color w:val="auto"/>
                <w:sz w:val="24"/>
                <w:highlight w:val="none"/>
                <w:lang w:val="en-US" w:eastAsia="zh-CN"/>
              </w:rPr>
              <w:t>，墙上粘贴危废管理制度、台账，本项目危废暂存间的建设情况满足</w:t>
            </w:r>
            <w:r>
              <w:rPr>
                <w:rFonts w:hint="eastAsia" w:ascii="Times New Roman" w:hAnsi="Times New Roman" w:cs="Times New Roman" w:eastAsiaTheme="minorEastAsia"/>
                <w:color w:val="auto"/>
                <w:sz w:val="24"/>
                <w:highlight w:val="none"/>
                <w:lang w:eastAsia="zh-CN"/>
              </w:rPr>
              <w:t>《危险废物贮存污染控制标准》（GB185</w:t>
            </w:r>
            <w:r>
              <w:rPr>
                <w:rFonts w:hint="eastAsia"/>
                <w:color w:val="auto"/>
                <w:sz w:val="24"/>
                <w:highlight w:val="none"/>
                <w:lang w:val="en-US" w:eastAsia="zh-CN"/>
              </w:rPr>
              <w:t>97—2023）相关要求。</w:t>
            </w:r>
          </w:p>
          <w:p w14:paraId="6CD779F1">
            <w:pPr>
              <w:adjustRightInd/>
              <w:snapToGrid/>
              <w:spacing w:line="360" w:lineRule="auto"/>
              <w:ind w:firstLine="480" w:firstLineChars="200"/>
              <w:rPr>
                <w:rFonts w:hint="eastAsia"/>
                <w:color w:val="auto"/>
                <w:sz w:val="24"/>
                <w:highlight w:val="none"/>
                <w:lang w:val="en-US" w:eastAsia="zh-CN"/>
              </w:rPr>
            </w:pPr>
            <w:r>
              <w:rPr>
                <w:rFonts w:hint="eastAsia"/>
                <w:color w:val="auto"/>
                <w:sz w:val="24"/>
                <w:highlight w:val="none"/>
                <w:lang w:val="en-US" w:eastAsia="zh-CN"/>
              </w:rPr>
              <w:t>项目</w:t>
            </w:r>
            <w:r>
              <w:rPr>
                <w:rFonts w:hint="eastAsia" w:ascii="Times New Roman" w:hAnsi="Times New Roman" w:cs="Times New Roman" w:eastAsiaTheme="minorEastAsia"/>
                <w:color w:val="auto"/>
                <w:sz w:val="24"/>
                <w:highlight w:val="none"/>
                <w:lang w:eastAsia="zh-CN"/>
              </w:rPr>
              <w:t>危险废物</w:t>
            </w:r>
            <w:r>
              <w:rPr>
                <w:rFonts w:hint="eastAsia"/>
                <w:color w:val="auto"/>
                <w:sz w:val="24"/>
                <w:highlight w:val="none"/>
                <w:lang w:val="en-US" w:eastAsia="zh-CN"/>
              </w:rPr>
              <w:t>处置协议见附件5。截止到验收期间，废脱硝催化剂未进行转运，废润滑油转移联单见附件6。</w:t>
            </w:r>
          </w:p>
          <w:p w14:paraId="41310A8F">
            <w:pPr>
              <w:adjustRightInd/>
              <w:snapToGrid/>
              <w:spacing w:line="360" w:lineRule="auto"/>
              <w:ind w:firstLine="480" w:firstLineChars="200"/>
              <w:rPr>
                <w:color w:val="auto"/>
                <w:sz w:val="24"/>
                <w:highlight w:val="none"/>
              </w:rPr>
            </w:pPr>
            <w:r>
              <w:rPr>
                <w:rFonts w:hint="eastAsia"/>
                <w:color w:val="auto"/>
                <w:sz w:val="24"/>
                <w:highlight w:val="none"/>
                <w:lang w:eastAsia="zh-CN"/>
              </w:rPr>
              <w:t>续建工程</w:t>
            </w:r>
            <w:r>
              <w:rPr>
                <w:color w:val="auto"/>
                <w:sz w:val="24"/>
                <w:highlight w:val="none"/>
              </w:rPr>
              <w:t>固体废物产生及处置情况见下表，实际产生量由建设单位提供。项目固体废物产生和处置情况见下表。</w:t>
            </w:r>
          </w:p>
          <w:p w14:paraId="0C922FFA">
            <w:pPr>
              <w:pStyle w:val="121"/>
              <w:adjustRightInd/>
              <w:snapToGrid/>
              <w:rPr>
                <w:color w:val="auto"/>
                <w:sz w:val="21"/>
                <w:highlight w:val="none"/>
              </w:rPr>
            </w:pPr>
            <w:r>
              <w:rPr>
                <w:rFonts w:hint="eastAsia"/>
                <w:color w:val="auto"/>
                <w:sz w:val="21"/>
                <w:highlight w:val="none"/>
              </w:rPr>
              <w:t>项目固体废物产生排放情况一览表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176"/>
              <w:gridCol w:w="1195"/>
              <w:gridCol w:w="759"/>
              <w:gridCol w:w="1042"/>
              <w:gridCol w:w="675"/>
              <w:gridCol w:w="1142"/>
              <w:gridCol w:w="2042"/>
              <w:gridCol w:w="1039"/>
            </w:tblGrid>
            <w:tr w14:paraId="519B4A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bottom w:val="single" w:color="auto" w:sz="12" w:space="0"/>
                  </w:tcBorders>
                  <w:vAlign w:val="center"/>
                </w:tcPr>
                <w:p w14:paraId="0C1A1C04">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lang w:val="en-US"/>
                    </w:rPr>
                  </w:pPr>
                  <w:r>
                    <w:rPr>
                      <w:rFonts w:hint="default" w:ascii="Times New Roman" w:hAnsi="Times New Roman" w:eastAsia="宋体" w:cs="Times New Roman"/>
                      <w:b/>
                      <w:bCs/>
                      <w:color w:val="auto"/>
                      <w:sz w:val="18"/>
                      <w:szCs w:val="18"/>
                      <w:highlight w:val="none"/>
                      <w:lang w:val="en-US"/>
                    </w:rPr>
                    <w:t>固废名称</w:t>
                  </w:r>
                </w:p>
              </w:tc>
              <w:tc>
                <w:tcPr>
                  <w:tcW w:w="658" w:type="pct"/>
                  <w:tcBorders>
                    <w:bottom w:val="single" w:color="auto" w:sz="12" w:space="0"/>
                  </w:tcBorders>
                  <w:vAlign w:val="center"/>
                </w:tcPr>
                <w:p w14:paraId="30967E85">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18"/>
                      <w:szCs w:val="18"/>
                      <w:highlight w:val="none"/>
                      <w:lang w:val="en-US"/>
                    </w:rPr>
                  </w:pPr>
                  <w:r>
                    <w:rPr>
                      <w:rFonts w:hint="default" w:ascii="Times New Roman" w:hAnsi="Times New Roman" w:eastAsia="宋体" w:cs="Times New Roman"/>
                      <w:b/>
                      <w:bCs/>
                      <w:color w:val="auto"/>
                      <w:sz w:val="18"/>
                      <w:szCs w:val="18"/>
                      <w:highlight w:val="none"/>
                      <w:lang w:val="en-US"/>
                    </w:rPr>
                    <w:t>排放源</w:t>
                  </w:r>
                </w:p>
              </w:tc>
              <w:tc>
                <w:tcPr>
                  <w:tcW w:w="418" w:type="pct"/>
                  <w:tcBorders>
                    <w:bottom w:val="single" w:color="auto" w:sz="12" w:space="0"/>
                  </w:tcBorders>
                  <w:vAlign w:val="center"/>
                </w:tcPr>
                <w:p w14:paraId="721005B2">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default" w:ascii="Times New Roman" w:hAnsi="Times New Roman" w:eastAsia="宋体" w:cs="Times New Roman"/>
                      <w:b/>
                      <w:bCs/>
                      <w:color w:val="auto"/>
                      <w:kern w:val="0"/>
                      <w:sz w:val="18"/>
                      <w:szCs w:val="18"/>
                      <w:highlight w:val="none"/>
                      <w:lang w:val="en-US"/>
                    </w:rPr>
                    <w:t>性质</w:t>
                  </w:r>
                </w:p>
              </w:tc>
              <w:tc>
                <w:tcPr>
                  <w:tcW w:w="574" w:type="pct"/>
                  <w:tcBorders>
                    <w:bottom w:val="single" w:color="auto" w:sz="12" w:space="0"/>
                  </w:tcBorders>
                  <w:vAlign w:val="center"/>
                </w:tcPr>
                <w:p w14:paraId="6A8302DE">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eastAsia" w:cs="Times New Roman"/>
                      <w:b/>
                      <w:bCs/>
                      <w:color w:val="auto"/>
                      <w:kern w:val="0"/>
                      <w:sz w:val="18"/>
                      <w:szCs w:val="18"/>
                      <w:highlight w:val="none"/>
                      <w:lang w:val="en-US" w:eastAsia="zh-CN"/>
                    </w:rPr>
                    <w:t>危废</w:t>
                  </w:r>
                  <w:r>
                    <w:rPr>
                      <w:rFonts w:hint="default" w:ascii="Times New Roman" w:hAnsi="Times New Roman" w:eastAsia="宋体" w:cs="Times New Roman"/>
                      <w:b/>
                      <w:bCs/>
                      <w:color w:val="auto"/>
                      <w:kern w:val="0"/>
                      <w:sz w:val="18"/>
                      <w:szCs w:val="18"/>
                      <w:highlight w:val="none"/>
                      <w:lang w:val="en-US"/>
                    </w:rPr>
                    <w:t>代码</w:t>
                  </w:r>
                </w:p>
              </w:tc>
              <w:tc>
                <w:tcPr>
                  <w:tcW w:w="372" w:type="pct"/>
                  <w:tcBorders>
                    <w:bottom w:val="single" w:color="auto" w:sz="12" w:space="0"/>
                  </w:tcBorders>
                  <w:vAlign w:val="center"/>
                </w:tcPr>
                <w:p w14:paraId="0733B672">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default" w:ascii="Times New Roman" w:hAnsi="Times New Roman" w:eastAsia="宋体" w:cs="Times New Roman"/>
                      <w:b/>
                      <w:bCs/>
                      <w:color w:val="auto"/>
                      <w:kern w:val="0"/>
                      <w:sz w:val="18"/>
                      <w:szCs w:val="18"/>
                      <w:highlight w:val="none"/>
                      <w:lang w:val="en-US"/>
                    </w:rPr>
                    <w:t>产生量（t/a）</w:t>
                  </w:r>
                </w:p>
              </w:tc>
              <w:tc>
                <w:tcPr>
                  <w:tcW w:w="629" w:type="pct"/>
                  <w:tcBorders>
                    <w:bottom w:val="single" w:color="auto" w:sz="12" w:space="0"/>
                  </w:tcBorders>
                  <w:vAlign w:val="center"/>
                </w:tcPr>
                <w:p w14:paraId="49235547">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default" w:ascii="Times New Roman" w:hAnsi="Times New Roman" w:eastAsia="宋体" w:cs="Times New Roman"/>
                      <w:b/>
                      <w:bCs/>
                      <w:color w:val="auto"/>
                      <w:kern w:val="0"/>
                      <w:sz w:val="18"/>
                      <w:szCs w:val="18"/>
                      <w:highlight w:val="none"/>
                      <w:lang w:val="en-US"/>
                    </w:rPr>
                    <w:t>暂存点</w:t>
                  </w:r>
                </w:p>
              </w:tc>
              <w:tc>
                <w:tcPr>
                  <w:tcW w:w="1125" w:type="pct"/>
                  <w:tcBorders>
                    <w:bottom w:val="single" w:color="auto" w:sz="12" w:space="0"/>
                  </w:tcBorders>
                  <w:vAlign w:val="center"/>
                </w:tcPr>
                <w:p w14:paraId="0EBE44AA">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default" w:ascii="Times New Roman" w:hAnsi="Times New Roman" w:eastAsia="宋体" w:cs="Times New Roman"/>
                      <w:b/>
                      <w:bCs/>
                      <w:color w:val="auto"/>
                      <w:kern w:val="0"/>
                      <w:sz w:val="18"/>
                      <w:szCs w:val="18"/>
                      <w:highlight w:val="none"/>
                      <w:lang w:val="en-US"/>
                    </w:rPr>
                    <w:t>处置方式及去向</w:t>
                  </w:r>
                </w:p>
              </w:tc>
              <w:tc>
                <w:tcPr>
                  <w:tcW w:w="572" w:type="pct"/>
                  <w:tcBorders>
                    <w:bottom w:val="single" w:color="auto" w:sz="12" w:space="0"/>
                  </w:tcBorders>
                  <w:vAlign w:val="center"/>
                </w:tcPr>
                <w:p w14:paraId="7B04438E">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18"/>
                      <w:szCs w:val="18"/>
                      <w:highlight w:val="none"/>
                      <w:lang w:val="en-US"/>
                    </w:rPr>
                  </w:pPr>
                  <w:r>
                    <w:rPr>
                      <w:rFonts w:hint="default" w:ascii="Times New Roman" w:hAnsi="Times New Roman" w:eastAsia="宋体" w:cs="Times New Roman"/>
                      <w:b/>
                      <w:bCs/>
                      <w:color w:val="auto"/>
                      <w:kern w:val="0"/>
                      <w:sz w:val="18"/>
                      <w:szCs w:val="18"/>
                      <w:highlight w:val="none"/>
                      <w:lang w:val="en-US"/>
                    </w:rPr>
                    <w:t>排放量（t/a）</w:t>
                  </w:r>
                </w:p>
              </w:tc>
            </w:tr>
            <w:tr w14:paraId="7128F5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503BC852">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rPr>
                    <w:t>除尘粉尘</w:t>
                  </w:r>
                </w:p>
              </w:tc>
              <w:tc>
                <w:tcPr>
                  <w:tcW w:w="658" w:type="pct"/>
                  <w:tcBorders>
                    <w:tl2br w:val="nil"/>
                    <w:tr2bl w:val="nil"/>
                  </w:tcBorders>
                  <w:shd w:val="clear" w:color="auto" w:fill="auto"/>
                  <w:vAlign w:val="center"/>
                </w:tcPr>
                <w:p w14:paraId="06847B29">
                  <w:pPr>
                    <w:pStyle w:val="143"/>
                    <w:rPr>
                      <w:rFonts w:hint="default" w:ascii="Times New Roman" w:hAnsi="Times New Roman" w:eastAsia="宋体" w:cs="Times New Roman"/>
                      <w:snapToGrid w:val="0"/>
                      <w:color w:val="auto"/>
                      <w:kern w:val="2"/>
                      <w:sz w:val="18"/>
                      <w:szCs w:val="18"/>
                      <w:lang w:val="en-US" w:eastAsia="zh-CN" w:bidi="ar-SA"/>
                    </w:rPr>
                  </w:pPr>
                  <w:r>
                    <w:rPr>
                      <w:rFonts w:hint="eastAsia"/>
                      <w:color w:val="auto"/>
                      <w:sz w:val="18"/>
                      <w:szCs w:val="18"/>
                    </w:rPr>
                    <w:t>填埋气预处理</w:t>
                  </w:r>
                </w:p>
              </w:tc>
              <w:tc>
                <w:tcPr>
                  <w:tcW w:w="418" w:type="pct"/>
                  <w:vMerge w:val="restart"/>
                  <w:tcBorders>
                    <w:tl2br w:val="nil"/>
                    <w:tr2bl w:val="nil"/>
                  </w:tcBorders>
                  <w:vAlign w:val="center"/>
                </w:tcPr>
                <w:p w14:paraId="0F5141E0">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default" w:ascii="Times New Roman" w:hAnsi="Times New Roman" w:eastAsia="宋体" w:cs="Times New Roman"/>
                      <w:color w:val="auto"/>
                      <w:sz w:val="18"/>
                      <w:szCs w:val="18"/>
                      <w:highlight w:val="none"/>
                      <w:lang w:val="en-US"/>
                    </w:rPr>
                    <w:t>一般工业固废</w:t>
                  </w:r>
                </w:p>
              </w:tc>
              <w:tc>
                <w:tcPr>
                  <w:tcW w:w="574" w:type="pct"/>
                  <w:tcBorders>
                    <w:tl2br w:val="nil"/>
                    <w:tr2bl w:val="nil"/>
                  </w:tcBorders>
                  <w:vAlign w:val="center"/>
                </w:tcPr>
                <w:p w14:paraId="3A2D471C">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eastAsia" w:cs="Times New Roman"/>
                      <w:color w:val="auto"/>
                      <w:kern w:val="0"/>
                      <w:sz w:val="18"/>
                      <w:szCs w:val="18"/>
                      <w:highlight w:val="none"/>
                      <w:lang w:val="en-US" w:eastAsia="zh-CN"/>
                    </w:rPr>
                    <w:t>/</w:t>
                  </w:r>
                </w:p>
              </w:tc>
              <w:tc>
                <w:tcPr>
                  <w:tcW w:w="372" w:type="pct"/>
                  <w:tcBorders>
                    <w:tl2br w:val="nil"/>
                    <w:tr2bl w:val="nil"/>
                  </w:tcBorders>
                  <w:shd w:val="clear" w:color="auto" w:fill="auto"/>
                  <w:vAlign w:val="center"/>
                </w:tcPr>
                <w:p w14:paraId="478B856E">
                  <w:pPr>
                    <w:pStyle w:val="107"/>
                    <w:rPr>
                      <w:rFonts w:hint="default" w:ascii="Times New Roman" w:hAnsi="Times New Roman" w:eastAsia="宋体" w:cs="Times New Roman"/>
                      <w:color w:val="auto"/>
                      <w:kern w:val="2"/>
                      <w:sz w:val="18"/>
                      <w:szCs w:val="18"/>
                      <w:lang w:val="en-US" w:eastAsia="zh-CN" w:bidi="ar-SA"/>
                    </w:rPr>
                  </w:pPr>
                  <w:r>
                    <w:rPr>
                      <w:rFonts w:hint="eastAsia"/>
                      <w:color w:val="auto"/>
                      <w:szCs w:val="18"/>
                    </w:rPr>
                    <w:t>55.24</w:t>
                  </w:r>
                </w:p>
              </w:tc>
              <w:tc>
                <w:tcPr>
                  <w:tcW w:w="629" w:type="pct"/>
                  <w:tcBorders>
                    <w:tl2br w:val="nil"/>
                    <w:tr2bl w:val="nil"/>
                  </w:tcBorders>
                  <w:vAlign w:val="center"/>
                </w:tcPr>
                <w:p w14:paraId="52B1CDBE">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kern w:val="0"/>
                      <w:sz w:val="18"/>
                      <w:szCs w:val="18"/>
                      <w:highlight w:val="none"/>
                    </w:rPr>
                    <w:t>过滤</w:t>
                  </w:r>
                  <w:r>
                    <w:rPr>
                      <w:rFonts w:hint="default" w:ascii="Times New Roman" w:hAnsi="Times New Roman" w:eastAsia="宋体" w:cs="Times New Roman"/>
                      <w:color w:val="auto"/>
                      <w:kern w:val="0"/>
                      <w:sz w:val="18"/>
                      <w:szCs w:val="18"/>
                      <w:highlight w:val="none"/>
                      <w:lang w:eastAsia="zh-CN"/>
                    </w:rPr>
                    <w:t>器内</w:t>
                  </w:r>
                </w:p>
              </w:tc>
              <w:tc>
                <w:tcPr>
                  <w:tcW w:w="1125" w:type="pct"/>
                  <w:vMerge w:val="restart"/>
                  <w:tcBorders>
                    <w:tl2br w:val="nil"/>
                    <w:tr2bl w:val="nil"/>
                  </w:tcBorders>
                  <w:vAlign w:val="center"/>
                </w:tcPr>
                <w:p w14:paraId="250AA0BF">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更换时</w:t>
                  </w:r>
                  <w:r>
                    <w:rPr>
                      <w:rFonts w:hint="default" w:ascii="Times New Roman" w:hAnsi="Times New Roman" w:eastAsia="宋体" w:cs="Times New Roman"/>
                      <w:color w:val="auto"/>
                      <w:sz w:val="18"/>
                      <w:szCs w:val="18"/>
                      <w:highlight w:val="none"/>
                    </w:rPr>
                    <w:t>直接运至武汉市</w:t>
                  </w:r>
                  <w:r>
                    <w:rPr>
                      <w:rFonts w:hint="eastAsia" w:cs="Times New Roman"/>
                      <w:color w:val="auto"/>
                      <w:sz w:val="18"/>
                      <w:szCs w:val="18"/>
                      <w:highlight w:val="none"/>
                      <w:lang w:eastAsia="zh-CN"/>
                    </w:rPr>
                    <w:t>长山口</w:t>
                  </w:r>
                  <w:r>
                    <w:rPr>
                      <w:rFonts w:hint="default" w:ascii="Times New Roman" w:hAnsi="Times New Roman" w:eastAsia="宋体" w:cs="Times New Roman"/>
                      <w:color w:val="auto"/>
                      <w:sz w:val="18"/>
                      <w:szCs w:val="18"/>
                      <w:highlight w:val="none"/>
                    </w:rPr>
                    <w:t>生活垃圾卫生填埋场填埋</w:t>
                  </w:r>
                </w:p>
              </w:tc>
              <w:tc>
                <w:tcPr>
                  <w:tcW w:w="572" w:type="pct"/>
                  <w:tcBorders>
                    <w:tl2br w:val="nil"/>
                    <w:tr2bl w:val="nil"/>
                  </w:tcBorders>
                  <w:vAlign w:val="center"/>
                </w:tcPr>
                <w:p w14:paraId="07B245EA">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r>
                    <w:rPr>
                      <w:rFonts w:hint="default" w:ascii="Times New Roman" w:hAnsi="Times New Roman" w:eastAsia="宋体" w:cs="Times New Roman"/>
                      <w:color w:val="auto"/>
                      <w:kern w:val="0"/>
                      <w:sz w:val="18"/>
                      <w:szCs w:val="18"/>
                      <w:highlight w:val="none"/>
                      <w:lang w:val="en-US"/>
                    </w:rPr>
                    <w:t>0</w:t>
                  </w:r>
                </w:p>
              </w:tc>
            </w:tr>
            <w:tr w14:paraId="5602A0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3102E156">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rPr>
                    <w:t>废脱硫剂</w:t>
                  </w:r>
                </w:p>
              </w:tc>
              <w:tc>
                <w:tcPr>
                  <w:tcW w:w="658" w:type="pct"/>
                  <w:tcBorders>
                    <w:tl2br w:val="nil"/>
                    <w:tr2bl w:val="nil"/>
                  </w:tcBorders>
                  <w:shd w:val="clear" w:color="auto" w:fill="auto"/>
                  <w:vAlign w:val="center"/>
                </w:tcPr>
                <w:p w14:paraId="7F9064ED">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szCs w:val="18"/>
                    </w:rPr>
                    <w:t>填埋气预处理</w:t>
                  </w:r>
                </w:p>
              </w:tc>
              <w:tc>
                <w:tcPr>
                  <w:tcW w:w="418" w:type="pct"/>
                  <w:vMerge w:val="continue"/>
                  <w:tcBorders>
                    <w:tl2br w:val="nil"/>
                    <w:tr2bl w:val="nil"/>
                  </w:tcBorders>
                  <w:vAlign w:val="center"/>
                </w:tcPr>
                <w:p w14:paraId="19BCEB2E">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p>
              </w:tc>
              <w:tc>
                <w:tcPr>
                  <w:tcW w:w="574" w:type="pct"/>
                  <w:tcBorders>
                    <w:tl2br w:val="nil"/>
                    <w:tr2bl w:val="nil"/>
                  </w:tcBorders>
                  <w:vAlign w:val="center"/>
                </w:tcPr>
                <w:p w14:paraId="2F9CB609">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r>
                    <w:rPr>
                      <w:rFonts w:hint="eastAsia" w:cs="Times New Roman"/>
                      <w:color w:val="auto"/>
                      <w:kern w:val="0"/>
                      <w:sz w:val="18"/>
                      <w:szCs w:val="18"/>
                      <w:highlight w:val="none"/>
                      <w:lang w:val="en-US" w:eastAsia="zh-CN"/>
                    </w:rPr>
                    <w:t>/</w:t>
                  </w:r>
                </w:p>
              </w:tc>
              <w:tc>
                <w:tcPr>
                  <w:tcW w:w="372" w:type="pct"/>
                  <w:tcBorders>
                    <w:tl2br w:val="nil"/>
                    <w:tr2bl w:val="nil"/>
                  </w:tcBorders>
                  <w:shd w:val="clear" w:color="auto" w:fill="auto"/>
                  <w:vAlign w:val="center"/>
                </w:tcPr>
                <w:p w14:paraId="4756D569">
                  <w:pPr>
                    <w:pStyle w:val="107"/>
                    <w:rPr>
                      <w:rFonts w:hint="default" w:ascii="Times New Roman" w:hAnsi="Times New Roman" w:eastAsia="宋体" w:cs="Times New Roman"/>
                      <w:color w:val="auto"/>
                      <w:kern w:val="2"/>
                      <w:sz w:val="18"/>
                      <w:szCs w:val="18"/>
                      <w:lang w:val="en-US" w:eastAsia="zh-CN" w:bidi="ar-SA"/>
                    </w:rPr>
                  </w:pPr>
                  <w:r>
                    <w:rPr>
                      <w:rFonts w:hint="eastAsia"/>
                      <w:color w:val="auto"/>
                      <w:szCs w:val="18"/>
                    </w:rPr>
                    <w:t>101.81</w:t>
                  </w:r>
                </w:p>
              </w:tc>
              <w:tc>
                <w:tcPr>
                  <w:tcW w:w="629" w:type="pct"/>
                  <w:tcBorders>
                    <w:tl2br w:val="nil"/>
                    <w:tr2bl w:val="nil"/>
                  </w:tcBorders>
                  <w:vAlign w:val="center"/>
                </w:tcPr>
                <w:p w14:paraId="4E5DDE42">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kern w:val="0"/>
                      <w:sz w:val="18"/>
                      <w:szCs w:val="18"/>
                      <w:highlight w:val="none"/>
                    </w:rPr>
                    <w:t>脱硫罐</w:t>
                  </w:r>
                  <w:r>
                    <w:rPr>
                      <w:rFonts w:hint="default" w:ascii="Times New Roman" w:hAnsi="Times New Roman" w:eastAsia="宋体" w:cs="Times New Roman"/>
                      <w:color w:val="auto"/>
                      <w:kern w:val="0"/>
                      <w:sz w:val="18"/>
                      <w:szCs w:val="18"/>
                      <w:highlight w:val="none"/>
                      <w:lang w:eastAsia="zh-CN"/>
                    </w:rPr>
                    <w:t>内</w:t>
                  </w:r>
                </w:p>
              </w:tc>
              <w:tc>
                <w:tcPr>
                  <w:tcW w:w="1125" w:type="pct"/>
                  <w:vMerge w:val="continue"/>
                  <w:tcBorders>
                    <w:tl2br w:val="nil"/>
                    <w:tr2bl w:val="nil"/>
                  </w:tcBorders>
                  <w:vAlign w:val="center"/>
                </w:tcPr>
                <w:p w14:paraId="30E94A43">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p>
              </w:tc>
              <w:tc>
                <w:tcPr>
                  <w:tcW w:w="572" w:type="pct"/>
                  <w:tcBorders>
                    <w:tl2br w:val="nil"/>
                    <w:tr2bl w:val="nil"/>
                  </w:tcBorders>
                  <w:vAlign w:val="center"/>
                </w:tcPr>
                <w:p w14:paraId="6A825F15">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default" w:ascii="Times New Roman" w:hAnsi="Times New Roman" w:eastAsia="宋体" w:cs="Times New Roman"/>
                      <w:color w:val="auto"/>
                      <w:kern w:val="0"/>
                      <w:sz w:val="18"/>
                      <w:szCs w:val="18"/>
                      <w:highlight w:val="none"/>
                      <w:lang w:val="en-US"/>
                    </w:rPr>
                    <w:t>0</w:t>
                  </w:r>
                </w:p>
              </w:tc>
            </w:tr>
            <w:tr w14:paraId="73D2FF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5A9D2E4B">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污泥</w:t>
                  </w:r>
                </w:p>
              </w:tc>
              <w:tc>
                <w:tcPr>
                  <w:tcW w:w="658" w:type="pct"/>
                  <w:tcBorders>
                    <w:tl2br w:val="nil"/>
                    <w:tr2bl w:val="nil"/>
                  </w:tcBorders>
                  <w:shd w:val="clear" w:color="auto" w:fill="auto"/>
                  <w:vAlign w:val="center"/>
                </w:tcPr>
                <w:p w14:paraId="073D4348">
                  <w:pPr>
                    <w:pStyle w:val="143"/>
                    <w:rPr>
                      <w:rFonts w:hint="default" w:ascii="Times New Roman" w:hAnsi="Times New Roman" w:eastAsia="宋体" w:cs="Times New Roman"/>
                      <w:snapToGrid w:val="0"/>
                      <w:color w:val="auto"/>
                      <w:kern w:val="2"/>
                      <w:sz w:val="18"/>
                      <w:szCs w:val="18"/>
                      <w:lang w:val="en-US" w:eastAsia="zh-CN" w:bidi="ar-SA"/>
                    </w:rPr>
                  </w:pPr>
                  <w:r>
                    <w:rPr>
                      <w:rFonts w:hint="eastAsia"/>
                      <w:color w:val="auto"/>
                      <w:sz w:val="18"/>
                      <w:szCs w:val="18"/>
                    </w:rPr>
                    <w:t>渗滤液污水处理站</w:t>
                  </w:r>
                </w:p>
              </w:tc>
              <w:tc>
                <w:tcPr>
                  <w:tcW w:w="418" w:type="pct"/>
                  <w:vMerge w:val="continue"/>
                  <w:tcBorders>
                    <w:tl2br w:val="nil"/>
                    <w:tr2bl w:val="nil"/>
                  </w:tcBorders>
                  <w:vAlign w:val="center"/>
                </w:tcPr>
                <w:p w14:paraId="62C27589">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p>
              </w:tc>
              <w:tc>
                <w:tcPr>
                  <w:tcW w:w="574" w:type="pct"/>
                  <w:tcBorders>
                    <w:tl2br w:val="nil"/>
                    <w:tr2bl w:val="nil"/>
                  </w:tcBorders>
                  <w:vAlign w:val="center"/>
                </w:tcPr>
                <w:p w14:paraId="130D3821">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bidi="ar-SA"/>
                    </w:rPr>
                  </w:pPr>
                  <w:r>
                    <w:rPr>
                      <w:rFonts w:hint="eastAsia" w:cs="Times New Roman"/>
                      <w:color w:val="auto"/>
                      <w:kern w:val="0"/>
                      <w:sz w:val="18"/>
                      <w:szCs w:val="18"/>
                      <w:highlight w:val="none"/>
                      <w:lang w:val="en-US" w:eastAsia="zh-CN"/>
                    </w:rPr>
                    <w:t>/</w:t>
                  </w:r>
                </w:p>
              </w:tc>
              <w:tc>
                <w:tcPr>
                  <w:tcW w:w="372" w:type="pct"/>
                  <w:tcBorders>
                    <w:tl2br w:val="nil"/>
                    <w:tr2bl w:val="nil"/>
                  </w:tcBorders>
                  <w:shd w:val="clear" w:color="auto" w:fill="auto"/>
                  <w:vAlign w:val="center"/>
                </w:tcPr>
                <w:p w14:paraId="61EBAFB6">
                  <w:pPr>
                    <w:pStyle w:val="107"/>
                    <w:rPr>
                      <w:rFonts w:hint="eastAsia" w:ascii="Times New Roman" w:hAnsi="Times New Roman" w:eastAsia="宋体" w:cs="Times New Roman"/>
                      <w:color w:val="auto"/>
                      <w:kern w:val="2"/>
                      <w:sz w:val="18"/>
                      <w:szCs w:val="18"/>
                      <w:lang w:val="en-US" w:eastAsia="zh-CN" w:bidi="ar-SA"/>
                    </w:rPr>
                  </w:pPr>
                  <w:r>
                    <w:rPr>
                      <w:rFonts w:hint="eastAsia"/>
                      <w:color w:val="auto"/>
                      <w:szCs w:val="18"/>
                    </w:rPr>
                    <w:t>2.04</w:t>
                  </w:r>
                </w:p>
              </w:tc>
              <w:tc>
                <w:tcPr>
                  <w:tcW w:w="629" w:type="pct"/>
                  <w:tcBorders>
                    <w:tl2br w:val="nil"/>
                    <w:tr2bl w:val="nil"/>
                  </w:tcBorders>
                  <w:vAlign w:val="center"/>
                </w:tcPr>
                <w:p w14:paraId="5177F519">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污水处理站</w:t>
                  </w:r>
                </w:p>
              </w:tc>
              <w:tc>
                <w:tcPr>
                  <w:tcW w:w="1125" w:type="pct"/>
                  <w:vMerge w:val="continue"/>
                  <w:tcBorders>
                    <w:tl2br w:val="nil"/>
                    <w:tr2bl w:val="nil"/>
                  </w:tcBorders>
                  <w:vAlign w:val="center"/>
                </w:tcPr>
                <w:p w14:paraId="19E1AA19">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p>
              </w:tc>
              <w:tc>
                <w:tcPr>
                  <w:tcW w:w="572" w:type="pct"/>
                  <w:tcBorders>
                    <w:tl2br w:val="nil"/>
                    <w:tr2bl w:val="nil"/>
                  </w:tcBorders>
                  <w:vAlign w:val="center"/>
                </w:tcPr>
                <w:p w14:paraId="7EA3B30E">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0</w:t>
                  </w:r>
                </w:p>
              </w:tc>
            </w:tr>
            <w:tr w14:paraId="7727C1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157E7FE9">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eastAsia="zh-CN"/>
                    </w:rPr>
                  </w:pPr>
                  <w:r>
                    <w:rPr>
                      <w:rFonts w:hint="eastAsia" w:cs="Times New Roman"/>
                      <w:color w:val="auto"/>
                      <w:kern w:val="0"/>
                      <w:sz w:val="18"/>
                      <w:szCs w:val="18"/>
                      <w:highlight w:val="none"/>
                      <w:lang w:eastAsia="zh-CN"/>
                    </w:rPr>
                    <w:t>废过滤器</w:t>
                  </w:r>
                </w:p>
              </w:tc>
              <w:tc>
                <w:tcPr>
                  <w:tcW w:w="658" w:type="pct"/>
                  <w:tcBorders>
                    <w:tl2br w:val="nil"/>
                    <w:tr2bl w:val="nil"/>
                  </w:tcBorders>
                  <w:shd w:val="clear" w:color="auto" w:fill="auto"/>
                  <w:vAlign w:val="center"/>
                </w:tcPr>
                <w:p w14:paraId="03033A99">
                  <w:pPr>
                    <w:jc w:val="center"/>
                    <w:rPr>
                      <w:rFonts w:hint="default" w:ascii="Times New Roman" w:hAnsi="Times New Roman" w:eastAsia="宋体" w:cs="Times New Roman"/>
                      <w:color w:val="auto"/>
                      <w:kern w:val="2"/>
                      <w:sz w:val="18"/>
                      <w:szCs w:val="24"/>
                      <w:lang w:val="en-US" w:eastAsia="zh-CN" w:bidi="ar-SA"/>
                    </w:rPr>
                  </w:pPr>
                  <w:r>
                    <w:rPr>
                      <w:rFonts w:hint="eastAsia"/>
                      <w:color w:val="auto"/>
                      <w:sz w:val="18"/>
                      <w:szCs w:val="18"/>
                    </w:rPr>
                    <w:t>填埋气预处理</w:t>
                  </w:r>
                </w:p>
              </w:tc>
              <w:tc>
                <w:tcPr>
                  <w:tcW w:w="418" w:type="pct"/>
                  <w:vMerge w:val="continue"/>
                  <w:tcBorders>
                    <w:tl2br w:val="nil"/>
                    <w:tr2bl w:val="nil"/>
                  </w:tcBorders>
                  <w:vAlign w:val="center"/>
                </w:tcPr>
                <w:p w14:paraId="604AC3D2">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p>
              </w:tc>
              <w:tc>
                <w:tcPr>
                  <w:tcW w:w="574" w:type="pct"/>
                  <w:tcBorders>
                    <w:tl2br w:val="nil"/>
                    <w:tr2bl w:val="nil"/>
                  </w:tcBorders>
                  <w:vAlign w:val="center"/>
                </w:tcPr>
                <w:p w14:paraId="6898FE41">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color w:val="auto"/>
                      <w:kern w:val="0"/>
                      <w:sz w:val="18"/>
                      <w:szCs w:val="18"/>
                      <w:highlight w:val="none"/>
                      <w:lang w:val="en-US" w:eastAsia="zh-CN"/>
                    </w:rPr>
                  </w:pPr>
                </w:p>
              </w:tc>
              <w:tc>
                <w:tcPr>
                  <w:tcW w:w="372" w:type="pct"/>
                  <w:tcBorders>
                    <w:tl2br w:val="nil"/>
                    <w:tr2bl w:val="nil"/>
                  </w:tcBorders>
                  <w:shd w:val="clear" w:color="auto" w:fill="auto"/>
                  <w:vAlign w:val="center"/>
                </w:tcPr>
                <w:p w14:paraId="3C8B1625">
                  <w:pPr>
                    <w:pStyle w:val="107"/>
                    <w:rPr>
                      <w:rFonts w:hint="default" w:ascii="Times New Roman" w:hAnsi="Times New Roman" w:eastAsia="宋体" w:cs="Times New Roman"/>
                      <w:color w:val="auto"/>
                      <w:kern w:val="0"/>
                      <w:sz w:val="18"/>
                      <w:szCs w:val="18"/>
                      <w:lang w:val="en-US" w:eastAsia="zh-CN" w:bidi="ar-SA"/>
                    </w:rPr>
                  </w:pPr>
                  <w:r>
                    <w:rPr>
                      <w:rFonts w:hint="eastAsia"/>
                      <w:color w:val="auto"/>
                      <w:szCs w:val="18"/>
                      <w:lang w:val="en-US" w:eastAsia="zh-CN"/>
                    </w:rPr>
                    <w:t>0.6</w:t>
                  </w:r>
                </w:p>
              </w:tc>
              <w:tc>
                <w:tcPr>
                  <w:tcW w:w="629" w:type="pct"/>
                  <w:tcBorders>
                    <w:tl2br w:val="nil"/>
                    <w:tr2bl w:val="nil"/>
                  </w:tcBorders>
                  <w:vAlign w:val="center"/>
                </w:tcPr>
                <w:p w14:paraId="0D171EB3">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eastAsia="zh-CN"/>
                    </w:rPr>
                  </w:pPr>
                  <w:r>
                    <w:rPr>
                      <w:rFonts w:hint="eastAsia" w:cs="Times New Roman"/>
                      <w:color w:val="auto"/>
                      <w:kern w:val="0"/>
                      <w:sz w:val="18"/>
                      <w:szCs w:val="18"/>
                      <w:highlight w:val="none"/>
                      <w:lang w:eastAsia="zh-CN"/>
                    </w:rPr>
                    <w:t>过滤设施内</w:t>
                  </w:r>
                </w:p>
              </w:tc>
              <w:tc>
                <w:tcPr>
                  <w:tcW w:w="1125" w:type="pct"/>
                  <w:tcBorders>
                    <w:tl2br w:val="nil"/>
                    <w:tr2bl w:val="nil"/>
                  </w:tcBorders>
                  <w:vAlign w:val="center"/>
                </w:tcPr>
                <w:p w14:paraId="26F2843E">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r>
                    <w:rPr>
                      <w:rFonts w:hint="eastAsia"/>
                      <w:color w:val="auto"/>
                      <w:szCs w:val="18"/>
                      <w:lang w:eastAsia="zh-CN"/>
                    </w:rPr>
                    <w:t>物资部门回收处理</w:t>
                  </w:r>
                </w:p>
              </w:tc>
              <w:tc>
                <w:tcPr>
                  <w:tcW w:w="572" w:type="pct"/>
                  <w:tcBorders>
                    <w:tl2br w:val="nil"/>
                    <w:tr2bl w:val="nil"/>
                  </w:tcBorders>
                  <w:vAlign w:val="center"/>
                </w:tcPr>
                <w:p w14:paraId="398B76D1">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0</w:t>
                  </w:r>
                </w:p>
              </w:tc>
            </w:tr>
            <w:tr w14:paraId="76CD3F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5B1B181A">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废润滑油</w:t>
                  </w:r>
                </w:p>
              </w:tc>
              <w:tc>
                <w:tcPr>
                  <w:tcW w:w="658" w:type="pct"/>
                  <w:vMerge w:val="restart"/>
                  <w:tcBorders>
                    <w:tl2br w:val="nil"/>
                    <w:tr2bl w:val="nil"/>
                  </w:tcBorders>
                  <w:shd w:val="clear" w:color="auto" w:fill="auto"/>
                  <w:vAlign w:val="center"/>
                </w:tcPr>
                <w:p w14:paraId="5DB45100">
                  <w:pPr>
                    <w:jc w:val="center"/>
                    <w:rPr>
                      <w:rFonts w:hint="default" w:ascii="Times New Roman" w:hAnsi="Times New Roman" w:eastAsia="宋体" w:cs="Times New Roman"/>
                      <w:color w:val="auto"/>
                      <w:kern w:val="2"/>
                      <w:sz w:val="18"/>
                      <w:szCs w:val="18"/>
                      <w:lang w:val="en-US" w:eastAsia="zh-CN" w:bidi="ar-SA"/>
                    </w:rPr>
                  </w:pPr>
                  <w:r>
                    <w:rPr>
                      <w:rFonts w:hint="eastAsia"/>
                      <w:color w:val="auto"/>
                      <w:sz w:val="18"/>
                      <w:lang w:eastAsia="zh-CN"/>
                    </w:rPr>
                    <w:t>发电设备</w:t>
                  </w:r>
                </w:p>
              </w:tc>
              <w:tc>
                <w:tcPr>
                  <w:tcW w:w="418" w:type="pct"/>
                  <w:vMerge w:val="restart"/>
                  <w:tcBorders>
                    <w:tl2br w:val="nil"/>
                    <w:tr2bl w:val="nil"/>
                  </w:tcBorders>
                  <w:vAlign w:val="center"/>
                </w:tcPr>
                <w:p w14:paraId="0BE731CD">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rFonts w:hint="default" w:ascii="Times New Roman" w:hAnsi="Times New Roman" w:eastAsia="宋体" w:cs="Times New Roman"/>
                      <w:color w:val="auto"/>
                      <w:sz w:val="18"/>
                      <w:szCs w:val="18"/>
                      <w:highlight w:val="none"/>
                    </w:rPr>
                    <w:t>危险废物</w:t>
                  </w:r>
                </w:p>
              </w:tc>
              <w:tc>
                <w:tcPr>
                  <w:tcW w:w="574" w:type="pct"/>
                  <w:tcBorders>
                    <w:tl2br w:val="nil"/>
                    <w:tr2bl w:val="nil"/>
                  </w:tcBorders>
                  <w:vAlign w:val="center"/>
                </w:tcPr>
                <w:p w14:paraId="5B99373C">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HW08</w:t>
                  </w:r>
                </w:p>
                <w:p w14:paraId="12BFC1FC">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color w:val="auto"/>
                      <w:sz w:val="18"/>
                      <w:szCs w:val="18"/>
                      <w:highlight w:val="none"/>
                    </w:rPr>
                    <w:t>900-</w:t>
                  </w:r>
                  <w:r>
                    <w:rPr>
                      <w:rFonts w:hint="eastAsia"/>
                      <w:color w:val="auto"/>
                      <w:sz w:val="18"/>
                      <w:szCs w:val="18"/>
                      <w:highlight w:val="none"/>
                      <w:lang w:val="en-US" w:eastAsia="zh-CN"/>
                    </w:rPr>
                    <w:t>249</w:t>
                  </w:r>
                  <w:r>
                    <w:rPr>
                      <w:rFonts w:hint="eastAsia"/>
                      <w:color w:val="auto"/>
                      <w:sz w:val="18"/>
                      <w:szCs w:val="18"/>
                      <w:highlight w:val="none"/>
                    </w:rPr>
                    <w:t>-</w:t>
                  </w:r>
                  <w:r>
                    <w:rPr>
                      <w:color w:val="auto"/>
                      <w:sz w:val="18"/>
                      <w:szCs w:val="18"/>
                      <w:highlight w:val="none"/>
                    </w:rPr>
                    <w:t>08</w:t>
                  </w:r>
                </w:p>
              </w:tc>
              <w:tc>
                <w:tcPr>
                  <w:tcW w:w="372" w:type="pct"/>
                  <w:tcBorders>
                    <w:tl2br w:val="nil"/>
                    <w:tr2bl w:val="nil"/>
                  </w:tcBorders>
                  <w:vAlign w:val="center"/>
                </w:tcPr>
                <w:p w14:paraId="283908A3">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0.04</w:t>
                  </w:r>
                </w:p>
              </w:tc>
              <w:tc>
                <w:tcPr>
                  <w:tcW w:w="629" w:type="pct"/>
                  <w:vMerge w:val="restart"/>
                  <w:tcBorders>
                    <w:tl2br w:val="nil"/>
                    <w:tr2bl w:val="nil"/>
                  </w:tcBorders>
                  <w:vAlign w:val="center"/>
                </w:tcPr>
                <w:p w14:paraId="055BAEDD">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危废暂存间</w:t>
                  </w:r>
                </w:p>
              </w:tc>
              <w:tc>
                <w:tcPr>
                  <w:tcW w:w="1125" w:type="pct"/>
                  <w:vMerge w:val="restart"/>
                  <w:tcBorders>
                    <w:tl2br w:val="nil"/>
                    <w:tr2bl w:val="nil"/>
                  </w:tcBorders>
                  <w:vAlign w:val="center"/>
                </w:tcPr>
                <w:p w14:paraId="04FE1EAD">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sz w:val="18"/>
                      <w:szCs w:val="18"/>
                      <w:highlight w:val="none"/>
                    </w:rPr>
                    <w:t>废润滑油</w:t>
                  </w:r>
                  <w:r>
                    <w:rPr>
                      <w:rFonts w:hint="eastAsia" w:cs="Times New Roman"/>
                      <w:color w:val="auto"/>
                      <w:sz w:val="18"/>
                      <w:szCs w:val="18"/>
                      <w:highlight w:val="none"/>
                      <w:lang w:eastAsia="zh-CN"/>
                    </w:rPr>
                    <w:t>及废油桶</w:t>
                  </w:r>
                  <w:r>
                    <w:rPr>
                      <w:rFonts w:hint="default" w:ascii="Times New Roman" w:hAnsi="Times New Roman" w:eastAsia="宋体" w:cs="Times New Roman"/>
                      <w:color w:val="auto"/>
                      <w:sz w:val="18"/>
                      <w:szCs w:val="18"/>
                      <w:highlight w:val="none"/>
                    </w:rPr>
                    <w:t>定期委托具有危废处理资质的单位</w:t>
                  </w:r>
                  <w:r>
                    <w:rPr>
                      <w:rFonts w:hint="eastAsia" w:cs="Times New Roman"/>
                      <w:color w:val="auto"/>
                      <w:sz w:val="18"/>
                      <w:szCs w:val="18"/>
                      <w:highlight w:val="none"/>
                      <w:lang w:eastAsia="zh-CN"/>
                    </w:rPr>
                    <w:t>（湖北省春年华环保科技有限公司）</w:t>
                  </w:r>
                  <w:r>
                    <w:rPr>
                      <w:rFonts w:hint="default" w:ascii="Times New Roman" w:hAnsi="Times New Roman" w:eastAsia="宋体" w:cs="Times New Roman"/>
                      <w:color w:val="auto"/>
                      <w:sz w:val="18"/>
                      <w:szCs w:val="18"/>
                      <w:highlight w:val="none"/>
                    </w:rPr>
                    <w:t>收集处置</w:t>
                  </w:r>
                  <w:r>
                    <w:rPr>
                      <w:rFonts w:hint="eastAsia"/>
                      <w:lang w:eastAsia="zh-CN"/>
                    </w:rPr>
                    <w:t>，废脱硝催化剂暂为产生。</w:t>
                  </w:r>
                </w:p>
              </w:tc>
              <w:tc>
                <w:tcPr>
                  <w:tcW w:w="572" w:type="pct"/>
                  <w:tcBorders>
                    <w:tl2br w:val="nil"/>
                    <w:tr2bl w:val="nil"/>
                  </w:tcBorders>
                  <w:vAlign w:val="center"/>
                </w:tcPr>
                <w:p w14:paraId="25F48DF6">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0</w:t>
                  </w:r>
                </w:p>
              </w:tc>
            </w:tr>
            <w:tr w14:paraId="02AD1D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0DE534D8">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废油桶</w:t>
                  </w:r>
                </w:p>
              </w:tc>
              <w:tc>
                <w:tcPr>
                  <w:tcW w:w="658" w:type="pct"/>
                  <w:vMerge w:val="continue"/>
                  <w:tcBorders>
                    <w:tl2br w:val="nil"/>
                    <w:tr2bl w:val="nil"/>
                  </w:tcBorders>
                  <w:shd w:val="clear" w:color="auto" w:fill="auto"/>
                  <w:vAlign w:val="center"/>
                </w:tcPr>
                <w:p w14:paraId="7AA33736">
                  <w:pPr>
                    <w:jc w:val="center"/>
                    <w:rPr>
                      <w:rFonts w:hint="default" w:ascii="Times New Roman" w:hAnsi="Times New Roman" w:eastAsia="宋体" w:cs="Times New Roman"/>
                      <w:color w:val="auto"/>
                      <w:kern w:val="2"/>
                      <w:sz w:val="18"/>
                      <w:szCs w:val="18"/>
                      <w:lang w:val="en-US" w:eastAsia="zh-CN" w:bidi="ar-SA"/>
                    </w:rPr>
                  </w:pPr>
                </w:p>
              </w:tc>
              <w:tc>
                <w:tcPr>
                  <w:tcW w:w="418" w:type="pct"/>
                  <w:vMerge w:val="continue"/>
                  <w:tcBorders>
                    <w:tl2br w:val="nil"/>
                    <w:tr2bl w:val="nil"/>
                  </w:tcBorders>
                  <w:vAlign w:val="center"/>
                </w:tcPr>
                <w:p w14:paraId="03AD68C0">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p>
              </w:tc>
              <w:tc>
                <w:tcPr>
                  <w:tcW w:w="574" w:type="pct"/>
                  <w:tcBorders>
                    <w:tl2br w:val="nil"/>
                    <w:tr2bl w:val="nil"/>
                  </w:tcBorders>
                  <w:vAlign w:val="center"/>
                </w:tcPr>
                <w:p w14:paraId="320B5F54">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HW08</w:t>
                  </w:r>
                </w:p>
                <w:p w14:paraId="588E8E9F">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color w:val="auto"/>
                      <w:sz w:val="18"/>
                      <w:szCs w:val="18"/>
                      <w:highlight w:val="none"/>
                    </w:rPr>
                    <w:t>900-</w:t>
                  </w:r>
                  <w:r>
                    <w:rPr>
                      <w:rFonts w:hint="eastAsia"/>
                      <w:color w:val="auto"/>
                      <w:sz w:val="18"/>
                      <w:szCs w:val="18"/>
                      <w:highlight w:val="none"/>
                      <w:lang w:val="en-US" w:eastAsia="zh-CN"/>
                    </w:rPr>
                    <w:t>249</w:t>
                  </w:r>
                  <w:r>
                    <w:rPr>
                      <w:rFonts w:hint="eastAsia"/>
                      <w:color w:val="auto"/>
                      <w:sz w:val="18"/>
                      <w:szCs w:val="18"/>
                      <w:highlight w:val="none"/>
                    </w:rPr>
                    <w:t>-</w:t>
                  </w:r>
                  <w:r>
                    <w:rPr>
                      <w:color w:val="auto"/>
                      <w:sz w:val="18"/>
                      <w:szCs w:val="18"/>
                      <w:highlight w:val="none"/>
                    </w:rPr>
                    <w:t>08</w:t>
                  </w:r>
                </w:p>
              </w:tc>
              <w:tc>
                <w:tcPr>
                  <w:tcW w:w="372" w:type="pct"/>
                  <w:tcBorders>
                    <w:tl2br w:val="nil"/>
                    <w:tr2bl w:val="nil"/>
                  </w:tcBorders>
                  <w:vAlign w:val="center"/>
                </w:tcPr>
                <w:p w14:paraId="585FECDF">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rPr>
                    <w:t>0.</w:t>
                  </w:r>
                  <w:r>
                    <w:rPr>
                      <w:rFonts w:hint="eastAsia" w:cs="Times New Roman"/>
                      <w:color w:val="auto"/>
                      <w:sz w:val="18"/>
                      <w:szCs w:val="18"/>
                      <w:highlight w:val="none"/>
                      <w:lang w:val="en-US" w:eastAsia="zh-CN"/>
                    </w:rPr>
                    <w:t>2</w:t>
                  </w:r>
                </w:p>
              </w:tc>
              <w:tc>
                <w:tcPr>
                  <w:tcW w:w="629" w:type="pct"/>
                  <w:vMerge w:val="continue"/>
                  <w:tcBorders>
                    <w:tl2br w:val="nil"/>
                    <w:tr2bl w:val="nil"/>
                  </w:tcBorders>
                  <w:vAlign w:val="center"/>
                </w:tcPr>
                <w:p w14:paraId="2CE266C0">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125" w:type="pct"/>
                  <w:vMerge w:val="continue"/>
                  <w:tcBorders>
                    <w:tl2br w:val="nil"/>
                    <w:tr2bl w:val="nil"/>
                  </w:tcBorders>
                  <w:vAlign w:val="center"/>
                </w:tcPr>
                <w:p w14:paraId="667BBAEA">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p>
              </w:tc>
              <w:tc>
                <w:tcPr>
                  <w:tcW w:w="572" w:type="pct"/>
                  <w:tcBorders>
                    <w:tl2br w:val="nil"/>
                    <w:tr2bl w:val="nil"/>
                  </w:tcBorders>
                  <w:vAlign w:val="center"/>
                </w:tcPr>
                <w:p w14:paraId="28BED4DA">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0</w:t>
                  </w:r>
                </w:p>
              </w:tc>
            </w:tr>
            <w:tr w14:paraId="2F2663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48" w:type="pct"/>
                  <w:tcBorders>
                    <w:tl2br w:val="nil"/>
                    <w:tr2bl w:val="nil"/>
                  </w:tcBorders>
                  <w:vAlign w:val="center"/>
                </w:tcPr>
                <w:p w14:paraId="09F215FE">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废脱硝催化剂</w:t>
                  </w:r>
                </w:p>
              </w:tc>
              <w:tc>
                <w:tcPr>
                  <w:tcW w:w="658" w:type="pct"/>
                  <w:tcBorders>
                    <w:tl2br w:val="nil"/>
                    <w:tr2bl w:val="nil"/>
                  </w:tcBorders>
                  <w:vAlign w:val="center"/>
                </w:tcPr>
                <w:p w14:paraId="274320EF">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val="en-US" w:eastAsia="zh-CN"/>
                    </w:rPr>
                    <w:t>SCR脱硝</w:t>
                  </w:r>
                </w:p>
              </w:tc>
              <w:tc>
                <w:tcPr>
                  <w:tcW w:w="418" w:type="pct"/>
                  <w:vMerge w:val="continue"/>
                  <w:tcBorders>
                    <w:tl2br w:val="nil"/>
                    <w:tr2bl w:val="nil"/>
                  </w:tcBorders>
                  <w:vAlign w:val="center"/>
                </w:tcPr>
                <w:p w14:paraId="20E401B8">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p>
              </w:tc>
              <w:tc>
                <w:tcPr>
                  <w:tcW w:w="574" w:type="pct"/>
                  <w:tcBorders>
                    <w:tl2br w:val="nil"/>
                    <w:tr2bl w:val="nil"/>
                  </w:tcBorders>
                  <w:vAlign w:val="center"/>
                </w:tcPr>
                <w:p w14:paraId="2A73A372">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olor w:val="auto"/>
                      <w:sz w:val="18"/>
                      <w:szCs w:val="18"/>
                      <w:highlight w:val="none"/>
                    </w:rPr>
                  </w:pPr>
                  <w:r>
                    <w:rPr>
                      <w:color w:val="auto"/>
                      <w:sz w:val="18"/>
                      <w:szCs w:val="18"/>
                      <w:highlight w:val="none"/>
                    </w:rPr>
                    <w:t>HW</w:t>
                  </w:r>
                  <w:r>
                    <w:rPr>
                      <w:rFonts w:hint="eastAsia"/>
                      <w:color w:val="auto"/>
                      <w:sz w:val="18"/>
                      <w:szCs w:val="18"/>
                      <w:highlight w:val="none"/>
                    </w:rPr>
                    <w:t>50</w:t>
                  </w:r>
                </w:p>
                <w:p w14:paraId="255EB9E2">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rPr>
                  </w:pPr>
                  <w:r>
                    <w:rPr>
                      <w:color w:val="auto"/>
                      <w:sz w:val="18"/>
                      <w:szCs w:val="18"/>
                      <w:highlight w:val="none"/>
                    </w:rPr>
                    <w:t>772-007-50</w:t>
                  </w:r>
                </w:p>
              </w:tc>
              <w:tc>
                <w:tcPr>
                  <w:tcW w:w="372" w:type="pct"/>
                  <w:tcBorders>
                    <w:tl2br w:val="nil"/>
                    <w:tr2bl w:val="nil"/>
                  </w:tcBorders>
                  <w:vAlign w:val="center"/>
                </w:tcPr>
                <w:p w14:paraId="43D9A679">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2.04</w:t>
                  </w:r>
                </w:p>
              </w:tc>
              <w:tc>
                <w:tcPr>
                  <w:tcW w:w="629" w:type="pct"/>
                  <w:vMerge w:val="continue"/>
                  <w:tcBorders>
                    <w:tl2br w:val="nil"/>
                    <w:tr2bl w:val="nil"/>
                  </w:tcBorders>
                  <w:vAlign w:val="center"/>
                </w:tcPr>
                <w:p w14:paraId="49453229">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125" w:type="pct"/>
                  <w:vMerge w:val="continue"/>
                  <w:tcBorders>
                    <w:tl2br w:val="nil"/>
                    <w:tr2bl w:val="nil"/>
                  </w:tcBorders>
                  <w:vAlign w:val="center"/>
                </w:tcPr>
                <w:p w14:paraId="1A202F3F">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rPr>
                  </w:pPr>
                </w:p>
              </w:tc>
              <w:tc>
                <w:tcPr>
                  <w:tcW w:w="572" w:type="pct"/>
                  <w:tcBorders>
                    <w:tl2br w:val="nil"/>
                    <w:tr2bl w:val="nil"/>
                  </w:tcBorders>
                  <w:vAlign w:val="center"/>
                </w:tcPr>
                <w:p w14:paraId="20A23F7A">
                  <w:pPr>
                    <w:pStyle w:val="12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0</w:t>
                  </w:r>
                </w:p>
              </w:tc>
            </w:tr>
          </w:tbl>
          <w:p w14:paraId="17E81C3E">
            <w:pPr>
              <w:adjustRightInd/>
              <w:snapToGrid/>
              <w:spacing w:line="360" w:lineRule="auto"/>
              <w:ind w:firstLine="480" w:firstLineChars="200"/>
              <w:rPr>
                <w:rFonts w:hint="eastAsia"/>
                <w:color w:val="auto"/>
                <w:sz w:val="24"/>
                <w:highlight w:val="none"/>
                <w:lang w:val="en-US" w:eastAsia="zh-CN"/>
              </w:rPr>
            </w:pPr>
            <w:r>
              <w:rPr>
                <w:rFonts w:hint="eastAsia"/>
                <w:color w:val="auto"/>
                <w:sz w:val="24"/>
                <w:highlight w:val="none"/>
                <w:lang w:eastAsia="zh-CN"/>
              </w:rPr>
              <w:t>根据《武汉市江夏长山口生活垃圾卫生填埋场填埋气利用发电项目竣工环境保护验收监测报告表》（公式版），本项目的脱硝催化剂每三年更换一次</w:t>
            </w:r>
            <w:r>
              <w:rPr>
                <w:rFonts w:hint="eastAsia"/>
                <w:color w:val="auto"/>
                <w:sz w:val="24"/>
                <w:highlight w:val="none"/>
                <w:lang w:val="en-US" w:eastAsia="zh-CN"/>
              </w:rPr>
              <w:t>。</w:t>
            </w:r>
          </w:p>
          <w:p w14:paraId="7272FD2D">
            <w:pPr>
              <w:adjustRightInd/>
              <w:snapToGrid/>
              <w:spacing w:line="360" w:lineRule="auto"/>
              <w:ind w:firstLine="480" w:firstLineChars="200"/>
              <w:rPr>
                <w:rFonts w:hint="eastAsia"/>
                <w:color w:val="auto"/>
                <w:sz w:val="24"/>
                <w:highlight w:val="none"/>
                <w:lang w:eastAsia="zh-CN"/>
              </w:rPr>
            </w:pPr>
            <w:r>
              <w:rPr>
                <w:rFonts w:hint="eastAsia"/>
                <w:color w:val="auto"/>
                <w:sz w:val="24"/>
                <w:highlight w:val="none"/>
                <w:lang w:eastAsia="zh-CN"/>
              </w:rPr>
              <w:t>截止目前为止，现有工程及续建工程的脱硝催化剂尚未开始更换，故建设单位目前签订的危险废物处理协议中未包含废脱硝催化剂。待需要更换脱硝催化剂时，建设单位应提前签订相应的危废处理协议。</w:t>
            </w:r>
          </w:p>
          <w:tbl>
            <w:tblPr>
              <w:tblStyle w:val="30"/>
              <w:tblW w:w="907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35"/>
              <w:gridCol w:w="4535"/>
            </w:tblGrid>
            <w:tr w14:paraId="5EABC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0" w:hRule="atLeast"/>
                <w:jc w:val="center"/>
              </w:trPr>
              <w:tc>
                <w:tcPr>
                  <w:tcW w:w="4535" w:type="dxa"/>
                  <w:vAlign w:val="center"/>
                </w:tcPr>
                <w:p w14:paraId="0CC57AC7">
                  <w:pPr>
                    <w:jc w:val="center"/>
                    <w:rPr>
                      <w:rFonts w:hint="eastAsia" w:ascii="黑体" w:hAnsi="黑体" w:eastAsia="黑体"/>
                      <w:color w:val="auto"/>
                      <w:kern w:val="0"/>
                      <w:szCs w:val="20"/>
                      <w:highlight w:val="none"/>
                      <w:lang w:eastAsia="zh-CN"/>
                    </w:rPr>
                  </w:pPr>
                  <w:r>
                    <w:rPr>
                      <w:rFonts w:hint="eastAsia" w:ascii="黑体" w:hAnsi="黑体" w:eastAsia="黑体"/>
                      <w:color w:val="auto"/>
                      <w:kern w:val="0"/>
                      <w:szCs w:val="20"/>
                      <w:highlight w:val="none"/>
                      <w:lang w:eastAsia="zh-CN"/>
                    </w:rPr>
                    <w:drawing>
                      <wp:inline distT="0" distB="0" distL="114300" distR="114300">
                        <wp:extent cx="1522095" cy="2030095"/>
                        <wp:effectExtent l="0" t="0" r="1905" b="8255"/>
                        <wp:docPr id="7" name="图片 7" descr="D888F39E418358352840E585A691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888F39E418358352840E585A6912185"/>
                                <pic:cNvPicPr>
                                  <a:picLocks noChangeAspect="1"/>
                                </pic:cNvPicPr>
                              </pic:nvPicPr>
                              <pic:blipFill>
                                <a:blip r:embed="rId25"/>
                                <a:stretch>
                                  <a:fillRect/>
                                </a:stretch>
                              </pic:blipFill>
                              <pic:spPr>
                                <a:xfrm>
                                  <a:off x="0" y="0"/>
                                  <a:ext cx="1522095" cy="2030095"/>
                                </a:xfrm>
                                <a:prstGeom prst="rect">
                                  <a:avLst/>
                                </a:prstGeom>
                              </pic:spPr>
                            </pic:pic>
                          </a:graphicData>
                        </a:graphic>
                      </wp:inline>
                    </w:drawing>
                  </w:r>
                </w:p>
              </w:tc>
              <w:tc>
                <w:tcPr>
                  <w:tcW w:w="4535" w:type="dxa"/>
                  <w:vAlign w:val="center"/>
                </w:tcPr>
                <w:p w14:paraId="3FE53EE6">
                  <w:pPr>
                    <w:jc w:val="center"/>
                    <w:rPr>
                      <w:rFonts w:hint="eastAsia" w:ascii="黑体" w:hAnsi="黑体" w:eastAsia="黑体"/>
                      <w:color w:val="auto"/>
                      <w:kern w:val="0"/>
                      <w:szCs w:val="20"/>
                      <w:highlight w:val="none"/>
                      <w:lang w:eastAsia="zh-CN"/>
                    </w:rPr>
                  </w:pPr>
                  <w:r>
                    <w:rPr>
                      <w:rFonts w:hint="eastAsia" w:ascii="Times New Roman" w:hAnsi="Times New Roman" w:eastAsia="黑体" w:cs="Times New Roman"/>
                      <w:bCs/>
                      <w:color w:val="auto"/>
                      <w:highlight w:val="none"/>
                      <w:lang w:eastAsia="zh-CN"/>
                    </w:rPr>
                    <w:drawing>
                      <wp:inline distT="0" distB="0" distL="114300" distR="114300">
                        <wp:extent cx="2718435" cy="2038985"/>
                        <wp:effectExtent l="0" t="0" r="5715" b="18415"/>
                        <wp:docPr id="18" name="图片 18" descr="3FX__(OTEI@W40WKLFITX%B_t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FX__(OTEI@W40WKLFITX%B_tmb"/>
                                <pic:cNvPicPr>
                                  <a:picLocks noChangeAspect="1"/>
                                </pic:cNvPicPr>
                              </pic:nvPicPr>
                              <pic:blipFill>
                                <a:blip r:embed="rId26"/>
                                <a:stretch>
                                  <a:fillRect/>
                                </a:stretch>
                              </pic:blipFill>
                              <pic:spPr>
                                <a:xfrm>
                                  <a:off x="0" y="0"/>
                                  <a:ext cx="2718435" cy="2038985"/>
                                </a:xfrm>
                                <a:prstGeom prst="rect">
                                  <a:avLst/>
                                </a:prstGeom>
                              </pic:spPr>
                            </pic:pic>
                          </a:graphicData>
                        </a:graphic>
                      </wp:inline>
                    </w:drawing>
                  </w:r>
                </w:p>
              </w:tc>
            </w:tr>
            <w:tr w14:paraId="558A1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5" w:hRule="atLeast"/>
                <w:jc w:val="center"/>
              </w:trPr>
              <w:tc>
                <w:tcPr>
                  <w:tcW w:w="4535" w:type="dxa"/>
                </w:tcPr>
                <w:p w14:paraId="13C2E30F">
                  <w:pPr>
                    <w:jc w:val="center"/>
                    <w:rPr>
                      <w:rFonts w:hint="eastAsia" w:ascii="黑体" w:hAnsi="黑体" w:eastAsia="黑体"/>
                      <w:color w:val="auto"/>
                      <w:kern w:val="0"/>
                      <w:szCs w:val="20"/>
                      <w:highlight w:val="none"/>
                      <w:lang w:eastAsia="zh-CN"/>
                    </w:rPr>
                  </w:pPr>
                  <w:r>
                    <w:rPr>
                      <w:rFonts w:hint="eastAsia" w:ascii="黑体" w:hAnsi="黑体" w:eastAsia="黑体"/>
                      <w:color w:val="auto"/>
                      <w:kern w:val="0"/>
                      <w:szCs w:val="20"/>
                      <w:highlight w:val="none"/>
                    </w:rPr>
                    <w:t>填埋气预处理</w:t>
                  </w:r>
                  <w:r>
                    <w:rPr>
                      <w:rFonts w:hint="eastAsia" w:ascii="黑体" w:hAnsi="黑体" w:eastAsia="黑体"/>
                      <w:color w:val="auto"/>
                      <w:kern w:val="0"/>
                      <w:szCs w:val="20"/>
                      <w:highlight w:val="none"/>
                      <w:lang w:eastAsia="zh-CN"/>
                    </w:rPr>
                    <w:t>（</w:t>
                  </w:r>
                  <w:r>
                    <w:rPr>
                      <w:rFonts w:hint="eastAsia" w:ascii="黑体" w:hAnsi="黑体" w:eastAsia="黑体"/>
                      <w:color w:val="auto"/>
                      <w:kern w:val="0"/>
                      <w:szCs w:val="20"/>
                      <w:highlight w:val="none"/>
                    </w:rPr>
                    <w:t>过滤器</w:t>
                  </w:r>
                  <w:r>
                    <w:rPr>
                      <w:rFonts w:hint="eastAsia" w:ascii="黑体" w:hAnsi="黑体" w:eastAsia="黑体"/>
                      <w:color w:val="auto"/>
                      <w:kern w:val="0"/>
                      <w:szCs w:val="20"/>
                      <w:highlight w:val="none"/>
                      <w:lang w:eastAsia="zh-CN"/>
                    </w:rPr>
                    <w:t>）</w:t>
                  </w:r>
                </w:p>
              </w:tc>
              <w:tc>
                <w:tcPr>
                  <w:tcW w:w="4535" w:type="dxa"/>
                </w:tcPr>
                <w:p w14:paraId="57A98A9A">
                  <w:pPr>
                    <w:jc w:val="center"/>
                    <w:rPr>
                      <w:rFonts w:ascii="黑体" w:hAnsi="黑体" w:eastAsia="黑体"/>
                      <w:color w:val="auto"/>
                      <w:kern w:val="0"/>
                      <w:szCs w:val="20"/>
                      <w:highlight w:val="none"/>
                    </w:rPr>
                  </w:pPr>
                  <w:r>
                    <w:rPr>
                      <w:rFonts w:hint="eastAsia" w:ascii="黑体" w:hAnsi="黑体" w:eastAsia="黑体"/>
                      <w:color w:val="auto"/>
                      <w:kern w:val="0"/>
                      <w:szCs w:val="20"/>
                      <w:highlight w:val="none"/>
                    </w:rPr>
                    <w:t>填埋气预处理</w:t>
                  </w:r>
                  <w:r>
                    <w:rPr>
                      <w:rFonts w:hint="eastAsia" w:ascii="黑体" w:hAnsi="黑体" w:eastAsia="黑体"/>
                      <w:color w:val="auto"/>
                      <w:kern w:val="0"/>
                      <w:szCs w:val="20"/>
                      <w:highlight w:val="none"/>
                      <w:lang w:eastAsia="zh-CN"/>
                    </w:rPr>
                    <w:t>（脱硫罐）</w:t>
                  </w:r>
                </w:p>
              </w:tc>
            </w:tr>
            <w:tr w14:paraId="6E1F0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0" w:hRule="atLeast"/>
                <w:jc w:val="center"/>
              </w:trPr>
              <w:tc>
                <w:tcPr>
                  <w:tcW w:w="4535" w:type="dxa"/>
                  <w:vAlign w:val="center"/>
                </w:tcPr>
                <w:p w14:paraId="3F9E061A">
                  <w:pPr>
                    <w:jc w:val="center"/>
                    <w:rPr>
                      <w:rFonts w:hint="eastAsia" w:ascii="黑体" w:hAnsi="黑体" w:eastAsia="黑体"/>
                      <w:color w:val="auto"/>
                      <w:kern w:val="0"/>
                      <w:szCs w:val="20"/>
                      <w:highlight w:val="none"/>
                      <w:lang w:eastAsia="zh-CN"/>
                    </w:rPr>
                  </w:pPr>
                  <w:r>
                    <w:rPr>
                      <w:rFonts w:ascii="宋体" w:hAnsi="宋体" w:eastAsia="宋体" w:cs="宋体"/>
                      <w:sz w:val="24"/>
                      <w:szCs w:val="24"/>
                    </w:rPr>
                    <w:drawing>
                      <wp:inline distT="0" distB="0" distL="114300" distR="114300">
                        <wp:extent cx="2879725" cy="2159635"/>
                        <wp:effectExtent l="0" t="0" r="15875" b="12065"/>
                        <wp:docPr id="21"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IMG_256"/>
                                <pic:cNvPicPr>
                                  <a:picLocks noChangeAspect="1"/>
                                </pic:cNvPicPr>
                              </pic:nvPicPr>
                              <pic:blipFill>
                                <a:blip r:embed="rId27"/>
                                <a:stretch>
                                  <a:fillRect/>
                                </a:stretch>
                              </pic:blipFill>
                              <pic:spPr>
                                <a:xfrm>
                                  <a:off x="0" y="0"/>
                                  <a:ext cx="2879725" cy="2159635"/>
                                </a:xfrm>
                                <a:prstGeom prst="rect">
                                  <a:avLst/>
                                </a:prstGeom>
                                <a:noFill/>
                                <a:ln w="9525">
                                  <a:noFill/>
                                </a:ln>
                              </pic:spPr>
                            </pic:pic>
                          </a:graphicData>
                        </a:graphic>
                      </wp:inline>
                    </w:drawing>
                  </w:r>
                </w:p>
              </w:tc>
              <w:tc>
                <w:tcPr>
                  <w:tcW w:w="4535" w:type="dxa"/>
                  <w:vAlign w:val="center"/>
                </w:tcPr>
                <w:p w14:paraId="427BBA59">
                  <w:pPr>
                    <w:jc w:val="center"/>
                    <w:rPr>
                      <w:rFonts w:hint="eastAsia" w:ascii="黑体" w:hAnsi="黑体" w:eastAsia="黑体"/>
                      <w:color w:val="auto"/>
                      <w:kern w:val="0"/>
                      <w:szCs w:val="20"/>
                      <w:highlight w:val="none"/>
                      <w:lang w:eastAsia="zh-CN"/>
                    </w:rPr>
                  </w:pPr>
                  <w:r>
                    <w:rPr>
                      <w:rFonts w:ascii="宋体" w:hAnsi="宋体" w:eastAsia="宋体" w:cs="宋体"/>
                      <w:sz w:val="24"/>
                      <w:szCs w:val="24"/>
                    </w:rPr>
                    <w:drawing>
                      <wp:inline distT="0" distB="0" distL="114300" distR="114300">
                        <wp:extent cx="2879725" cy="2159635"/>
                        <wp:effectExtent l="0" t="0" r="15875" b="12065"/>
                        <wp:docPr id="22"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descr="IMG_256"/>
                                <pic:cNvPicPr>
                                  <a:picLocks noChangeAspect="1"/>
                                </pic:cNvPicPr>
                              </pic:nvPicPr>
                              <pic:blipFill>
                                <a:blip r:embed="rId28"/>
                                <a:stretch>
                                  <a:fillRect/>
                                </a:stretch>
                              </pic:blipFill>
                              <pic:spPr>
                                <a:xfrm>
                                  <a:off x="0" y="0"/>
                                  <a:ext cx="2879725" cy="2159635"/>
                                </a:xfrm>
                                <a:prstGeom prst="rect">
                                  <a:avLst/>
                                </a:prstGeom>
                                <a:noFill/>
                                <a:ln w="9525">
                                  <a:noFill/>
                                </a:ln>
                              </pic:spPr>
                            </pic:pic>
                          </a:graphicData>
                        </a:graphic>
                      </wp:inline>
                    </w:drawing>
                  </w:r>
                </w:p>
              </w:tc>
            </w:tr>
            <w:tr w14:paraId="6EA99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5" w:hRule="atLeast"/>
                <w:jc w:val="center"/>
              </w:trPr>
              <w:tc>
                <w:tcPr>
                  <w:tcW w:w="9070" w:type="dxa"/>
                  <w:gridSpan w:val="2"/>
                </w:tcPr>
                <w:p w14:paraId="79635591">
                  <w:pPr>
                    <w:jc w:val="center"/>
                    <w:rPr>
                      <w:rFonts w:hint="eastAsia" w:ascii="黑体" w:hAnsi="黑体" w:eastAsia="黑体"/>
                      <w:color w:val="auto"/>
                      <w:kern w:val="0"/>
                      <w:szCs w:val="20"/>
                      <w:highlight w:val="none"/>
                    </w:rPr>
                  </w:pPr>
                  <w:r>
                    <w:rPr>
                      <w:rFonts w:hint="eastAsia" w:ascii="黑体" w:hAnsi="黑体" w:eastAsia="黑体"/>
                      <w:color w:val="auto"/>
                      <w:kern w:val="0"/>
                      <w:szCs w:val="20"/>
                      <w:highlight w:val="none"/>
                    </w:rPr>
                    <w:t>危废暂存间</w:t>
                  </w:r>
                </w:p>
              </w:tc>
            </w:tr>
          </w:tbl>
          <w:p w14:paraId="3BE46E5E">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rPr>
              <w:t>固体废物治理设施照片</w:t>
            </w:r>
          </w:p>
          <w:p w14:paraId="4850524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3.2其他环境保护措施</w:t>
            </w:r>
          </w:p>
          <w:p w14:paraId="2297AF38">
            <w:pPr>
              <w:keepNext w:val="0"/>
              <w:keepLines w:val="0"/>
              <w:pageBreakBefore w:val="0"/>
              <w:widowControl w:val="0"/>
              <w:kinsoku/>
              <w:wordWrap/>
              <w:overflowPunct/>
              <w:topLinePunct w:val="0"/>
              <w:autoSpaceDE/>
              <w:autoSpaceDN/>
              <w:bidi w:val="0"/>
              <w:adjustRightInd/>
              <w:snapToGrid/>
              <w:spacing w:line="360" w:lineRule="auto"/>
              <w:ind w:right="153" w:rightChars="85" w:firstLine="480" w:firstLineChars="200"/>
              <w:textAlignment w:val="auto"/>
              <w:rPr>
                <w:rFonts w:eastAsia="黑体"/>
                <w:color w:val="auto"/>
                <w:sz w:val="24"/>
                <w:highlight w:val="none"/>
              </w:rPr>
            </w:pPr>
            <w:r>
              <w:rPr>
                <w:rFonts w:eastAsia="黑体"/>
                <w:color w:val="auto"/>
                <w:sz w:val="24"/>
                <w:highlight w:val="none"/>
              </w:rPr>
              <w:t>3.2.</w:t>
            </w:r>
            <w:r>
              <w:rPr>
                <w:rFonts w:hint="eastAsia" w:eastAsia="黑体"/>
                <w:color w:val="auto"/>
                <w:sz w:val="24"/>
                <w:highlight w:val="none"/>
                <w:lang w:val="en-US" w:eastAsia="zh-CN"/>
              </w:rPr>
              <w:t>1</w:t>
            </w:r>
            <w:r>
              <w:rPr>
                <w:rFonts w:hint="eastAsia" w:eastAsia="黑体"/>
                <w:color w:val="auto"/>
                <w:sz w:val="24"/>
                <w:highlight w:val="none"/>
              </w:rPr>
              <w:t>环境风险防范设施</w:t>
            </w:r>
          </w:p>
          <w:p w14:paraId="4645DFA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（1）应急事故池</w:t>
            </w:r>
          </w:p>
          <w:p w14:paraId="79AC18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本项目位于武汉市江夏区金口街街道长山口生活垃圾卫生填埋场内，属于武汉市长山口生活垃圾填埋场配套工程。事故状态下的事故废水和收集的初期雨水依托填埋场现有一期工程建设的调节池进行暂存，随后依托填埋场渗滤液处理站进行处理，达标后排放。</w:t>
            </w:r>
          </w:p>
          <w:p w14:paraId="68D8E5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（2）防渗工程</w:t>
            </w:r>
          </w:p>
          <w:p w14:paraId="645C9C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项目厂区按照环评要求落实了分区防渗。生产场所地面进行混凝土硬化防渗；危废暂存间采用一体化危废暂存间，底板使用镀锌板无缝焊接而成，内设截留、收集系统、分区暂存，符合《危险废物贮存污染控制标准》（GB18597）相关标准要求。</w:t>
            </w:r>
          </w:p>
          <w:p w14:paraId="0ED39B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（3）突发环境事件应急预案</w:t>
            </w:r>
          </w:p>
          <w:p w14:paraId="3B8F8E5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highlight w:val="none"/>
              </w:rPr>
            </w:pPr>
            <w:r>
              <w:rPr>
                <w:rFonts w:hint="eastAsia"/>
                <w:color w:val="auto"/>
                <w:sz w:val="24"/>
                <w:highlight w:val="none"/>
              </w:rPr>
              <w:t>建设单位已设置甲烷泄漏检测器，用于</w:t>
            </w:r>
            <w:r>
              <w:rPr>
                <w:rFonts w:hint="eastAsia" w:ascii="Times New Roman" w:hAnsi="Times New Roman" w:eastAsia="宋体" w:cs="Times New Roman"/>
                <w:color w:val="auto"/>
                <w:sz w:val="24"/>
                <w:highlight w:val="none"/>
              </w:rPr>
              <w:t>检测填埋气（沼气）的泄漏，</w:t>
            </w:r>
            <w:r>
              <w:rPr>
                <w:rFonts w:hint="eastAsia" w:ascii="Times New Roman" w:hAnsi="Times New Roman" w:eastAsia="宋体" w:cs="Times New Roman"/>
                <w:color w:val="auto"/>
                <w:sz w:val="24"/>
                <w:highlight w:val="none"/>
                <w:lang w:eastAsia="zh-CN"/>
              </w:rPr>
              <w:t>现有工程</w:t>
            </w:r>
            <w:r>
              <w:rPr>
                <w:rFonts w:hint="eastAsia" w:ascii="Times New Roman" w:hAnsi="Times New Roman" w:eastAsia="宋体" w:cs="Times New Roman"/>
                <w:color w:val="auto"/>
                <w:sz w:val="24"/>
                <w:highlight w:val="none"/>
              </w:rPr>
              <w:t>已编制完成《突发环境事件应急预案》并进行备案</w:t>
            </w:r>
            <w:r>
              <w:rPr>
                <w:rFonts w:hint="eastAsia" w:ascii="Times New Roman" w:hAnsi="Times New Roman" w:eastAsia="宋体" w:cs="Times New Roman"/>
                <w:color w:val="auto"/>
                <w:sz w:val="24"/>
                <w:highlight w:val="none"/>
                <w:lang w:eastAsia="zh-CN"/>
              </w:rPr>
              <w:t>，备案编号：420115-2023-05-L</w:t>
            </w:r>
            <w:r>
              <w:rPr>
                <w:rFonts w:hint="eastAsia" w:ascii="Times New Roman" w:hAnsi="Times New Roman" w:eastAsia="宋体" w:cs="Times New Roman"/>
                <w:color w:val="auto"/>
                <w:sz w:val="24"/>
                <w:highlight w:val="none"/>
              </w:rPr>
              <w:t>。</w:t>
            </w:r>
          </w:p>
          <w:p w14:paraId="7420E2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kern w:val="0"/>
                <w:sz w:val="24"/>
                <w:highlight w:val="none"/>
                <w:lang w:val="en-US" w:eastAsia="zh-CN"/>
              </w:rPr>
            </w:pPr>
            <w:r>
              <w:rPr>
                <w:rFonts w:hint="eastAsia"/>
                <w:color w:val="auto"/>
                <w:sz w:val="24"/>
                <w:highlight w:val="none"/>
                <w:lang w:eastAsia="zh-CN"/>
              </w:rPr>
              <w:t>同时，续建工程</w:t>
            </w:r>
            <w:r>
              <w:rPr>
                <w:rFonts w:hint="eastAsia"/>
                <w:color w:val="auto"/>
                <w:kern w:val="0"/>
                <w:sz w:val="24"/>
                <w:highlight w:val="none"/>
                <w:lang w:val="en-US" w:eastAsia="zh-CN"/>
              </w:rPr>
              <w:t>已完成了《突发环境事件应急预案》的修编，并进行同步备案。</w:t>
            </w:r>
          </w:p>
          <w:tbl>
            <w:tblPr>
              <w:tblStyle w:val="30"/>
              <w:tblW w:w="912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60"/>
              <w:gridCol w:w="4560"/>
            </w:tblGrid>
            <w:tr w14:paraId="585CA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2" w:hRule="atLeast"/>
              </w:trPr>
              <w:tc>
                <w:tcPr>
                  <w:tcW w:w="4560" w:type="dxa"/>
                </w:tcPr>
                <w:p w14:paraId="44AD5CD9">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lang w:eastAsia="zh-CN"/>
                    </w:rPr>
                  </w:pPr>
                  <w:r>
                    <w:rPr>
                      <w:rFonts w:hint="eastAsia" w:ascii="黑体" w:hAnsi="黑体" w:eastAsia="黑体" w:cs="Times New Roman"/>
                      <w:color w:val="auto"/>
                      <w:sz w:val="18"/>
                      <w:szCs w:val="18"/>
                      <w:highlight w:val="none"/>
                      <w:lang w:eastAsia="zh-CN"/>
                    </w:rPr>
                    <w:drawing>
                      <wp:inline distT="0" distB="0" distL="114300" distR="114300">
                        <wp:extent cx="2712085" cy="2033905"/>
                        <wp:effectExtent l="0" t="0" r="12065" b="4445"/>
                        <wp:docPr id="1" name="图片 1" descr="IMG_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6899"/>
                                <pic:cNvPicPr>
                                  <a:picLocks noChangeAspect="1"/>
                                </pic:cNvPicPr>
                              </pic:nvPicPr>
                              <pic:blipFill>
                                <a:blip r:embed="rId29"/>
                                <a:stretch>
                                  <a:fillRect/>
                                </a:stretch>
                              </pic:blipFill>
                              <pic:spPr>
                                <a:xfrm>
                                  <a:off x="0" y="0"/>
                                  <a:ext cx="2712085" cy="2033905"/>
                                </a:xfrm>
                                <a:prstGeom prst="rect">
                                  <a:avLst/>
                                </a:prstGeom>
                              </pic:spPr>
                            </pic:pic>
                          </a:graphicData>
                        </a:graphic>
                      </wp:inline>
                    </w:drawing>
                  </w:r>
                </w:p>
              </w:tc>
              <w:tc>
                <w:tcPr>
                  <w:tcW w:w="4560" w:type="dxa"/>
                </w:tcPr>
                <w:p w14:paraId="2488A8D1">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lang w:eastAsia="zh-CN"/>
                    </w:rPr>
                  </w:pPr>
                  <w:r>
                    <w:rPr>
                      <w:color w:val="auto"/>
                      <w:highlight w:val="none"/>
                    </w:rPr>
                    <w:drawing>
                      <wp:inline distT="0" distB="0" distL="114300" distR="114300">
                        <wp:extent cx="2710815" cy="2033905"/>
                        <wp:effectExtent l="0" t="0" r="13335" b="4445"/>
                        <wp:docPr id="20" name="图片 3"/>
                        <wp:cNvGraphicFramePr/>
                        <a:graphic xmlns:a="http://schemas.openxmlformats.org/drawingml/2006/main">
                          <a:graphicData uri="http://schemas.openxmlformats.org/drawingml/2006/picture">
                            <pic:pic xmlns:pic="http://schemas.openxmlformats.org/drawingml/2006/picture">
                              <pic:nvPicPr>
                                <pic:cNvPr id="20" name="图片 3"/>
                                <pic:cNvPicPr/>
                              </pic:nvPicPr>
                              <pic:blipFill>
                                <a:blip r:embed="rId30"/>
                                <a:stretch>
                                  <a:fillRect/>
                                </a:stretch>
                              </pic:blipFill>
                              <pic:spPr>
                                <a:xfrm>
                                  <a:off x="0" y="0"/>
                                  <a:ext cx="2710815" cy="2033905"/>
                                </a:xfrm>
                                <a:prstGeom prst="rect">
                                  <a:avLst/>
                                </a:prstGeom>
                                <a:noFill/>
                                <a:ln>
                                  <a:noFill/>
                                </a:ln>
                              </pic:spPr>
                            </pic:pic>
                          </a:graphicData>
                        </a:graphic>
                      </wp:inline>
                    </w:drawing>
                  </w:r>
                </w:p>
              </w:tc>
            </w:tr>
            <w:tr w14:paraId="4039C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4560" w:type="dxa"/>
                </w:tcPr>
                <w:p w14:paraId="082F8F36">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rPr>
                  </w:pPr>
                  <w:r>
                    <w:rPr>
                      <w:rFonts w:hint="eastAsia" w:ascii="黑体" w:hAnsi="黑体" w:eastAsia="黑体" w:cs="Times New Roman"/>
                      <w:color w:val="auto"/>
                      <w:sz w:val="18"/>
                      <w:szCs w:val="18"/>
                      <w:highlight w:val="none"/>
                    </w:rPr>
                    <w:t>混凝土硬化防渗</w:t>
                  </w:r>
                </w:p>
              </w:tc>
              <w:tc>
                <w:tcPr>
                  <w:tcW w:w="4560" w:type="dxa"/>
                </w:tcPr>
                <w:p w14:paraId="44C1FB5B">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rPr>
                  </w:pPr>
                  <w:r>
                    <w:rPr>
                      <w:rFonts w:hint="eastAsia" w:ascii="黑体" w:hAnsi="黑体" w:eastAsia="黑体" w:cs="Times New Roman"/>
                      <w:color w:val="auto"/>
                      <w:sz w:val="18"/>
                      <w:szCs w:val="18"/>
                      <w:highlight w:val="none"/>
                    </w:rPr>
                    <w:t>甲烷泄漏检测器</w:t>
                  </w:r>
                </w:p>
              </w:tc>
            </w:tr>
            <w:tr w14:paraId="7B58C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atLeast"/>
              </w:trPr>
              <w:tc>
                <w:tcPr>
                  <w:tcW w:w="9120" w:type="dxa"/>
                  <w:gridSpan w:val="2"/>
                  <w:vAlign w:val="top"/>
                </w:tcPr>
                <w:p w14:paraId="03283C95">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lang w:eastAsia="zh-CN"/>
                    </w:rPr>
                  </w:pPr>
                  <w:r>
                    <w:rPr>
                      <w:rFonts w:hint="eastAsia" w:ascii="黑体" w:hAnsi="黑体" w:eastAsia="黑体" w:cs="Times New Roman"/>
                      <w:color w:val="auto"/>
                      <w:sz w:val="18"/>
                      <w:szCs w:val="18"/>
                      <w:highlight w:val="none"/>
                      <w:lang w:eastAsia="zh-CN"/>
                    </w:rPr>
                    <w:drawing>
                      <wp:inline distT="0" distB="0" distL="114300" distR="114300">
                        <wp:extent cx="5103495" cy="2499995"/>
                        <wp:effectExtent l="0" t="0" r="1905" b="14605"/>
                        <wp:docPr id="5" name="图片 5" descr="IMG_6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6932"/>
                                <pic:cNvPicPr>
                                  <a:picLocks noChangeAspect="1"/>
                                </pic:cNvPicPr>
                              </pic:nvPicPr>
                              <pic:blipFill>
                                <a:blip r:embed="rId31"/>
                                <a:stretch>
                                  <a:fillRect/>
                                </a:stretch>
                              </pic:blipFill>
                              <pic:spPr>
                                <a:xfrm>
                                  <a:off x="0" y="0"/>
                                  <a:ext cx="5103495" cy="2499995"/>
                                </a:xfrm>
                                <a:prstGeom prst="rect">
                                  <a:avLst/>
                                </a:prstGeom>
                              </pic:spPr>
                            </pic:pic>
                          </a:graphicData>
                        </a:graphic>
                      </wp:inline>
                    </w:drawing>
                  </w:r>
                </w:p>
              </w:tc>
            </w:tr>
            <w:tr w14:paraId="271C0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120" w:type="dxa"/>
                  <w:gridSpan w:val="2"/>
                </w:tcPr>
                <w:p w14:paraId="33A9B070">
                  <w:pPr>
                    <w:keepNext w:val="0"/>
                    <w:keepLines w:val="0"/>
                    <w:pageBreakBefore w:val="0"/>
                    <w:widowControl w:val="0"/>
                    <w:kinsoku/>
                    <w:wordWrap/>
                    <w:overflowPunct/>
                    <w:topLinePunct w:val="0"/>
                    <w:autoSpaceDE/>
                    <w:autoSpaceDN/>
                    <w:bidi w:val="0"/>
                    <w:adjustRightInd w:val="0"/>
                    <w:snapToGrid w:val="0"/>
                    <w:spacing w:after="63" w:afterLines="20"/>
                    <w:jc w:val="center"/>
                    <w:textAlignment w:val="auto"/>
                    <w:rPr>
                      <w:rFonts w:hint="eastAsia" w:ascii="黑体" w:hAnsi="黑体" w:eastAsia="黑体" w:cs="Times New Roman"/>
                      <w:color w:val="auto"/>
                      <w:sz w:val="18"/>
                      <w:szCs w:val="18"/>
                      <w:highlight w:val="none"/>
                      <w:lang w:eastAsia="zh-CN"/>
                    </w:rPr>
                  </w:pPr>
                  <w:r>
                    <w:rPr>
                      <w:rFonts w:hint="eastAsia" w:ascii="黑体" w:hAnsi="黑体" w:eastAsia="黑体" w:cs="Times New Roman"/>
                      <w:color w:val="auto"/>
                      <w:sz w:val="18"/>
                      <w:szCs w:val="18"/>
                      <w:highlight w:val="none"/>
                      <w:lang w:eastAsia="zh-CN"/>
                    </w:rPr>
                    <w:t>填埋场调节池（依托）</w:t>
                  </w:r>
                </w:p>
              </w:tc>
            </w:tr>
          </w:tbl>
          <w:p w14:paraId="438E2E2F">
            <w:pPr>
              <w:pStyle w:val="124"/>
              <w:numPr>
                <w:ilvl w:val="0"/>
                <w:numId w:val="5"/>
              </w:numPr>
              <w:adjustRightInd/>
              <w:snapToGrid/>
              <w:spacing w:line="240" w:lineRule="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风险防范设施照片</w:t>
            </w:r>
          </w:p>
          <w:p w14:paraId="716360C2">
            <w:pPr>
              <w:keepNext w:val="0"/>
              <w:keepLines w:val="0"/>
              <w:pageBreakBefore w:val="0"/>
              <w:widowControl w:val="0"/>
              <w:kinsoku/>
              <w:wordWrap/>
              <w:overflowPunct/>
              <w:topLinePunct w:val="0"/>
              <w:autoSpaceDE/>
              <w:autoSpaceDN/>
              <w:bidi w:val="0"/>
              <w:adjustRightInd/>
              <w:snapToGrid/>
              <w:spacing w:line="360" w:lineRule="auto"/>
              <w:ind w:right="153" w:rightChars="85" w:firstLine="480" w:firstLineChars="200"/>
              <w:textAlignment w:val="auto"/>
              <w:rPr>
                <w:rFonts w:ascii="Times New Roman" w:hAnsi="Times New Roman" w:eastAsia="黑体" w:cs="Times New Roman"/>
                <w:color w:val="auto"/>
                <w:sz w:val="24"/>
                <w:highlight w:val="none"/>
              </w:rPr>
            </w:pPr>
            <w:r>
              <w:rPr>
                <w:rFonts w:hint="eastAsia" w:ascii="Times New Roman" w:hAnsi="Times New Roman" w:eastAsia="黑体" w:cs="Times New Roman"/>
                <w:color w:val="auto"/>
                <w:sz w:val="24"/>
                <w:highlight w:val="none"/>
              </w:rPr>
              <w:t>3.2.</w:t>
            </w:r>
            <w:r>
              <w:rPr>
                <w:rFonts w:hint="eastAsia" w:ascii="Times New Roman" w:hAnsi="Times New Roman" w:eastAsia="黑体" w:cs="Times New Roman"/>
                <w:color w:val="auto"/>
                <w:sz w:val="24"/>
                <w:highlight w:val="none"/>
                <w:lang w:val="en-US" w:eastAsia="zh-CN"/>
              </w:rPr>
              <w:t>2</w:t>
            </w:r>
            <w:r>
              <w:rPr>
                <w:rFonts w:hint="eastAsia" w:ascii="Times New Roman" w:hAnsi="Times New Roman" w:eastAsia="黑体" w:cs="Times New Roman"/>
                <w:color w:val="auto"/>
                <w:sz w:val="24"/>
                <w:highlight w:val="none"/>
              </w:rPr>
              <w:t>规范化排污口、监测设施及在线监测装置</w:t>
            </w:r>
          </w:p>
          <w:p w14:paraId="236D0D2D">
            <w:pPr>
              <w:adjustRightInd/>
              <w:snapToGrid/>
              <w:spacing w:line="360" w:lineRule="auto"/>
              <w:ind w:firstLine="480" w:firstLineChars="200"/>
              <w:rPr>
                <w:rFonts w:hint="eastAsia"/>
                <w:color w:val="auto"/>
                <w:sz w:val="24"/>
                <w:highlight w:val="none"/>
              </w:rPr>
            </w:pPr>
            <w:r>
              <w:rPr>
                <w:rFonts w:hint="eastAsia"/>
                <w:color w:val="auto"/>
                <w:sz w:val="24"/>
                <w:highlight w:val="none"/>
                <w:lang w:eastAsia="zh-CN"/>
              </w:rPr>
              <w:t>续建工程</w:t>
            </w:r>
            <w:r>
              <w:rPr>
                <w:rFonts w:hint="eastAsia"/>
                <w:color w:val="auto"/>
                <w:sz w:val="24"/>
                <w:highlight w:val="none"/>
              </w:rPr>
              <w:t>废气共设置</w:t>
            </w:r>
            <w:r>
              <w:rPr>
                <w:rFonts w:hint="eastAsia"/>
                <w:color w:val="auto"/>
                <w:sz w:val="24"/>
                <w:highlight w:val="none"/>
                <w:lang w:val="en-US" w:eastAsia="zh-CN"/>
              </w:rPr>
              <w:t>6</w:t>
            </w:r>
            <w:r>
              <w:rPr>
                <w:rFonts w:hint="eastAsia"/>
                <w:color w:val="auto"/>
                <w:sz w:val="24"/>
                <w:highlight w:val="none"/>
              </w:rPr>
              <w:t>个排气筒，均设置有规范化永久性监测孔。本项目环评及批复未要求安装在线监测装置。</w:t>
            </w:r>
          </w:p>
          <w:p w14:paraId="7BDA2896">
            <w:pPr>
              <w:adjustRightInd/>
              <w:snapToGrid/>
              <w:spacing w:line="360" w:lineRule="auto"/>
              <w:ind w:firstLine="480" w:firstLineChars="200"/>
              <w:rPr>
                <w:rFonts w:hint="eastAsia"/>
                <w:color w:val="auto"/>
                <w:sz w:val="24"/>
                <w:highlight w:val="none"/>
                <w:lang w:eastAsia="zh-CN"/>
              </w:rPr>
            </w:pPr>
            <w:r>
              <w:rPr>
                <w:rFonts w:hint="eastAsia"/>
                <w:color w:val="auto"/>
                <w:sz w:val="24"/>
                <w:highlight w:val="none"/>
                <w:lang w:eastAsia="zh-CN"/>
              </w:rPr>
              <w:t>续建工程新增废水主要为沼气冷凝液，经管道直接进入长山口填埋场渗滤液处理站处理，未设置排口。现有工程员工生活污水经“化粪池”预处理后，进入长山口填埋场渗滤液处理站处理，于厂区设置有一个污水排放口（</w:t>
            </w:r>
            <w:r>
              <w:rPr>
                <w:rFonts w:hint="eastAsia"/>
                <w:color w:val="auto"/>
                <w:sz w:val="24"/>
                <w:highlight w:val="none"/>
                <w:lang w:val="en-US" w:eastAsia="zh-CN"/>
              </w:rPr>
              <w:t>DW001</w:t>
            </w:r>
            <w:r>
              <w:rPr>
                <w:rFonts w:hint="eastAsia"/>
                <w:color w:val="auto"/>
                <w:sz w:val="24"/>
                <w:highlight w:val="none"/>
                <w:lang w:eastAsia="zh-CN"/>
              </w:rPr>
              <w:t>）。</w:t>
            </w:r>
          </w:p>
          <w:tbl>
            <w:tblPr>
              <w:tblStyle w:val="30"/>
              <w:tblW w:w="4983"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4519"/>
              <w:gridCol w:w="4520"/>
            </w:tblGrid>
            <w:tr w14:paraId="7B5460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29" w:hRule="atLeast"/>
                <w:jc w:val="center"/>
              </w:trPr>
              <w:tc>
                <w:tcPr>
                  <w:tcW w:w="2500" w:type="pct"/>
                  <w:vAlign w:val="center"/>
                </w:tcPr>
                <w:p w14:paraId="005F8E96">
                  <w:pPr>
                    <w:jc w:val="center"/>
                    <w:rPr>
                      <w:rFonts w:hint="eastAsia" w:ascii="黑体" w:hAnsi="黑体" w:eastAsia="黑体" w:cs="Times New Roman"/>
                      <w:color w:val="auto"/>
                      <w:kern w:val="0"/>
                      <w:szCs w:val="20"/>
                      <w:highlight w:val="none"/>
                      <w:lang w:eastAsia="zh-CN"/>
                    </w:rPr>
                  </w:pPr>
                  <w:r>
                    <w:rPr>
                      <w:rFonts w:hint="eastAsia" w:ascii="黑体" w:hAnsi="黑体" w:eastAsia="黑体" w:cs="Times New Roman"/>
                      <w:color w:val="auto"/>
                      <w:kern w:val="0"/>
                      <w:szCs w:val="20"/>
                      <w:highlight w:val="none"/>
                      <w:lang w:eastAsia="zh-CN"/>
                    </w:rPr>
                    <w:drawing>
                      <wp:inline distT="0" distB="0" distL="114300" distR="114300">
                        <wp:extent cx="2663190" cy="3081655"/>
                        <wp:effectExtent l="0" t="0" r="3810" b="4445"/>
                        <wp:docPr id="37" name="图片 37" descr="8d140bfef91127664935c63cdd7b998"/>
                        <wp:cNvGraphicFramePr/>
                        <a:graphic xmlns:a="http://schemas.openxmlformats.org/drawingml/2006/main">
                          <a:graphicData uri="http://schemas.openxmlformats.org/drawingml/2006/picture">
                            <pic:pic xmlns:pic="http://schemas.openxmlformats.org/drawingml/2006/picture">
                              <pic:nvPicPr>
                                <pic:cNvPr id="37" name="图片 37" descr="8d140bfef91127664935c63cdd7b998"/>
                                <pic:cNvPicPr/>
                              </pic:nvPicPr>
                              <pic:blipFill>
                                <a:blip r:embed="rId32"/>
                                <a:stretch>
                                  <a:fillRect/>
                                </a:stretch>
                              </pic:blipFill>
                              <pic:spPr>
                                <a:xfrm>
                                  <a:off x="0" y="0"/>
                                  <a:ext cx="2663190" cy="3081655"/>
                                </a:xfrm>
                                <a:prstGeom prst="rect">
                                  <a:avLst/>
                                </a:prstGeom>
                              </pic:spPr>
                            </pic:pic>
                          </a:graphicData>
                        </a:graphic>
                      </wp:inline>
                    </w:drawing>
                  </w:r>
                </w:p>
              </w:tc>
              <w:tc>
                <w:tcPr>
                  <w:tcW w:w="2500" w:type="pct"/>
                  <w:vAlign w:val="center"/>
                </w:tcPr>
                <w:p w14:paraId="1AF3F3AD">
                  <w:pPr>
                    <w:jc w:val="center"/>
                    <w:rPr>
                      <w:rFonts w:hint="eastAsia" w:ascii="黑体" w:hAnsi="黑体" w:eastAsia="黑体" w:cs="Times New Roman"/>
                      <w:color w:val="auto"/>
                      <w:kern w:val="0"/>
                      <w:szCs w:val="20"/>
                      <w:highlight w:val="none"/>
                      <w:lang w:eastAsia="zh-CN"/>
                    </w:rPr>
                  </w:pPr>
                  <w:r>
                    <w:rPr>
                      <w:rFonts w:hint="eastAsia" w:ascii="黑体" w:hAnsi="黑体" w:eastAsia="黑体" w:cs="Times New Roman"/>
                      <w:color w:val="auto"/>
                      <w:kern w:val="0"/>
                      <w:szCs w:val="20"/>
                      <w:highlight w:val="none"/>
                      <w:lang w:eastAsia="zh-CN"/>
                    </w:rPr>
                    <w:drawing>
                      <wp:inline distT="0" distB="0" distL="114300" distR="114300">
                        <wp:extent cx="2663825" cy="3081655"/>
                        <wp:effectExtent l="0" t="0" r="3175" b="4445"/>
                        <wp:docPr id="41" name="图片 41" descr="IMG_6925"/>
                        <wp:cNvGraphicFramePr/>
                        <a:graphic xmlns:a="http://schemas.openxmlformats.org/drawingml/2006/main">
                          <a:graphicData uri="http://schemas.openxmlformats.org/drawingml/2006/picture">
                            <pic:pic xmlns:pic="http://schemas.openxmlformats.org/drawingml/2006/picture">
                              <pic:nvPicPr>
                                <pic:cNvPr id="41" name="图片 41" descr="IMG_6925"/>
                                <pic:cNvPicPr/>
                              </pic:nvPicPr>
                              <pic:blipFill>
                                <a:blip r:embed="rId33"/>
                                <a:stretch>
                                  <a:fillRect/>
                                </a:stretch>
                              </pic:blipFill>
                              <pic:spPr>
                                <a:xfrm>
                                  <a:off x="0" y="0"/>
                                  <a:ext cx="2663825" cy="3081655"/>
                                </a:xfrm>
                                <a:prstGeom prst="rect">
                                  <a:avLst/>
                                </a:prstGeom>
                              </pic:spPr>
                            </pic:pic>
                          </a:graphicData>
                        </a:graphic>
                      </wp:inline>
                    </w:drawing>
                  </w:r>
                </w:p>
              </w:tc>
            </w:tr>
            <w:tr w14:paraId="43663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35" w:hRule="atLeast"/>
                <w:jc w:val="center"/>
              </w:trPr>
              <w:tc>
                <w:tcPr>
                  <w:tcW w:w="2500" w:type="pct"/>
                  <w:vAlign w:val="center"/>
                </w:tcPr>
                <w:p w14:paraId="66306F4B">
                  <w:pPr>
                    <w:jc w:val="center"/>
                    <w:rPr>
                      <w:rFonts w:hint="eastAsia" w:ascii="黑体" w:hAnsi="黑体" w:eastAsia="黑体" w:cs="Times New Roman"/>
                      <w:color w:val="auto"/>
                      <w:kern w:val="0"/>
                      <w:szCs w:val="20"/>
                      <w:highlight w:val="none"/>
                    </w:rPr>
                  </w:pPr>
                  <w:r>
                    <w:rPr>
                      <w:rFonts w:hint="eastAsia" w:ascii="黑体" w:hAnsi="黑体" w:eastAsia="黑体" w:cs="Times New Roman"/>
                      <w:color w:val="auto"/>
                      <w:kern w:val="0"/>
                      <w:szCs w:val="20"/>
                      <w:highlight w:val="none"/>
                    </w:rPr>
                    <w:t>废气排放口标识标牌</w:t>
                  </w:r>
                </w:p>
              </w:tc>
              <w:tc>
                <w:tcPr>
                  <w:tcW w:w="2500" w:type="pct"/>
                  <w:vAlign w:val="center"/>
                </w:tcPr>
                <w:p w14:paraId="39C61E51">
                  <w:pPr>
                    <w:jc w:val="center"/>
                    <w:rPr>
                      <w:rFonts w:hint="eastAsia" w:ascii="黑体" w:hAnsi="黑体" w:eastAsia="黑体" w:cs="Times New Roman"/>
                      <w:color w:val="auto"/>
                      <w:kern w:val="0"/>
                      <w:szCs w:val="20"/>
                      <w:highlight w:val="none"/>
                    </w:rPr>
                  </w:pPr>
                  <w:r>
                    <w:rPr>
                      <w:rFonts w:hint="eastAsia" w:ascii="黑体" w:hAnsi="黑体" w:eastAsia="黑体" w:cs="Times New Roman"/>
                      <w:color w:val="auto"/>
                      <w:kern w:val="0"/>
                      <w:szCs w:val="20"/>
                      <w:highlight w:val="none"/>
                    </w:rPr>
                    <w:t>采样平台</w:t>
                  </w:r>
                </w:p>
              </w:tc>
            </w:tr>
            <w:tr w14:paraId="74C62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29" w:hRule="atLeast"/>
                <w:jc w:val="center"/>
              </w:trPr>
              <w:tc>
                <w:tcPr>
                  <w:tcW w:w="2500" w:type="pct"/>
                  <w:vAlign w:val="center"/>
                </w:tcPr>
                <w:p w14:paraId="2AC3EE00">
                  <w:pPr>
                    <w:jc w:val="center"/>
                    <w:rPr>
                      <w:rFonts w:hint="eastAsia" w:ascii="黑体" w:hAnsi="黑体" w:eastAsia="黑体" w:cs="Times New Roman"/>
                      <w:color w:val="auto"/>
                      <w:kern w:val="0"/>
                      <w:szCs w:val="20"/>
                      <w:highlight w:val="none"/>
                    </w:rPr>
                  </w:pPr>
                  <w:r>
                    <w:rPr>
                      <w:color w:val="auto"/>
                      <w:highlight w:val="none"/>
                    </w:rPr>
                    <w:drawing>
                      <wp:inline distT="0" distB="0" distL="114300" distR="114300">
                        <wp:extent cx="2663825" cy="3081655"/>
                        <wp:effectExtent l="0" t="0" r="3175" b="4445"/>
                        <wp:docPr id="45" name="图片 11"/>
                        <wp:cNvGraphicFramePr/>
                        <a:graphic xmlns:a="http://schemas.openxmlformats.org/drawingml/2006/main">
                          <a:graphicData uri="http://schemas.openxmlformats.org/drawingml/2006/picture">
                            <pic:pic xmlns:pic="http://schemas.openxmlformats.org/drawingml/2006/picture">
                              <pic:nvPicPr>
                                <pic:cNvPr id="45" name="图片 11"/>
                                <pic:cNvPicPr/>
                              </pic:nvPicPr>
                              <pic:blipFill>
                                <a:blip r:embed="rId34"/>
                                <a:stretch>
                                  <a:fillRect/>
                                </a:stretch>
                              </pic:blipFill>
                              <pic:spPr>
                                <a:xfrm>
                                  <a:off x="0" y="0"/>
                                  <a:ext cx="2663825" cy="3081655"/>
                                </a:xfrm>
                                <a:prstGeom prst="rect">
                                  <a:avLst/>
                                </a:prstGeom>
                                <a:noFill/>
                                <a:ln>
                                  <a:noFill/>
                                </a:ln>
                              </pic:spPr>
                            </pic:pic>
                          </a:graphicData>
                        </a:graphic>
                      </wp:inline>
                    </w:drawing>
                  </w:r>
                </w:p>
              </w:tc>
              <w:tc>
                <w:tcPr>
                  <w:tcW w:w="2500" w:type="pct"/>
                  <w:vAlign w:val="center"/>
                </w:tcPr>
                <w:p w14:paraId="04F0394B">
                  <w:pPr>
                    <w:jc w:val="center"/>
                    <w:rPr>
                      <w:rFonts w:hint="eastAsia" w:ascii="黑体" w:hAnsi="黑体" w:eastAsia="黑体" w:cs="Times New Roman"/>
                      <w:color w:val="auto"/>
                      <w:kern w:val="0"/>
                      <w:sz w:val="18"/>
                      <w:szCs w:val="20"/>
                      <w:highlight w:val="none"/>
                      <w:lang w:val="en-US" w:eastAsia="zh-CN" w:bidi="ar-SA"/>
                    </w:rPr>
                  </w:pPr>
                  <w:r>
                    <w:rPr>
                      <w:rFonts w:hint="eastAsia" w:ascii="黑体" w:hAnsi="黑体" w:eastAsia="黑体" w:cs="Times New Roman"/>
                      <w:color w:val="auto"/>
                      <w:kern w:val="0"/>
                      <w:sz w:val="18"/>
                      <w:szCs w:val="20"/>
                      <w:highlight w:val="none"/>
                      <w:lang w:val="en-US" w:eastAsia="zh-CN" w:bidi="ar-SA"/>
                    </w:rPr>
                    <w:drawing>
                      <wp:inline distT="0" distB="0" distL="114300" distR="114300">
                        <wp:extent cx="2663825" cy="3081655"/>
                        <wp:effectExtent l="0" t="0" r="3175" b="4445"/>
                        <wp:docPr id="44" name="图片 44" descr="7effceae3e73fb32ba8cbf1bc4c5432"/>
                        <wp:cNvGraphicFramePr/>
                        <a:graphic xmlns:a="http://schemas.openxmlformats.org/drawingml/2006/main">
                          <a:graphicData uri="http://schemas.openxmlformats.org/drawingml/2006/picture">
                            <pic:pic xmlns:pic="http://schemas.openxmlformats.org/drawingml/2006/picture">
                              <pic:nvPicPr>
                                <pic:cNvPr id="44" name="图片 44" descr="7effceae3e73fb32ba8cbf1bc4c5432"/>
                                <pic:cNvPicPr/>
                              </pic:nvPicPr>
                              <pic:blipFill>
                                <a:blip r:embed="rId35"/>
                                <a:stretch>
                                  <a:fillRect/>
                                </a:stretch>
                              </pic:blipFill>
                              <pic:spPr>
                                <a:xfrm>
                                  <a:off x="0" y="0"/>
                                  <a:ext cx="2663825" cy="3081655"/>
                                </a:xfrm>
                                <a:prstGeom prst="rect">
                                  <a:avLst/>
                                </a:prstGeom>
                              </pic:spPr>
                            </pic:pic>
                          </a:graphicData>
                        </a:graphic>
                      </wp:inline>
                    </w:drawing>
                  </w:r>
                </w:p>
              </w:tc>
            </w:tr>
            <w:tr w14:paraId="0B4BA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35" w:hRule="atLeast"/>
                <w:jc w:val="center"/>
              </w:trPr>
              <w:tc>
                <w:tcPr>
                  <w:tcW w:w="2500" w:type="pct"/>
                  <w:vAlign w:val="center"/>
                </w:tcPr>
                <w:p w14:paraId="556E75D8">
                  <w:pPr>
                    <w:jc w:val="center"/>
                    <w:rPr>
                      <w:rFonts w:hint="eastAsia" w:ascii="黑体" w:hAnsi="黑体" w:eastAsia="黑体" w:cs="Times New Roman"/>
                      <w:color w:val="auto"/>
                      <w:kern w:val="0"/>
                      <w:szCs w:val="20"/>
                      <w:highlight w:val="none"/>
                      <w:lang w:eastAsia="zh-CN"/>
                    </w:rPr>
                  </w:pPr>
                  <w:r>
                    <w:rPr>
                      <w:rFonts w:hint="eastAsia" w:ascii="黑体" w:hAnsi="黑体" w:eastAsia="黑体" w:cs="Times New Roman"/>
                      <w:color w:val="auto"/>
                      <w:kern w:val="0"/>
                      <w:szCs w:val="20"/>
                      <w:highlight w:val="none"/>
                      <w:lang w:eastAsia="zh-CN"/>
                    </w:rPr>
                    <w:t>采样孔</w:t>
                  </w:r>
                </w:p>
              </w:tc>
              <w:tc>
                <w:tcPr>
                  <w:tcW w:w="2500" w:type="pct"/>
                  <w:vAlign w:val="center"/>
                </w:tcPr>
                <w:p w14:paraId="13FB0760">
                  <w:pPr>
                    <w:jc w:val="center"/>
                    <w:rPr>
                      <w:rFonts w:hint="eastAsia" w:ascii="黑体" w:hAnsi="黑体" w:eastAsia="黑体" w:cs="Times New Roman"/>
                      <w:color w:val="auto"/>
                      <w:kern w:val="0"/>
                      <w:sz w:val="18"/>
                      <w:szCs w:val="20"/>
                      <w:highlight w:val="none"/>
                      <w:lang w:val="en-US" w:eastAsia="zh-CN" w:bidi="ar-SA"/>
                    </w:rPr>
                  </w:pPr>
                  <w:r>
                    <w:rPr>
                      <w:rFonts w:hint="eastAsia" w:ascii="黑体" w:hAnsi="黑体" w:eastAsia="黑体" w:cs="Times New Roman"/>
                      <w:color w:val="auto"/>
                      <w:kern w:val="0"/>
                      <w:szCs w:val="20"/>
                      <w:highlight w:val="none"/>
                    </w:rPr>
                    <w:t>污水排放口标识标牌</w:t>
                  </w:r>
                </w:p>
              </w:tc>
            </w:tr>
          </w:tbl>
          <w:p w14:paraId="5D91F057">
            <w:pPr>
              <w:pStyle w:val="124"/>
              <w:numPr>
                <w:ilvl w:val="0"/>
                <w:numId w:val="5"/>
              </w:numPr>
              <w:adjustRightInd/>
              <w:snapToGrid/>
              <w:spacing w:line="240" w:lineRule="auto"/>
              <w:rPr>
                <w:color w:val="auto"/>
                <w:sz w:val="21"/>
                <w:szCs w:val="21"/>
                <w:highlight w:val="none"/>
              </w:rPr>
            </w:pPr>
            <w:r>
              <w:rPr>
                <w:rFonts w:hint="eastAsia"/>
                <w:color w:val="auto"/>
                <w:sz w:val="21"/>
                <w:szCs w:val="21"/>
                <w:highlight w:val="none"/>
                <w:lang w:eastAsia="zh-CN"/>
              </w:rPr>
              <w:t>废气、</w:t>
            </w:r>
            <w:r>
              <w:rPr>
                <w:rFonts w:hint="eastAsia"/>
                <w:color w:val="auto"/>
                <w:sz w:val="21"/>
                <w:szCs w:val="21"/>
                <w:highlight w:val="none"/>
              </w:rPr>
              <w:t>废水排放口设置照片</w:t>
            </w:r>
          </w:p>
          <w:p w14:paraId="0FDA51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highlight w:val="none"/>
              </w:rPr>
            </w:pPr>
          </w:p>
          <w:p w14:paraId="2A5A54B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3.3环保设施投资及“三同时”落实情况</w:t>
            </w:r>
          </w:p>
          <w:p w14:paraId="44374DB5">
            <w:pPr>
              <w:pStyle w:val="25"/>
              <w:adjustRightInd/>
              <w:snapToGrid/>
              <w:spacing w:before="0" w:beforeAutospacing="0" w:after="0" w:afterAutospacing="0" w:line="360" w:lineRule="auto"/>
              <w:ind w:firstLine="480" w:firstLineChars="200"/>
              <w:jc w:val="both"/>
              <w:rPr>
                <w:rFonts w:ascii="Times New Roman" w:hAnsi="Times New Roman" w:cs="Times New Roman"/>
                <w:color w:val="auto"/>
                <w:highlight w:val="none"/>
              </w:rPr>
            </w:pPr>
            <w:r>
              <w:rPr>
                <w:rFonts w:hint="eastAsia" w:ascii="Times New Roman" w:hAnsi="Times New Roman" w:cs="Times New Roman"/>
                <w:color w:val="auto"/>
                <w:szCs w:val="24"/>
                <w:highlight w:val="none"/>
                <w:lang w:eastAsia="zh-CN"/>
              </w:rPr>
              <w:t>续建工程</w:t>
            </w:r>
            <w:r>
              <w:rPr>
                <w:rFonts w:ascii="Times New Roman" w:hAnsi="Times New Roman" w:cs="Times New Roman"/>
                <w:color w:val="auto"/>
                <w:szCs w:val="24"/>
                <w:highlight w:val="none"/>
              </w:rPr>
              <w:t>实际总投资</w:t>
            </w:r>
            <w:r>
              <w:rPr>
                <w:rFonts w:hint="eastAsia" w:ascii="Times New Roman" w:hAnsi="Times New Roman" w:cs="Times New Roman"/>
                <w:color w:val="auto"/>
                <w:szCs w:val="24"/>
                <w:highlight w:val="none"/>
              </w:rPr>
              <w:t>60</w:t>
            </w:r>
            <w:r>
              <w:rPr>
                <w:rFonts w:hint="eastAsia" w:ascii="Times New Roman" w:hAnsi="Times New Roman" w:cs="Times New Roman"/>
                <w:color w:val="auto"/>
                <w:szCs w:val="24"/>
                <w:highlight w:val="none"/>
                <w:lang w:val="en-US" w:eastAsia="zh-CN"/>
              </w:rPr>
              <w:t>00</w:t>
            </w:r>
            <w:r>
              <w:rPr>
                <w:rFonts w:ascii="Times New Roman" w:hAnsi="Times New Roman" w:cs="Times New Roman"/>
                <w:color w:val="auto"/>
                <w:szCs w:val="24"/>
                <w:highlight w:val="none"/>
              </w:rPr>
              <w:t>万元，环保投资</w:t>
            </w:r>
            <w:r>
              <w:rPr>
                <w:rFonts w:hint="eastAsia" w:ascii="Times New Roman" w:hAnsi="Times New Roman" w:cs="Times New Roman"/>
                <w:color w:val="auto"/>
                <w:szCs w:val="24"/>
                <w:highlight w:val="none"/>
                <w:lang w:val="en-US" w:eastAsia="zh-CN"/>
              </w:rPr>
              <w:t>132</w:t>
            </w:r>
            <w:r>
              <w:rPr>
                <w:rFonts w:ascii="Times New Roman" w:hAnsi="Times New Roman" w:cs="Times New Roman"/>
                <w:color w:val="auto"/>
                <w:szCs w:val="24"/>
                <w:highlight w:val="none"/>
              </w:rPr>
              <w:t>万元，环保投资占总投资的</w:t>
            </w:r>
            <w:r>
              <w:rPr>
                <w:rFonts w:hint="eastAsia" w:ascii="Times New Roman" w:hAnsi="Times New Roman" w:cs="Times New Roman"/>
                <w:color w:val="auto"/>
                <w:szCs w:val="24"/>
                <w:highlight w:val="none"/>
                <w:lang w:val="en-US" w:eastAsia="zh-CN"/>
              </w:rPr>
              <w:t>2.20</w:t>
            </w:r>
            <w:r>
              <w:rPr>
                <w:rFonts w:ascii="Times New Roman" w:hAnsi="Times New Roman" w:cs="Times New Roman"/>
                <w:color w:val="auto"/>
                <w:szCs w:val="24"/>
                <w:highlight w:val="none"/>
              </w:rPr>
              <w:t>%。项目落实了环保设施与主体工程</w:t>
            </w:r>
            <w:r>
              <w:rPr>
                <w:rFonts w:hint="eastAsia"/>
                <w:color w:val="auto"/>
                <w:kern w:val="2"/>
                <w:highlight w:val="none"/>
              </w:rPr>
              <w:t>同时设计、同时施工、同时投产使用</w:t>
            </w:r>
            <w:r>
              <w:rPr>
                <w:rFonts w:ascii="Times New Roman" w:hAnsi="Times New Roman" w:cs="Times New Roman"/>
                <w:color w:val="auto"/>
                <w:szCs w:val="24"/>
                <w:highlight w:val="none"/>
              </w:rPr>
              <w:t>。</w:t>
            </w:r>
            <w:r>
              <w:rPr>
                <w:rFonts w:hint="eastAsia" w:ascii="Times New Roman" w:hAnsi="Times New Roman" w:cs="Times New Roman"/>
                <w:color w:val="auto"/>
                <w:szCs w:val="24"/>
                <w:highlight w:val="none"/>
                <w:lang w:eastAsia="zh-CN"/>
              </w:rPr>
              <w:t>续建工程</w:t>
            </w:r>
            <w:r>
              <w:rPr>
                <w:rFonts w:ascii="Times New Roman" w:hAnsi="Times New Roman" w:cs="Times New Roman"/>
                <w:color w:val="auto"/>
                <w:szCs w:val="24"/>
                <w:highlight w:val="none"/>
              </w:rPr>
              <w:t>竣工环保验收“三同时”落实情况见下表</w:t>
            </w:r>
            <w:r>
              <w:rPr>
                <w:rFonts w:ascii="Times New Roman" w:hAnsi="Times New Roman" w:cs="Times New Roman"/>
                <w:color w:val="auto"/>
                <w:highlight w:val="none"/>
              </w:rPr>
              <w:t>。</w:t>
            </w:r>
          </w:p>
          <w:p w14:paraId="0292E8F8">
            <w:pPr>
              <w:pStyle w:val="121"/>
              <w:adjustRightInd/>
              <w:snapToGrid/>
              <w:rPr>
                <w:color w:val="auto"/>
                <w:sz w:val="21"/>
                <w:highlight w:val="none"/>
              </w:rPr>
            </w:pPr>
            <w:r>
              <w:rPr>
                <w:rFonts w:hint="eastAsia"/>
                <w:color w:val="auto"/>
                <w:sz w:val="21"/>
                <w:highlight w:val="none"/>
              </w:rPr>
              <w:t>项目“三同时”落实情况一览表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355"/>
              <w:gridCol w:w="904"/>
              <w:gridCol w:w="1238"/>
              <w:gridCol w:w="667"/>
              <w:gridCol w:w="1500"/>
              <w:gridCol w:w="1696"/>
              <w:gridCol w:w="1849"/>
              <w:gridCol w:w="861"/>
            </w:tblGrid>
            <w:tr w14:paraId="26E3CF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restart"/>
                  <w:vAlign w:val="center"/>
                </w:tcPr>
                <w:p w14:paraId="54B372EA">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分类</w:t>
                  </w:r>
                </w:p>
              </w:tc>
              <w:tc>
                <w:tcPr>
                  <w:tcW w:w="904" w:type="dxa"/>
                  <w:vMerge w:val="restart"/>
                  <w:vAlign w:val="center"/>
                </w:tcPr>
                <w:p w14:paraId="25B39CA2">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污染源</w:t>
                  </w:r>
                </w:p>
              </w:tc>
              <w:tc>
                <w:tcPr>
                  <w:tcW w:w="1238" w:type="dxa"/>
                  <w:vMerge w:val="restart"/>
                  <w:vAlign w:val="center"/>
                </w:tcPr>
                <w:p w14:paraId="0D35E1B6">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污染物</w:t>
                  </w:r>
                </w:p>
              </w:tc>
              <w:tc>
                <w:tcPr>
                  <w:tcW w:w="3863" w:type="dxa"/>
                  <w:gridSpan w:val="3"/>
                  <w:vAlign w:val="center"/>
                </w:tcPr>
                <w:p w14:paraId="68EE1CB2">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环评情况</w:t>
                  </w:r>
                </w:p>
              </w:tc>
              <w:tc>
                <w:tcPr>
                  <w:tcW w:w="1849" w:type="dxa"/>
                  <w:vMerge w:val="restart"/>
                  <w:vAlign w:val="center"/>
                </w:tcPr>
                <w:p w14:paraId="1AE5C0FB">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实际落实情况</w:t>
                  </w:r>
                </w:p>
              </w:tc>
              <w:tc>
                <w:tcPr>
                  <w:tcW w:w="861" w:type="dxa"/>
                  <w:vMerge w:val="restart"/>
                  <w:vAlign w:val="center"/>
                </w:tcPr>
                <w:p w14:paraId="7DDFE4CF">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环保投资</w:t>
                  </w:r>
                </w:p>
                <w:p w14:paraId="6A4201C2">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（万元）</w:t>
                  </w:r>
                </w:p>
              </w:tc>
            </w:tr>
            <w:tr w14:paraId="0E0128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bottom w:val="single" w:color="auto" w:sz="12" w:space="0"/>
                  </w:tcBorders>
                  <w:vAlign w:val="center"/>
                </w:tcPr>
                <w:p w14:paraId="6F072B04">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p>
              </w:tc>
              <w:tc>
                <w:tcPr>
                  <w:tcW w:w="904" w:type="dxa"/>
                  <w:vMerge w:val="continue"/>
                  <w:tcBorders>
                    <w:bottom w:val="single" w:color="auto" w:sz="12" w:space="0"/>
                  </w:tcBorders>
                  <w:vAlign w:val="center"/>
                </w:tcPr>
                <w:p w14:paraId="2C709A8D">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p>
              </w:tc>
              <w:tc>
                <w:tcPr>
                  <w:tcW w:w="1238" w:type="dxa"/>
                  <w:vMerge w:val="continue"/>
                  <w:tcBorders>
                    <w:bottom w:val="single" w:color="auto" w:sz="12" w:space="0"/>
                  </w:tcBorders>
                  <w:vAlign w:val="center"/>
                </w:tcPr>
                <w:p w14:paraId="344B9354">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p>
              </w:tc>
              <w:tc>
                <w:tcPr>
                  <w:tcW w:w="2167" w:type="dxa"/>
                  <w:gridSpan w:val="2"/>
                  <w:tcBorders>
                    <w:bottom w:val="single" w:color="auto" w:sz="12" w:space="0"/>
                  </w:tcBorders>
                  <w:vAlign w:val="center"/>
                </w:tcPr>
                <w:p w14:paraId="3749563E">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措施内容</w:t>
                  </w:r>
                </w:p>
              </w:tc>
              <w:tc>
                <w:tcPr>
                  <w:tcW w:w="1696" w:type="dxa"/>
                  <w:tcBorders>
                    <w:bottom w:val="single" w:color="auto" w:sz="12" w:space="0"/>
                  </w:tcBorders>
                  <w:vAlign w:val="center"/>
                </w:tcPr>
                <w:p w14:paraId="0BC1E11C">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r>
                    <w:rPr>
                      <w:rFonts w:hint="default" w:ascii="Times New Roman" w:hAnsi="Times New Roman" w:eastAsia="宋体" w:cs="Times New Roman"/>
                      <w:b/>
                      <w:bCs w:val="0"/>
                      <w:color w:val="auto"/>
                      <w:sz w:val="18"/>
                      <w:szCs w:val="18"/>
                      <w:highlight w:val="none"/>
                    </w:rPr>
                    <w:t>应达到的治理效果</w:t>
                  </w:r>
                </w:p>
              </w:tc>
              <w:tc>
                <w:tcPr>
                  <w:tcW w:w="1849" w:type="dxa"/>
                  <w:vMerge w:val="continue"/>
                  <w:tcBorders>
                    <w:bottom w:val="single" w:color="auto" w:sz="12" w:space="0"/>
                  </w:tcBorders>
                  <w:vAlign w:val="center"/>
                </w:tcPr>
                <w:p w14:paraId="79A1DB6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18"/>
                      <w:szCs w:val="18"/>
                      <w:highlight w:val="none"/>
                    </w:rPr>
                  </w:pPr>
                </w:p>
              </w:tc>
              <w:tc>
                <w:tcPr>
                  <w:tcW w:w="861" w:type="dxa"/>
                  <w:vMerge w:val="continue"/>
                  <w:tcBorders>
                    <w:bottom w:val="single" w:color="auto" w:sz="12" w:space="0"/>
                  </w:tcBorders>
                  <w:vAlign w:val="center"/>
                </w:tcPr>
                <w:p w14:paraId="267322CA">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val="0"/>
                      <w:color w:val="auto"/>
                      <w:sz w:val="18"/>
                      <w:szCs w:val="18"/>
                      <w:highlight w:val="none"/>
                    </w:rPr>
                  </w:pPr>
                </w:p>
              </w:tc>
            </w:tr>
            <w:tr w14:paraId="16B232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restart"/>
                  <w:tcBorders>
                    <w:top w:val="single" w:color="auto" w:sz="12" w:space="0"/>
                    <w:tl2br w:val="nil"/>
                    <w:tr2bl w:val="nil"/>
                  </w:tcBorders>
                  <w:vAlign w:val="center"/>
                </w:tcPr>
                <w:p w14:paraId="1DC1F1EC">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废气</w:t>
                  </w:r>
                </w:p>
              </w:tc>
              <w:tc>
                <w:tcPr>
                  <w:tcW w:w="904" w:type="dxa"/>
                  <w:tcBorders>
                    <w:top w:val="single" w:color="auto" w:sz="12" w:space="0"/>
                    <w:tl2br w:val="nil"/>
                    <w:tr2bl w:val="nil"/>
                  </w:tcBorders>
                  <w:shd w:val="clear" w:color="auto" w:fill="auto"/>
                  <w:vAlign w:val="center"/>
                </w:tcPr>
                <w:p w14:paraId="4543ED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val="en-US" w:eastAsia="zh-CN"/>
                    </w:rPr>
                    <w:t>9</w:t>
                  </w:r>
                  <w:r>
                    <w:rPr>
                      <w:rFonts w:hint="default" w:ascii="Times New Roman" w:hAnsi="Times New Roman" w:eastAsia="宋体" w:cs="Times New Roman"/>
                      <w:color w:val="auto"/>
                      <w:sz w:val="18"/>
                      <w:szCs w:val="18"/>
                      <w:highlight w:val="none"/>
                    </w:rPr>
                    <w:t>号发电机组</w:t>
                  </w:r>
                </w:p>
              </w:tc>
              <w:tc>
                <w:tcPr>
                  <w:tcW w:w="1238" w:type="dxa"/>
                  <w:tcBorders>
                    <w:top w:val="single" w:color="auto" w:sz="12" w:space="0"/>
                    <w:tl2br w:val="nil"/>
                    <w:tr2bl w:val="nil"/>
                  </w:tcBorders>
                  <w:vAlign w:val="center"/>
                </w:tcPr>
                <w:p w14:paraId="7E6E752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restart"/>
                  <w:tcBorders>
                    <w:top w:val="single" w:color="auto" w:sz="12" w:space="0"/>
                    <w:tl2br w:val="nil"/>
                    <w:tr2bl w:val="nil"/>
                  </w:tcBorders>
                  <w:vAlign w:val="center"/>
                </w:tcPr>
                <w:p w14:paraId="3022220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填埋气经干法脱硫+初级过滤器+除湿单元+精密过滤器预处理后，送至燃气内燃发电机组</w:t>
                  </w:r>
                </w:p>
              </w:tc>
              <w:tc>
                <w:tcPr>
                  <w:tcW w:w="1500" w:type="dxa"/>
                  <w:tcBorders>
                    <w:top w:val="single" w:color="auto" w:sz="12" w:space="0"/>
                    <w:tl2br w:val="nil"/>
                    <w:tr2bl w:val="nil"/>
                  </w:tcBorders>
                  <w:shd w:val="clear" w:color="auto" w:fill="auto"/>
                  <w:vAlign w:val="center"/>
                </w:tcPr>
                <w:p w14:paraId="1D07D3E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5</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restart"/>
                  <w:tcBorders>
                    <w:top w:val="single" w:color="auto" w:sz="12" w:space="0"/>
                    <w:tl2br w:val="nil"/>
                    <w:tr2bl w:val="nil"/>
                  </w:tcBorders>
                  <w:vAlign w:val="center"/>
                </w:tcPr>
                <w:p w14:paraId="449E5DF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sz w:val="18"/>
                      <w:szCs w:val="18"/>
                      <w:highlight w:val="none"/>
                      <w:lang w:eastAsia="zh-CN"/>
                    </w:rPr>
                    <w:t>氮氧化物、</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参照</w:t>
                  </w:r>
                  <w:r>
                    <w:rPr>
                      <w:rFonts w:hint="default" w:ascii="Times New Roman" w:hAnsi="Times New Roman" w:eastAsia="宋体" w:cs="Times New Roman"/>
                      <w:color w:val="auto"/>
                      <w:kern w:val="0"/>
                      <w:sz w:val="18"/>
                      <w:szCs w:val="18"/>
                      <w:highlight w:val="none"/>
                    </w:rPr>
                    <w:t>执行</w:t>
                  </w:r>
                  <w:r>
                    <w:rPr>
                      <w:rFonts w:hint="default" w:ascii="Times New Roman" w:hAnsi="Times New Roman" w:eastAsia="宋体" w:cs="Times New Roman"/>
                      <w:color w:val="auto"/>
                      <w:sz w:val="18"/>
                      <w:szCs w:val="18"/>
                      <w:highlight w:val="none"/>
                    </w:rPr>
                    <w:t>《锅炉大气污染物排放标准》（GB13271-2014）表</w:t>
                  </w:r>
                  <w:r>
                    <w:rPr>
                      <w:rFonts w:hint="default" w:ascii="Times New Roman" w:hAnsi="Times New Roman" w:eastAsia="宋体" w:cs="Times New Roman"/>
                      <w:color w:val="auto"/>
                      <w:sz w:val="18"/>
                      <w:szCs w:val="18"/>
                      <w:highlight w:val="none"/>
                      <w:lang w:val="en-US" w:eastAsia="zh-CN"/>
                    </w:rPr>
                    <w:t>3相应标准限值</w:t>
                  </w:r>
                  <w:r>
                    <w:rPr>
                      <w:rFonts w:hint="default" w:ascii="Times New Roman" w:hAnsi="Times New Roman" w:eastAsia="宋体" w:cs="Times New Roman"/>
                      <w:color w:val="auto"/>
                      <w:kern w:val="0"/>
                      <w:sz w:val="18"/>
                      <w:szCs w:val="18"/>
                      <w:highlight w:val="none"/>
                    </w:rPr>
                    <w:t>，氨气执行《恶臭污染物排放标准》（GB14554-93）表2规定的“4.9kg/h，h=15m”的限值要求。</w:t>
                  </w:r>
                </w:p>
                <w:p w14:paraId="47E9988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restart"/>
                  <w:tcBorders>
                    <w:top w:val="single" w:color="auto" w:sz="12" w:space="0"/>
                    <w:tl2br w:val="nil"/>
                    <w:tr2bl w:val="nil"/>
                  </w:tcBorders>
                  <w:vAlign w:val="center"/>
                </w:tcPr>
                <w:p w14:paraId="65D3FE41">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eastAsia="zh-CN"/>
                    </w:rPr>
                    <w:t>已落实，填埋气经干法脱硫+初级过滤器+除湿单元+精密过滤器预处理后，送至燃气内燃发电机组；燃气内燃发电机组燃烧废气分别经SCR脱硝装置处理后通过4根15m高排气筒高空排放</w:t>
                  </w:r>
                </w:p>
              </w:tc>
              <w:tc>
                <w:tcPr>
                  <w:tcW w:w="861" w:type="dxa"/>
                  <w:vMerge w:val="restart"/>
                  <w:tcBorders>
                    <w:top w:val="single" w:color="auto" w:sz="12" w:space="0"/>
                    <w:tl2br w:val="nil"/>
                    <w:tr2bl w:val="nil"/>
                  </w:tcBorders>
                  <w:vAlign w:val="center"/>
                </w:tcPr>
                <w:p w14:paraId="37FD8EC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1</w:t>
                  </w:r>
                  <w:r>
                    <w:rPr>
                      <w:rFonts w:hint="eastAsia" w:cs="Times New Roman"/>
                      <w:color w:val="auto"/>
                      <w:kern w:val="0"/>
                      <w:sz w:val="18"/>
                      <w:szCs w:val="18"/>
                      <w:highlight w:val="none"/>
                      <w:lang w:val="en-US" w:eastAsia="zh-CN"/>
                    </w:rPr>
                    <w:t>00</w:t>
                  </w:r>
                </w:p>
              </w:tc>
            </w:tr>
            <w:tr w14:paraId="42C7AB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10854B3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tcBorders>
                    <w:tl2br w:val="nil"/>
                    <w:tr2bl w:val="nil"/>
                  </w:tcBorders>
                  <w:shd w:val="clear" w:color="auto" w:fill="auto"/>
                  <w:vAlign w:val="center"/>
                </w:tcPr>
                <w:p w14:paraId="080BFE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val="en-US" w:eastAsia="zh-CN"/>
                    </w:rPr>
                    <w:t>10</w:t>
                  </w:r>
                  <w:r>
                    <w:rPr>
                      <w:rFonts w:hint="default" w:ascii="Times New Roman" w:hAnsi="Times New Roman" w:eastAsia="宋体" w:cs="Times New Roman"/>
                      <w:color w:val="auto"/>
                      <w:sz w:val="18"/>
                      <w:szCs w:val="18"/>
                      <w:highlight w:val="none"/>
                    </w:rPr>
                    <w:t>号发电机组</w:t>
                  </w:r>
                </w:p>
              </w:tc>
              <w:tc>
                <w:tcPr>
                  <w:tcW w:w="1238" w:type="dxa"/>
                  <w:tcBorders>
                    <w:tl2br w:val="nil"/>
                    <w:tr2bl w:val="nil"/>
                  </w:tcBorders>
                  <w:vAlign w:val="center"/>
                </w:tcPr>
                <w:p w14:paraId="2A5E0B2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continue"/>
                  <w:tcBorders>
                    <w:tl2br w:val="nil"/>
                    <w:tr2bl w:val="nil"/>
                  </w:tcBorders>
                  <w:vAlign w:val="center"/>
                </w:tcPr>
                <w:p w14:paraId="60BDAD0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500" w:type="dxa"/>
                  <w:tcBorders>
                    <w:tl2br w:val="nil"/>
                    <w:tr2bl w:val="nil"/>
                  </w:tcBorders>
                  <w:shd w:val="clear" w:color="auto" w:fill="auto"/>
                  <w:vAlign w:val="center"/>
                </w:tcPr>
                <w:p w14:paraId="2FABFCD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6</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continue"/>
                  <w:tcBorders>
                    <w:tl2br w:val="nil"/>
                    <w:tr2bl w:val="nil"/>
                  </w:tcBorders>
                  <w:vAlign w:val="center"/>
                </w:tcPr>
                <w:p w14:paraId="0150E02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continue"/>
                  <w:tcBorders>
                    <w:tl2br w:val="nil"/>
                    <w:tr2bl w:val="nil"/>
                  </w:tcBorders>
                  <w:vAlign w:val="center"/>
                </w:tcPr>
                <w:p w14:paraId="76DC039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861" w:type="dxa"/>
                  <w:vMerge w:val="continue"/>
                  <w:tcBorders>
                    <w:tl2br w:val="nil"/>
                    <w:tr2bl w:val="nil"/>
                  </w:tcBorders>
                  <w:vAlign w:val="center"/>
                </w:tcPr>
                <w:p w14:paraId="61C0DCF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r>
            <w:tr w14:paraId="37D55F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73A35187">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904" w:type="dxa"/>
                  <w:tcBorders>
                    <w:tl2br w:val="nil"/>
                    <w:tr2bl w:val="nil"/>
                  </w:tcBorders>
                  <w:shd w:val="clear" w:color="auto" w:fill="auto"/>
                  <w:vAlign w:val="center"/>
                </w:tcPr>
                <w:p w14:paraId="706E17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val="en-US" w:eastAsia="zh-CN"/>
                    </w:rPr>
                    <w:t>11</w:t>
                  </w:r>
                  <w:r>
                    <w:rPr>
                      <w:rFonts w:hint="default" w:ascii="Times New Roman" w:hAnsi="Times New Roman" w:eastAsia="宋体" w:cs="Times New Roman"/>
                      <w:color w:val="auto"/>
                      <w:sz w:val="18"/>
                      <w:szCs w:val="18"/>
                      <w:highlight w:val="none"/>
                    </w:rPr>
                    <w:t>号发电机组</w:t>
                  </w:r>
                </w:p>
              </w:tc>
              <w:tc>
                <w:tcPr>
                  <w:tcW w:w="1238" w:type="dxa"/>
                  <w:tcBorders>
                    <w:tl2br w:val="nil"/>
                    <w:tr2bl w:val="nil"/>
                  </w:tcBorders>
                  <w:vAlign w:val="center"/>
                </w:tcPr>
                <w:p w14:paraId="665ECAA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continue"/>
                  <w:tcBorders>
                    <w:tl2br w:val="nil"/>
                    <w:tr2bl w:val="nil"/>
                  </w:tcBorders>
                  <w:vAlign w:val="center"/>
                </w:tcPr>
                <w:p w14:paraId="480F0D2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500" w:type="dxa"/>
                  <w:tcBorders>
                    <w:tl2br w:val="nil"/>
                    <w:tr2bl w:val="nil"/>
                  </w:tcBorders>
                  <w:shd w:val="clear" w:color="auto" w:fill="auto"/>
                  <w:vAlign w:val="center"/>
                </w:tcPr>
                <w:p w14:paraId="6B8FA7B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7</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continue"/>
                  <w:tcBorders>
                    <w:tl2br w:val="nil"/>
                    <w:tr2bl w:val="nil"/>
                  </w:tcBorders>
                  <w:vAlign w:val="center"/>
                </w:tcPr>
                <w:p w14:paraId="75F75A6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continue"/>
                  <w:tcBorders>
                    <w:tl2br w:val="nil"/>
                    <w:tr2bl w:val="nil"/>
                  </w:tcBorders>
                  <w:vAlign w:val="center"/>
                </w:tcPr>
                <w:p w14:paraId="276178B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861" w:type="dxa"/>
                  <w:vMerge w:val="continue"/>
                  <w:tcBorders>
                    <w:tl2br w:val="nil"/>
                    <w:tr2bl w:val="nil"/>
                  </w:tcBorders>
                  <w:vAlign w:val="center"/>
                </w:tcPr>
                <w:p w14:paraId="4F280C7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r>
            <w:tr w14:paraId="2D623E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7F1FFD0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904" w:type="dxa"/>
                  <w:tcBorders>
                    <w:tl2br w:val="nil"/>
                    <w:tr2bl w:val="nil"/>
                  </w:tcBorders>
                  <w:shd w:val="clear" w:color="auto" w:fill="auto"/>
                  <w:vAlign w:val="center"/>
                </w:tcPr>
                <w:p w14:paraId="41C35E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号发电机组</w:t>
                  </w:r>
                </w:p>
              </w:tc>
              <w:tc>
                <w:tcPr>
                  <w:tcW w:w="1238" w:type="dxa"/>
                  <w:tcBorders>
                    <w:tl2br w:val="nil"/>
                    <w:tr2bl w:val="nil"/>
                  </w:tcBorders>
                  <w:vAlign w:val="center"/>
                </w:tcPr>
                <w:p w14:paraId="6CDD2CC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continue"/>
                  <w:tcBorders>
                    <w:tl2br w:val="nil"/>
                    <w:tr2bl w:val="nil"/>
                  </w:tcBorders>
                  <w:vAlign w:val="center"/>
                </w:tcPr>
                <w:p w14:paraId="4B57A19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500" w:type="dxa"/>
                  <w:tcBorders>
                    <w:tl2br w:val="nil"/>
                    <w:tr2bl w:val="nil"/>
                  </w:tcBorders>
                  <w:vAlign w:val="center"/>
                </w:tcPr>
                <w:p w14:paraId="69C8E81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DA00</w:t>
                  </w:r>
                  <w:r>
                    <w:rPr>
                      <w:rFonts w:hint="eastAsia" w:cs="Times New Roman"/>
                      <w:color w:val="auto"/>
                      <w:sz w:val="18"/>
                      <w:szCs w:val="18"/>
                      <w:highlight w:val="none"/>
                      <w:lang w:val="en-US" w:eastAsia="zh-CN"/>
                    </w:rPr>
                    <w:t>8</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continue"/>
                  <w:tcBorders>
                    <w:tl2br w:val="nil"/>
                    <w:tr2bl w:val="nil"/>
                  </w:tcBorders>
                  <w:vAlign w:val="center"/>
                </w:tcPr>
                <w:p w14:paraId="44966D9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continue"/>
                  <w:tcBorders>
                    <w:tl2br w:val="nil"/>
                    <w:tr2bl w:val="nil"/>
                  </w:tcBorders>
                  <w:vAlign w:val="center"/>
                </w:tcPr>
                <w:p w14:paraId="104E758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861" w:type="dxa"/>
                  <w:vMerge w:val="continue"/>
                  <w:tcBorders>
                    <w:tl2br w:val="nil"/>
                    <w:tr2bl w:val="nil"/>
                  </w:tcBorders>
                  <w:vAlign w:val="center"/>
                </w:tcPr>
                <w:p w14:paraId="0DD1A59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r>
            <w:tr w14:paraId="2F4F19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4B69FC2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904" w:type="dxa"/>
                  <w:tcBorders>
                    <w:tl2br w:val="nil"/>
                    <w:tr2bl w:val="nil"/>
                  </w:tcBorders>
                  <w:shd w:val="clear" w:color="auto" w:fill="auto"/>
                  <w:vAlign w:val="center"/>
                </w:tcPr>
                <w:p w14:paraId="2E7321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13</w:t>
                  </w:r>
                  <w:r>
                    <w:rPr>
                      <w:rFonts w:hint="default" w:ascii="Times New Roman" w:hAnsi="Times New Roman" w:eastAsia="宋体" w:cs="Times New Roman"/>
                      <w:color w:val="auto"/>
                      <w:sz w:val="18"/>
                      <w:szCs w:val="18"/>
                      <w:highlight w:val="none"/>
                    </w:rPr>
                    <w:t>号发电机组</w:t>
                  </w:r>
                </w:p>
              </w:tc>
              <w:tc>
                <w:tcPr>
                  <w:tcW w:w="1238" w:type="dxa"/>
                  <w:tcBorders>
                    <w:tl2br w:val="nil"/>
                    <w:tr2bl w:val="nil"/>
                  </w:tcBorders>
                  <w:shd w:val="clear" w:color="auto" w:fill="auto"/>
                  <w:vAlign w:val="center"/>
                </w:tcPr>
                <w:p w14:paraId="7CD42F9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continue"/>
                  <w:tcBorders>
                    <w:tl2br w:val="nil"/>
                    <w:tr2bl w:val="nil"/>
                  </w:tcBorders>
                  <w:vAlign w:val="center"/>
                </w:tcPr>
                <w:p w14:paraId="75E7755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500" w:type="dxa"/>
                  <w:tcBorders>
                    <w:tl2br w:val="nil"/>
                    <w:tr2bl w:val="nil"/>
                  </w:tcBorders>
                  <w:vAlign w:val="center"/>
                </w:tcPr>
                <w:p w14:paraId="0E2D6D8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DA00</w:t>
                  </w:r>
                  <w:r>
                    <w:rPr>
                      <w:rFonts w:hint="eastAsia" w:ascii="Times New Roman" w:hAnsi="Times New Roman" w:eastAsia="宋体" w:cs="Times New Roman"/>
                      <w:color w:val="auto"/>
                      <w:sz w:val="18"/>
                      <w:szCs w:val="18"/>
                      <w:highlight w:val="none"/>
                      <w:lang w:val="en-US" w:eastAsia="zh-CN"/>
                    </w:rPr>
                    <w:t>9</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continue"/>
                  <w:tcBorders>
                    <w:tl2br w:val="nil"/>
                    <w:tr2bl w:val="nil"/>
                  </w:tcBorders>
                  <w:vAlign w:val="center"/>
                </w:tcPr>
                <w:p w14:paraId="67BC14B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continue"/>
                  <w:tcBorders>
                    <w:tl2br w:val="nil"/>
                    <w:tr2bl w:val="nil"/>
                  </w:tcBorders>
                  <w:vAlign w:val="center"/>
                </w:tcPr>
                <w:p w14:paraId="5B7C746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861" w:type="dxa"/>
                  <w:vMerge w:val="continue"/>
                  <w:tcBorders>
                    <w:tl2br w:val="nil"/>
                    <w:tr2bl w:val="nil"/>
                  </w:tcBorders>
                  <w:vAlign w:val="center"/>
                </w:tcPr>
                <w:p w14:paraId="2C3E899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r>
            <w:tr w14:paraId="2A1FE4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24C696A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904" w:type="dxa"/>
                  <w:tcBorders>
                    <w:tl2br w:val="nil"/>
                    <w:tr2bl w:val="nil"/>
                  </w:tcBorders>
                  <w:shd w:val="clear" w:color="auto" w:fill="auto"/>
                  <w:vAlign w:val="center"/>
                </w:tcPr>
                <w:p w14:paraId="7F725E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14</w:t>
                  </w:r>
                  <w:r>
                    <w:rPr>
                      <w:rFonts w:hint="default" w:ascii="Times New Roman" w:hAnsi="Times New Roman" w:eastAsia="宋体" w:cs="Times New Roman"/>
                      <w:color w:val="auto"/>
                      <w:sz w:val="18"/>
                      <w:szCs w:val="18"/>
                      <w:highlight w:val="none"/>
                    </w:rPr>
                    <w:t>号发电机组</w:t>
                  </w:r>
                </w:p>
              </w:tc>
              <w:tc>
                <w:tcPr>
                  <w:tcW w:w="1238" w:type="dxa"/>
                  <w:tcBorders>
                    <w:tl2br w:val="nil"/>
                    <w:tr2bl w:val="nil"/>
                  </w:tcBorders>
                  <w:shd w:val="clear" w:color="auto" w:fill="auto"/>
                  <w:vAlign w:val="center"/>
                </w:tcPr>
                <w:p w14:paraId="6DBA75A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颗粒物、SO</w:t>
                  </w:r>
                  <w:r>
                    <w:rPr>
                      <w:rFonts w:hint="default" w:ascii="Times New Roman" w:hAnsi="Times New Roman" w:eastAsia="宋体" w:cs="Times New Roman"/>
                      <w:color w:val="auto"/>
                      <w:sz w:val="18"/>
                      <w:szCs w:val="18"/>
                      <w:highlight w:val="none"/>
                      <w:vertAlign w:val="subscript"/>
                    </w:rPr>
                    <w:t>2</w:t>
                  </w:r>
                  <w:r>
                    <w:rPr>
                      <w:rFonts w:hint="default" w:ascii="Times New Roman" w:hAnsi="Times New Roman" w:eastAsia="宋体" w:cs="Times New Roman"/>
                      <w:color w:val="auto"/>
                      <w:sz w:val="18"/>
                      <w:szCs w:val="18"/>
                      <w:highlight w:val="none"/>
                    </w:rPr>
                    <w:t>、</w:t>
                  </w:r>
                  <w:r>
                    <w:rPr>
                      <w:rFonts w:hint="default" w:ascii="Times New Roman" w:hAnsi="Times New Roman" w:eastAsia="宋体" w:cs="Times New Roman"/>
                      <w:color w:val="auto"/>
                      <w:kern w:val="0"/>
                      <w:sz w:val="18"/>
                      <w:szCs w:val="18"/>
                      <w:highlight w:val="none"/>
                    </w:rPr>
                    <w:t>NO</w:t>
                  </w:r>
                  <w:r>
                    <w:rPr>
                      <w:rFonts w:hint="default" w:ascii="Times New Roman" w:hAnsi="Times New Roman" w:eastAsia="宋体" w:cs="Times New Roman"/>
                      <w:color w:val="auto"/>
                      <w:kern w:val="0"/>
                      <w:sz w:val="18"/>
                      <w:szCs w:val="18"/>
                      <w:highlight w:val="none"/>
                      <w:vertAlign w:val="subscript"/>
                    </w:rPr>
                    <w:t>X</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林格曼黑度</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kern w:val="0"/>
                      <w:sz w:val="18"/>
                      <w:szCs w:val="18"/>
                      <w:highlight w:val="none"/>
                    </w:rPr>
                    <w:t>氨气</w:t>
                  </w:r>
                </w:p>
              </w:tc>
              <w:tc>
                <w:tcPr>
                  <w:tcW w:w="667" w:type="dxa"/>
                  <w:vMerge w:val="continue"/>
                  <w:tcBorders>
                    <w:tl2br w:val="nil"/>
                    <w:tr2bl w:val="nil"/>
                  </w:tcBorders>
                  <w:vAlign w:val="center"/>
                </w:tcPr>
                <w:p w14:paraId="5FBF636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500" w:type="dxa"/>
                  <w:tcBorders>
                    <w:tl2br w:val="nil"/>
                    <w:tr2bl w:val="nil"/>
                  </w:tcBorders>
                  <w:vAlign w:val="center"/>
                </w:tcPr>
                <w:p w14:paraId="34D8A95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燃烧废气</w:t>
                  </w:r>
                  <w:r>
                    <w:rPr>
                      <w:rFonts w:hint="eastAsia" w:ascii="Times New Roman" w:hAnsi="Times New Roman" w:eastAsia="宋体" w:cs="Times New Roman"/>
                      <w:color w:val="auto"/>
                      <w:kern w:val="0"/>
                      <w:sz w:val="18"/>
                      <w:szCs w:val="18"/>
                      <w:highlight w:val="none"/>
                      <w:lang w:eastAsia="zh-CN"/>
                    </w:rPr>
                    <w:t>分别</w:t>
                  </w:r>
                  <w:r>
                    <w:rPr>
                      <w:rFonts w:hint="default" w:ascii="Times New Roman" w:hAnsi="Times New Roman" w:eastAsia="宋体" w:cs="Times New Roman"/>
                      <w:color w:val="auto"/>
                      <w:kern w:val="0"/>
                      <w:sz w:val="18"/>
                      <w:szCs w:val="18"/>
                      <w:highlight w:val="none"/>
                    </w:rPr>
                    <w:t>经</w:t>
                  </w:r>
                  <w:r>
                    <w:rPr>
                      <w:rFonts w:hint="eastAsia" w:ascii="Times New Roman" w:hAnsi="Times New Roman" w:eastAsia="宋体" w:cs="Times New Roman"/>
                      <w:color w:val="auto"/>
                      <w:kern w:val="0"/>
                      <w:sz w:val="18"/>
                      <w:szCs w:val="18"/>
                      <w:highlight w:val="none"/>
                      <w:lang w:eastAsia="zh-CN"/>
                    </w:rPr>
                    <w:t>各自配套的</w:t>
                  </w:r>
                  <w:r>
                    <w:rPr>
                      <w:rFonts w:hint="default" w:ascii="Times New Roman" w:hAnsi="Times New Roman" w:eastAsia="宋体" w:cs="Times New Roman"/>
                      <w:color w:val="auto"/>
                      <w:kern w:val="0"/>
                      <w:sz w:val="18"/>
                      <w:szCs w:val="18"/>
                      <w:highlight w:val="none"/>
                    </w:rPr>
                    <w:t>SCR脱硝装置处理后</w:t>
                  </w:r>
                  <w:r>
                    <w:rPr>
                      <w:rFonts w:hint="default" w:ascii="Times New Roman" w:hAnsi="Times New Roman" w:eastAsia="宋体" w:cs="Times New Roman"/>
                      <w:color w:val="auto"/>
                      <w:sz w:val="18"/>
                      <w:szCs w:val="18"/>
                      <w:highlight w:val="none"/>
                    </w:rPr>
                    <w:t>通过15m高排气筒</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DA0</w:t>
                  </w:r>
                  <w:r>
                    <w:rPr>
                      <w:rFonts w:hint="eastAsia" w:ascii="Times New Roman" w:hAnsi="Times New Roman" w:eastAsia="宋体" w:cs="Times New Roman"/>
                      <w:color w:val="auto"/>
                      <w:sz w:val="18"/>
                      <w:szCs w:val="18"/>
                      <w:highlight w:val="none"/>
                      <w:lang w:val="en-US" w:eastAsia="zh-CN"/>
                    </w:rPr>
                    <w:t>10</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排放</w:t>
                  </w:r>
                </w:p>
              </w:tc>
              <w:tc>
                <w:tcPr>
                  <w:tcW w:w="1696" w:type="dxa"/>
                  <w:vMerge w:val="continue"/>
                  <w:tcBorders>
                    <w:tl2br w:val="nil"/>
                    <w:tr2bl w:val="nil"/>
                  </w:tcBorders>
                  <w:vAlign w:val="center"/>
                </w:tcPr>
                <w:p w14:paraId="1177683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1849" w:type="dxa"/>
                  <w:vMerge w:val="continue"/>
                  <w:tcBorders>
                    <w:tl2br w:val="nil"/>
                    <w:tr2bl w:val="nil"/>
                  </w:tcBorders>
                  <w:vAlign w:val="center"/>
                </w:tcPr>
                <w:p w14:paraId="6B4BED3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c>
                <w:tcPr>
                  <w:tcW w:w="861" w:type="dxa"/>
                  <w:vMerge w:val="continue"/>
                  <w:tcBorders>
                    <w:tl2br w:val="nil"/>
                    <w:tr2bl w:val="nil"/>
                  </w:tcBorders>
                  <w:vAlign w:val="center"/>
                </w:tcPr>
                <w:p w14:paraId="1200E09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p>
              </w:tc>
            </w:tr>
            <w:tr w14:paraId="35C027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tcBorders>
                    <w:tl2br w:val="nil"/>
                    <w:tr2bl w:val="nil"/>
                  </w:tcBorders>
                  <w:vAlign w:val="center"/>
                </w:tcPr>
                <w:p w14:paraId="0C5107D3">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废水</w:t>
                  </w:r>
                </w:p>
              </w:tc>
              <w:tc>
                <w:tcPr>
                  <w:tcW w:w="904" w:type="dxa"/>
                  <w:tcBorders>
                    <w:tl2br w:val="nil"/>
                    <w:tr2bl w:val="nil"/>
                  </w:tcBorders>
                  <w:vAlign w:val="center"/>
                </w:tcPr>
                <w:p w14:paraId="7BD53DD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填埋气冷凝液</w:t>
                  </w:r>
                </w:p>
              </w:tc>
              <w:tc>
                <w:tcPr>
                  <w:tcW w:w="1238" w:type="dxa"/>
                  <w:tcBorders>
                    <w:tl2br w:val="nil"/>
                    <w:tr2bl w:val="nil"/>
                  </w:tcBorders>
                  <w:vAlign w:val="center"/>
                </w:tcPr>
                <w:p w14:paraId="7745641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SS、COD、BOD</w:t>
                  </w:r>
                  <w:r>
                    <w:rPr>
                      <w:rFonts w:hint="default" w:ascii="Times New Roman" w:hAnsi="Times New Roman" w:eastAsia="宋体" w:cs="Times New Roman"/>
                      <w:color w:val="auto"/>
                      <w:sz w:val="18"/>
                      <w:szCs w:val="18"/>
                      <w:highlight w:val="none"/>
                      <w:vertAlign w:val="subscript"/>
                    </w:rPr>
                    <w:t>5</w:t>
                  </w:r>
                  <w:r>
                    <w:rPr>
                      <w:rFonts w:hint="default" w:ascii="Times New Roman" w:hAnsi="Times New Roman" w:eastAsia="宋体" w:cs="Times New Roman"/>
                      <w:color w:val="auto"/>
                      <w:sz w:val="18"/>
                      <w:szCs w:val="18"/>
                      <w:highlight w:val="none"/>
                    </w:rPr>
                    <w:t>、氨氮等</w:t>
                  </w:r>
                </w:p>
              </w:tc>
              <w:tc>
                <w:tcPr>
                  <w:tcW w:w="2167" w:type="dxa"/>
                  <w:gridSpan w:val="2"/>
                  <w:tcBorders>
                    <w:tl2br w:val="nil"/>
                    <w:tr2bl w:val="nil"/>
                  </w:tcBorders>
                  <w:vAlign w:val="center"/>
                </w:tcPr>
                <w:p w14:paraId="1A14B3B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直接排入</w:t>
                  </w:r>
                  <w:r>
                    <w:rPr>
                      <w:rFonts w:hint="eastAsia" w:cs="Times New Roman"/>
                      <w:color w:val="auto"/>
                      <w:kern w:val="0"/>
                      <w:sz w:val="18"/>
                      <w:szCs w:val="18"/>
                      <w:highlight w:val="none"/>
                      <w:lang w:eastAsia="zh-CN"/>
                    </w:rPr>
                    <w:t>长山口生活垃圾填埋场</w:t>
                  </w:r>
                  <w:r>
                    <w:rPr>
                      <w:rFonts w:hint="default" w:ascii="Times New Roman" w:hAnsi="Times New Roman" w:eastAsia="宋体" w:cs="Times New Roman"/>
                      <w:color w:val="auto"/>
                      <w:kern w:val="0"/>
                      <w:sz w:val="18"/>
                      <w:szCs w:val="18"/>
                      <w:highlight w:val="none"/>
                    </w:rPr>
                    <w:t>现有渗滤液处理站</w:t>
                  </w:r>
                </w:p>
              </w:tc>
              <w:tc>
                <w:tcPr>
                  <w:tcW w:w="1696" w:type="dxa"/>
                  <w:tcBorders>
                    <w:tl2br w:val="nil"/>
                    <w:tr2bl w:val="nil"/>
                  </w:tcBorders>
                  <w:vAlign w:val="center"/>
                </w:tcPr>
                <w:p w14:paraId="12240E1A">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填埋气冷凝液</w:t>
                  </w:r>
                  <w:r>
                    <w:rPr>
                      <w:rFonts w:hint="default" w:ascii="Times New Roman" w:hAnsi="Times New Roman" w:eastAsia="宋体" w:cs="Times New Roman"/>
                      <w:color w:val="auto"/>
                      <w:kern w:val="0"/>
                      <w:sz w:val="18"/>
                      <w:szCs w:val="18"/>
                      <w:highlight w:val="none"/>
                    </w:rPr>
                    <w:t>直接排入</w:t>
                  </w:r>
                  <w:r>
                    <w:rPr>
                      <w:rFonts w:hint="eastAsia" w:cs="Times New Roman"/>
                      <w:color w:val="auto"/>
                      <w:kern w:val="0"/>
                      <w:sz w:val="18"/>
                      <w:szCs w:val="18"/>
                      <w:highlight w:val="none"/>
                      <w:lang w:eastAsia="zh-CN"/>
                    </w:rPr>
                    <w:t>长山口生活垃圾填埋场</w:t>
                  </w:r>
                  <w:r>
                    <w:rPr>
                      <w:rFonts w:hint="default" w:ascii="Times New Roman" w:hAnsi="Times New Roman" w:eastAsia="宋体" w:cs="Times New Roman"/>
                      <w:color w:val="auto"/>
                      <w:kern w:val="0"/>
                      <w:sz w:val="18"/>
                      <w:szCs w:val="18"/>
                      <w:highlight w:val="none"/>
                    </w:rPr>
                    <w:t>现有渗滤液处理站</w:t>
                  </w:r>
                </w:p>
              </w:tc>
              <w:tc>
                <w:tcPr>
                  <w:tcW w:w="1849" w:type="dxa"/>
                  <w:tcBorders>
                    <w:tl2br w:val="nil"/>
                    <w:tr2bl w:val="nil"/>
                  </w:tcBorders>
                  <w:vAlign w:val="center"/>
                </w:tcPr>
                <w:p w14:paraId="2E6BB3D0">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eastAsia="zh-CN"/>
                    </w:rPr>
                    <w:t>已落实</w:t>
                  </w:r>
                  <w:r>
                    <w:rPr>
                      <w:rFonts w:hint="eastAsia"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填埋气冷凝液</w:t>
                  </w:r>
                  <w:r>
                    <w:rPr>
                      <w:rFonts w:hint="default" w:ascii="Times New Roman" w:hAnsi="Times New Roman" w:eastAsia="宋体" w:cs="Times New Roman"/>
                      <w:color w:val="auto"/>
                      <w:kern w:val="0"/>
                      <w:sz w:val="18"/>
                      <w:szCs w:val="18"/>
                      <w:highlight w:val="none"/>
                    </w:rPr>
                    <w:t>直接排入长山口填埋场现有渗滤液处理站</w:t>
                  </w:r>
                  <w:r>
                    <w:rPr>
                      <w:rFonts w:hint="eastAsia" w:ascii="Times New Roman" w:hAnsi="Times New Roman" w:eastAsia="宋体" w:cs="Times New Roman"/>
                      <w:color w:val="auto"/>
                      <w:kern w:val="0"/>
                      <w:sz w:val="18"/>
                      <w:szCs w:val="18"/>
                      <w:highlight w:val="none"/>
                      <w:lang w:eastAsia="zh-CN"/>
                    </w:rPr>
                    <w:t>。</w:t>
                  </w:r>
                </w:p>
              </w:tc>
              <w:tc>
                <w:tcPr>
                  <w:tcW w:w="861" w:type="dxa"/>
                  <w:tcBorders>
                    <w:tl2br w:val="nil"/>
                    <w:tr2bl w:val="nil"/>
                  </w:tcBorders>
                  <w:vAlign w:val="center"/>
                </w:tcPr>
                <w:p w14:paraId="554E5380">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2</w:t>
                  </w:r>
                </w:p>
              </w:tc>
            </w:tr>
            <w:tr w14:paraId="362A7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tcBorders>
                    <w:tl2br w:val="nil"/>
                    <w:tr2bl w:val="nil"/>
                  </w:tcBorders>
                  <w:vAlign w:val="center"/>
                </w:tcPr>
                <w:p w14:paraId="26797231">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噪声</w:t>
                  </w:r>
                </w:p>
              </w:tc>
              <w:tc>
                <w:tcPr>
                  <w:tcW w:w="904" w:type="dxa"/>
                  <w:tcBorders>
                    <w:tl2br w:val="nil"/>
                    <w:tr2bl w:val="nil"/>
                  </w:tcBorders>
                  <w:vAlign w:val="center"/>
                </w:tcPr>
                <w:p w14:paraId="444D236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生产设备等</w:t>
                  </w:r>
                </w:p>
              </w:tc>
              <w:tc>
                <w:tcPr>
                  <w:tcW w:w="1238" w:type="dxa"/>
                  <w:tcBorders>
                    <w:tl2br w:val="nil"/>
                    <w:tr2bl w:val="nil"/>
                  </w:tcBorders>
                  <w:vAlign w:val="center"/>
                </w:tcPr>
                <w:p w14:paraId="27BDE9E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连续等效A声级</w:t>
                  </w:r>
                </w:p>
              </w:tc>
              <w:tc>
                <w:tcPr>
                  <w:tcW w:w="2167" w:type="dxa"/>
                  <w:gridSpan w:val="2"/>
                  <w:tcBorders>
                    <w:tl2br w:val="nil"/>
                    <w:tr2bl w:val="nil"/>
                  </w:tcBorders>
                  <w:vAlign w:val="center"/>
                </w:tcPr>
                <w:p w14:paraId="63C15DD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2"/>
                      <w:sz w:val="18"/>
                      <w:szCs w:val="18"/>
                      <w:highlight w:val="none"/>
                    </w:rPr>
                    <w:t>选用低噪声设备，对噪声源合理布局并采取隔音、消声等有效降噪措施</w:t>
                  </w:r>
                </w:p>
              </w:tc>
              <w:tc>
                <w:tcPr>
                  <w:tcW w:w="1696" w:type="dxa"/>
                  <w:tcBorders>
                    <w:tl2br w:val="nil"/>
                    <w:tr2bl w:val="nil"/>
                  </w:tcBorders>
                  <w:vAlign w:val="center"/>
                </w:tcPr>
                <w:p w14:paraId="7072A3D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满足《工业企业厂界环境噪声排放标准》（GB12348-2008）2类标准限值要求</w:t>
                  </w:r>
                </w:p>
              </w:tc>
              <w:tc>
                <w:tcPr>
                  <w:tcW w:w="1849" w:type="dxa"/>
                  <w:tcBorders>
                    <w:tl2br w:val="nil"/>
                    <w:tr2bl w:val="nil"/>
                  </w:tcBorders>
                  <w:vAlign w:val="center"/>
                </w:tcPr>
                <w:p w14:paraId="51289665">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2"/>
                      <w:sz w:val="18"/>
                      <w:szCs w:val="18"/>
                      <w:highlight w:val="none"/>
                    </w:rPr>
                    <w:t>选用低噪声设备，对噪声源合理布局并采取隔音、消声等有效降噪措施</w:t>
                  </w:r>
                </w:p>
              </w:tc>
              <w:tc>
                <w:tcPr>
                  <w:tcW w:w="861" w:type="dxa"/>
                  <w:tcBorders>
                    <w:tl2br w:val="nil"/>
                    <w:tr2bl w:val="nil"/>
                  </w:tcBorders>
                  <w:vAlign w:val="center"/>
                </w:tcPr>
                <w:p w14:paraId="6332EF6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12</w:t>
                  </w:r>
                </w:p>
              </w:tc>
            </w:tr>
            <w:tr w14:paraId="5267FD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restart"/>
                  <w:tcBorders>
                    <w:tl2br w:val="nil"/>
                    <w:tr2bl w:val="nil"/>
                  </w:tcBorders>
                  <w:vAlign w:val="center"/>
                </w:tcPr>
                <w:p w14:paraId="77CF3C62">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固废</w:t>
                  </w:r>
                </w:p>
              </w:tc>
              <w:tc>
                <w:tcPr>
                  <w:tcW w:w="904" w:type="dxa"/>
                  <w:vMerge w:val="restart"/>
                  <w:tcBorders>
                    <w:tl2br w:val="nil"/>
                    <w:tr2bl w:val="nil"/>
                  </w:tcBorders>
                  <w:vAlign w:val="center"/>
                </w:tcPr>
                <w:p w14:paraId="6AC4457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生产、</w:t>
                  </w:r>
                </w:p>
                <w:p w14:paraId="7EB8C26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生活</w:t>
                  </w:r>
                </w:p>
              </w:tc>
              <w:tc>
                <w:tcPr>
                  <w:tcW w:w="1238" w:type="dxa"/>
                  <w:tcBorders>
                    <w:tl2br w:val="nil"/>
                    <w:tr2bl w:val="nil"/>
                  </w:tcBorders>
                  <w:vAlign w:val="center"/>
                </w:tcPr>
                <w:p w14:paraId="03A6D276">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除尘粉尘</w:t>
                  </w:r>
                </w:p>
              </w:tc>
              <w:tc>
                <w:tcPr>
                  <w:tcW w:w="2167" w:type="dxa"/>
                  <w:gridSpan w:val="2"/>
                  <w:vMerge w:val="restart"/>
                  <w:tcBorders>
                    <w:tl2br w:val="nil"/>
                    <w:tr2bl w:val="nil"/>
                  </w:tcBorders>
                  <w:vAlign w:val="center"/>
                </w:tcPr>
                <w:p w14:paraId="346FBC8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送往武汉市</w:t>
                  </w:r>
                  <w:r>
                    <w:rPr>
                      <w:rFonts w:hint="eastAsia" w:cs="Times New Roman"/>
                      <w:color w:val="auto"/>
                      <w:sz w:val="18"/>
                      <w:szCs w:val="18"/>
                      <w:highlight w:val="none"/>
                      <w:lang w:eastAsia="zh-CN"/>
                    </w:rPr>
                    <w:t>长山口</w:t>
                  </w:r>
                  <w:r>
                    <w:rPr>
                      <w:rFonts w:hint="default" w:ascii="Times New Roman" w:hAnsi="Times New Roman" w:eastAsia="宋体" w:cs="Times New Roman"/>
                      <w:color w:val="auto"/>
                      <w:sz w:val="18"/>
                      <w:szCs w:val="18"/>
                      <w:highlight w:val="none"/>
                    </w:rPr>
                    <w:t>生活垃圾卫生填埋场填埋</w:t>
                  </w:r>
                </w:p>
              </w:tc>
              <w:tc>
                <w:tcPr>
                  <w:tcW w:w="1696" w:type="dxa"/>
                  <w:vMerge w:val="restart"/>
                  <w:tcBorders>
                    <w:tl2br w:val="nil"/>
                    <w:tr2bl w:val="nil"/>
                  </w:tcBorders>
                  <w:vAlign w:val="center"/>
                </w:tcPr>
                <w:p w14:paraId="78CCD011">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rPr>
                    <w:t>妥善处置，对外零排放</w:t>
                  </w:r>
                </w:p>
              </w:tc>
              <w:tc>
                <w:tcPr>
                  <w:tcW w:w="1849" w:type="dxa"/>
                  <w:vMerge w:val="restart"/>
                  <w:tcBorders>
                    <w:tl2br w:val="nil"/>
                    <w:tr2bl w:val="nil"/>
                  </w:tcBorders>
                  <w:vAlign w:val="center"/>
                </w:tcPr>
                <w:p w14:paraId="4AE0A37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送往武汉市</w:t>
                  </w:r>
                  <w:r>
                    <w:rPr>
                      <w:rFonts w:hint="eastAsia" w:cs="Times New Roman"/>
                      <w:color w:val="auto"/>
                      <w:sz w:val="18"/>
                      <w:szCs w:val="18"/>
                      <w:highlight w:val="none"/>
                      <w:lang w:eastAsia="zh-CN"/>
                    </w:rPr>
                    <w:t>长山口</w:t>
                  </w:r>
                  <w:r>
                    <w:rPr>
                      <w:rFonts w:hint="default" w:ascii="Times New Roman" w:hAnsi="Times New Roman" w:eastAsia="宋体" w:cs="Times New Roman"/>
                      <w:color w:val="auto"/>
                      <w:sz w:val="18"/>
                      <w:szCs w:val="18"/>
                      <w:highlight w:val="none"/>
                    </w:rPr>
                    <w:t>生活垃圾卫生填埋场填埋</w:t>
                  </w:r>
                </w:p>
              </w:tc>
              <w:tc>
                <w:tcPr>
                  <w:tcW w:w="861" w:type="dxa"/>
                  <w:vMerge w:val="restart"/>
                  <w:tcBorders>
                    <w:tl2br w:val="nil"/>
                    <w:tr2bl w:val="nil"/>
                  </w:tcBorders>
                  <w:vAlign w:val="center"/>
                </w:tcPr>
                <w:p w14:paraId="764674E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6</w:t>
                  </w:r>
                </w:p>
              </w:tc>
            </w:tr>
            <w:tr w14:paraId="20AC82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065AD276">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56DD5F2E">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26D6434B">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废脱硫剂</w:t>
                  </w:r>
                </w:p>
              </w:tc>
              <w:tc>
                <w:tcPr>
                  <w:tcW w:w="2167" w:type="dxa"/>
                  <w:gridSpan w:val="2"/>
                  <w:vMerge w:val="continue"/>
                  <w:tcBorders>
                    <w:tl2br w:val="nil"/>
                    <w:tr2bl w:val="nil"/>
                  </w:tcBorders>
                  <w:vAlign w:val="center"/>
                </w:tcPr>
                <w:p w14:paraId="7BB1DF5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c>
                <w:tcPr>
                  <w:tcW w:w="1696" w:type="dxa"/>
                  <w:vMerge w:val="continue"/>
                  <w:tcBorders>
                    <w:tl2br w:val="nil"/>
                    <w:tr2bl w:val="nil"/>
                  </w:tcBorders>
                  <w:vAlign w:val="center"/>
                </w:tcPr>
                <w:p w14:paraId="40541073">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vMerge w:val="continue"/>
                  <w:tcBorders>
                    <w:tl2br w:val="nil"/>
                    <w:tr2bl w:val="nil"/>
                  </w:tcBorders>
                  <w:vAlign w:val="center"/>
                </w:tcPr>
                <w:p w14:paraId="166D51F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861" w:type="dxa"/>
                  <w:vMerge w:val="continue"/>
                  <w:tcBorders>
                    <w:tl2br w:val="nil"/>
                    <w:tr2bl w:val="nil"/>
                  </w:tcBorders>
                  <w:vAlign w:val="center"/>
                </w:tcPr>
                <w:p w14:paraId="50C5BB6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100755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7A4E99FC">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6733ED2E">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08D31095">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污泥</w:t>
                  </w:r>
                </w:p>
              </w:tc>
              <w:tc>
                <w:tcPr>
                  <w:tcW w:w="2167" w:type="dxa"/>
                  <w:gridSpan w:val="2"/>
                  <w:vMerge w:val="continue"/>
                  <w:tcBorders>
                    <w:tl2br w:val="nil"/>
                    <w:tr2bl w:val="nil"/>
                  </w:tcBorders>
                  <w:vAlign w:val="center"/>
                </w:tcPr>
                <w:p w14:paraId="00FE25F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c>
                <w:tcPr>
                  <w:tcW w:w="1696" w:type="dxa"/>
                  <w:vMerge w:val="continue"/>
                  <w:tcBorders>
                    <w:tl2br w:val="nil"/>
                    <w:tr2bl w:val="nil"/>
                  </w:tcBorders>
                  <w:vAlign w:val="center"/>
                </w:tcPr>
                <w:p w14:paraId="5D9F1FA3">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vMerge w:val="continue"/>
                  <w:tcBorders>
                    <w:tl2br w:val="nil"/>
                    <w:tr2bl w:val="nil"/>
                  </w:tcBorders>
                  <w:vAlign w:val="center"/>
                </w:tcPr>
                <w:p w14:paraId="5945EAF3">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861" w:type="dxa"/>
                  <w:vMerge w:val="continue"/>
                  <w:tcBorders>
                    <w:tl2br w:val="nil"/>
                    <w:tr2bl w:val="nil"/>
                  </w:tcBorders>
                  <w:vAlign w:val="center"/>
                </w:tcPr>
                <w:p w14:paraId="4C0B047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0B1365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16693D59">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6F4B06B9">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30145DF3">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eastAsia" w:cs="Times New Roman"/>
                      <w:color w:val="auto"/>
                      <w:kern w:val="0"/>
                      <w:sz w:val="18"/>
                      <w:szCs w:val="18"/>
                      <w:highlight w:val="none"/>
                      <w:lang w:eastAsia="zh-CN"/>
                    </w:rPr>
                    <w:t>废过滤器</w:t>
                  </w:r>
                </w:p>
              </w:tc>
              <w:tc>
                <w:tcPr>
                  <w:tcW w:w="2167" w:type="dxa"/>
                  <w:gridSpan w:val="2"/>
                  <w:tcBorders>
                    <w:tl2br w:val="nil"/>
                    <w:tr2bl w:val="nil"/>
                  </w:tcBorders>
                  <w:vAlign w:val="center"/>
                </w:tcPr>
                <w:p w14:paraId="3E36D166">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eastAsia"/>
                      <w:color w:val="auto"/>
                      <w:szCs w:val="18"/>
                      <w:lang w:eastAsia="zh-CN"/>
                    </w:rPr>
                    <w:t>物资部门回收处理</w:t>
                  </w:r>
                </w:p>
              </w:tc>
              <w:tc>
                <w:tcPr>
                  <w:tcW w:w="1696" w:type="dxa"/>
                  <w:vMerge w:val="continue"/>
                  <w:tcBorders>
                    <w:tl2br w:val="nil"/>
                    <w:tr2bl w:val="nil"/>
                  </w:tcBorders>
                  <w:vAlign w:val="center"/>
                </w:tcPr>
                <w:p w14:paraId="3AEC6550">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tcBorders>
                    <w:tl2br w:val="nil"/>
                    <w:tr2bl w:val="nil"/>
                  </w:tcBorders>
                  <w:vAlign w:val="center"/>
                </w:tcPr>
                <w:p w14:paraId="72EDF01F">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eastAsia"/>
                      <w:color w:val="auto"/>
                      <w:szCs w:val="18"/>
                      <w:lang w:eastAsia="zh-CN"/>
                    </w:rPr>
                    <w:t>物资部门回收处理</w:t>
                  </w:r>
                </w:p>
              </w:tc>
              <w:tc>
                <w:tcPr>
                  <w:tcW w:w="861" w:type="dxa"/>
                  <w:vMerge w:val="continue"/>
                  <w:tcBorders>
                    <w:tl2br w:val="nil"/>
                    <w:tr2bl w:val="nil"/>
                  </w:tcBorders>
                  <w:vAlign w:val="center"/>
                </w:tcPr>
                <w:p w14:paraId="4BB0D7F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61FD09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58422FF6">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40C145CE">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12F2A090">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废润滑油</w:t>
                  </w:r>
                </w:p>
              </w:tc>
              <w:tc>
                <w:tcPr>
                  <w:tcW w:w="2167" w:type="dxa"/>
                  <w:gridSpan w:val="2"/>
                  <w:vMerge w:val="restart"/>
                  <w:tcBorders>
                    <w:tl2br w:val="nil"/>
                    <w:tr2bl w:val="nil"/>
                  </w:tcBorders>
                  <w:vAlign w:val="center"/>
                </w:tcPr>
                <w:p w14:paraId="3A13537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kern w:val="0"/>
                      <w:sz w:val="18"/>
                      <w:szCs w:val="18"/>
                      <w:highlight w:val="none"/>
                      <w:lang w:eastAsia="zh-CN"/>
                    </w:rPr>
                    <w:t>暂存于</w:t>
                  </w:r>
                  <w:r>
                    <w:rPr>
                      <w:rFonts w:hint="default" w:ascii="Times New Roman" w:hAnsi="Times New Roman" w:eastAsia="宋体" w:cs="Times New Roman"/>
                      <w:color w:val="auto"/>
                      <w:sz w:val="18"/>
                      <w:szCs w:val="18"/>
                      <w:highlight w:val="none"/>
                    </w:rPr>
                    <w:t>危废暂存间</w:t>
                  </w:r>
                  <w:r>
                    <w:rPr>
                      <w:rFonts w:hint="default" w:ascii="Times New Roman" w:hAnsi="Times New Roman" w:eastAsia="宋体" w:cs="Times New Roman"/>
                      <w:color w:val="auto"/>
                      <w:sz w:val="18"/>
                      <w:szCs w:val="18"/>
                      <w:highlight w:val="none"/>
                      <w:lang w:eastAsia="zh-CN"/>
                    </w:rPr>
                    <w:t>内，</w:t>
                  </w:r>
                  <w:r>
                    <w:rPr>
                      <w:rFonts w:hint="default" w:ascii="Times New Roman" w:hAnsi="Times New Roman" w:eastAsia="宋体" w:cs="Times New Roman"/>
                      <w:color w:val="auto"/>
                      <w:sz w:val="18"/>
                      <w:szCs w:val="18"/>
                      <w:highlight w:val="none"/>
                    </w:rPr>
                    <w:t>定期委托具有危废处理资质的单位收集处置</w:t>
                  </w:r>
                </w:p>
              </w:tc>
              <w:tc>
                <w:tcPr>
                  <w:tcW w:w="1696" w:type="dxa"/>
                  <w:vMerge w:val="continue"/>
                  <w:tcBorders>
                    <w:tl2br w:val="nil"/>
                    <w:tr2bl w:val="nil"/>
                  </w:tcBorders>
                  <w:vAlign w:val="center"/>
                </w:tcPr>
                <w:p w14:paraId="7D0516AC">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vMerge w:val="restart"/>
                  <w:tcBorders>
                    <w:tl2br w:val="nil"/>
                    <w:tr2bl w:val="nil"/>
                  </w:tcBorders>
                  <w:vAlign w:val="center"/>
                </w:tcPr>
                <w:p w14:paraId="2310EEA9">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eastAsia="zh-CN"/>
                    </w:rPr>
                    <w:t>暂存于</w:t>
                  </w:r>
                  <w:r>
                    <w:rPr>
                      <w:rFonts w:hint="default" w:ascii="Times New Roman" w:hAnsi="Times New Roman" w:eastAsia="宋体" w:cs="Times New Roman"/>
                      <w:color w:val="auto"/>
                      <w:sz w:val="18"/>
                      <w:szCs w:val="18"/>
                      <w:highlight w:val="none"/>
                    </w:rPr>
                    <w:t>危废暂存间</w:t>
                  </w:r>
                  <w:r>
                    <w:rPr>
                      <w:rFonts w:hint="default" w:ascii="Times New Roman" w:hAnsi="Times New Roman" w:eastAsia="宋体" w:cs="Times New Roman"/>
                      <w:color w:val="auto"/>
                      <w:sz w:val="18"/>
                      <w:szCs w:val="18"/>
                      <w:highlight w:val="none"/>
                      <w:lang w:eastAsia="zh-CN"/>
                    </w:rPr>
                    <w:t>内，并</w:t>
                  </w:r>
                  <w:r>
                    <w:rPr>
                      <w:rFonts w:hint="default" w:ascii="Times New Roman" w:hAnsi="Times New Roman" w:eastAsia="宋体" w:cs="Times New Roman"/>
                      <w:color w:val="auto"/>
                      <w:sz w:val="18"/>
                      <w:szCs w:val="18"/>
                      <w:highlight w:val="none"/>
                    </w:rPr>
                    <w:t>定期委托具有危废处理资质的单位收集处置</w:t>
                  </w:r>
                </w:p>
              </w:tc>
              <w:tc>
                <w:tcPr>
                  <w:tcW w:w="861" w:type="dxa"/>
                  <w:vMerge w:val="continue"/>
                  <w:tcBorders>
                    <w:tl2br w:val="nil"/>
                    <w:tr2bl w:val="nil"/>
                  </w:tcBorders>
                  <w:vAlign w:val="center"/>
                </w:tcPr>
                <w:p w14:paraId="712BF0A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3989BE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7617CEC1">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4B545C42">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6BCC35BF">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废油桶</w:t>
                  </w:r>
                </w:p>
              </w:tc>
              <w:tc>
                <w:tcPr>
                  <w:tcW w:w="2167" w:type="dxa"/>
                  <w:gridSpan w:val="2"/>
                  <w:vMerge w:val="continue"/>
                  <w:tcBorders>
                    <w:tl2br w:val="nil"/>
                    <w:tr2bl w:val="nil"/>
                  </w:tcBorders>
                  <w:vAlign w:val="center"/>
                </w:tcPr>
                <w:p w14:paraId="068CB4D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c>
                <w:tcPr>
                  <w:tcW w:w="1696" w:type="dxa"/>
                  <w:vMerge w:val="continue"/>
                  <w:tcBorders>
                    <w:tl2br w:val="nil"/>
                    <w:tr2bl w:val="nil"/>
                  </w:tcBorders>
                  <w:vAlign w:val="center"/>
                </w:tcPr>
                <w:p w14:paraId="182202B2">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vMerge w:val="continue"/>
                  <w:tcBorders>
                    <w:tl2br w:val="nil"/>
                    <w:tr2bl w:val="nil"/>
                  </w:tcBorders>
                  <w:vAlign w:val="center"/>
                </w:tcPr>
                <w:p w14:paraId="713703F1">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861" w:type="dxa"/>
                  <w:vMerge w:val="continue"/>
                  <w:tcBorders>
                    <w:tl2br w:val="nil"/>
                    <w:tr2bl w:val="nil"/>
                  </w:tcBorders>
                  <w:vAlign w:val="center"/>
                </w:tcPr>
                <w:p w14:paraId="0B49D25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292043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55" w:type="dxa"/>
                  <w:vMerge w:val="continue"/>
                  <w:tcBorders>
                    <w:tl2br w:val="nil"/>
                    <w:tr2bl w:val="nil"/>
                  </w:tcBorders>
                  <w:vAlign w:val="center"/>
                </w:tcPr>
                <w:p w14:paraId="23EB9101">
                  <w:pPr>
                    <w:pStyle w:val="54"/>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904" w:type="dxa"/>
                  <w:vMerge w:val="continue"/>
                  <w:tcBorders>
                    <w:tl2br w:val="nil"/>
                    <w:tr2bl w:val="nil"/>
                  </w:tcBorders>
                  <w:vAlign w:val="center"/>
                </w:tcPr>
                <w:p w14:paraId="5D094446">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238" w:type="dxa"/>
                  <w:tcBorders>
                    <w:tl2br w:val="nil"/>
                    <w:tr2bl w:val="nil"/>
                  </w:tcBorders>
                  <w:vAlign w:val="center"/>
                </w:tcPr>
                <w:p w14:paraId="52BCECA1">
                  <w:pPr>
                    <w:pStyle w:val="107"/>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废脱硝催化剂</w:t>
                  </w:r>
                </w:p>
              </w:tc>
              <w:tc>
                <w:tcPr>
                  <w:tcW w:w="2167" w:type="dxa"/>
                  <w:gridSpan w:val="2"/>
                  <w:vMerge w:val="continue"/>
                  <w:tcBorders>
                    <w:tl2br w:val="nil"/>
                    <w:tr2bl w:val="nil"/>
                  </w:tcBorders>
                  <w:vAlign w:val="center"/>
                </w:tcPr>
                <w:p w14:paraId="25996B71">
                  <w:pPr>
                    <w:pStyle w:val="103"/>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18"/>
                      <w:szCs w:val="18"/>
                      <w:highlight w:val="none"/>
                    </w:rPr>
                  </w:pPr>
                </w:p>
              </w:tc>
              <w:tc>
                <w:tcPr>
                  <w:tcW w:w="1696" w:type="dxa"/>
                  <w:vMerge w:val="continue"/>
                  <w:tcBorders>
                    <w:tl2br w:val="nil"/>
                    <w:tr2bl w:val="nil"/>
                  </w:tcBorders>
                  <w:vAlign w:val="center"/>
                </w:tcPr>
                <w:p w14:paraId="15179F48">
                  <w:pPr>
                    <w:pStyle w:val="2"/>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1849" w:type="dxa"/>
                  <w:vMerge w:val="continue"/>
                  <w:tcBorders>
                    <w:tl2br w:val="nil"/>
                    <w:tr2bl w:val="nil"/>
                  </w:tcBorders>
                  <w:vAlign w:val="center"/>
                </w:tcPr>
                <w:p w14:paraId="05B6F856">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p>
              </w:tc>
              <w:tc>
                <w:tcPr>
                  <w:tcW w:w="861" w:type="dxa"/>
                  <w:vMerge w:val="continue"/>
                  <w:tcBorders>
                    <w:tl2br w:val="nil"/>
                    <w:tr2bl w:val="nil"/>
                  </w:tcBorders>
                  <w:vAlign w:val="center"/>
                </w:tcPr>
                <w:p w14:paraId="6263371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p>
              </w:tc>
            </w:tr>
            <w:tr w14:paraId="41A6B6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3" w:hRule="atLeast"/>
                <w:jc w:val="center"/>
              </w:trPr>
              <w:tc>
                <w:tcPr>
                  <w:tcW w:w="2497" w:type="dxa"/>
                  <w:gridSpan w:val="3"/>
                  <w:tcBorders>
                    <w:tl2br w:val="nil"/>
                    <w:tr2bl w:val="nil"/>
                  </w:tcBorders>
                  <w:vAlign w:val="center"/>
                </w:tcPr>
                <w:p w14:paraId="771CBD00">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sz w:val="18"/>
                      <w:szCs w:val="18"/>
                      <w:highlight w:val="none"/>
                    </w:rPr>
                    <w:t>土壤及地下水污染防治措施</w:t>
                  </w:r>
                </w:p>
              </w:tc>
              <w:tc>
                <w:tcPr>
                  <w:tcW w:w="3863" w:type="dxa"/>
                  <w:gridSpan w:val="3"/>
                  <w:tcBorders>
                    <w:tl2br w:val="nil"/>
                    <w:tr2bl w:val="nil"/>
                  </w:tcBorders>
                  <w:vAlign w:val="center"/>
                </w:tcPr>
                <w:p w14:paraId="5D1D1A6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kern w:val="0"/>
                      <w:sz w:val="18"/>
                      <w:szCs w:val="18"/>
                      <w:highlight w:val="none"/>
                      <w:lang w:eastAsia="zh-CN"/>
                    </w:rPr>
                    <w:t>分区防渗</w:t>
                  </w:r>
                </w:p>
              </w:tc>
              <w:tc>
                <w:tcPr>
                  <w:tcW w:w="1849" w:type="dxa"/>
                  <w:tcBorders>
                    <w:tl2br w:val="nil"/>
                    <w:tr2bl w:val="nil"/>
                  </w:tcBorders>
                  <w:vAlign w:val="center"/>
                </w:tcPr>
                <w:p w14:paraId="62CC77C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eastAsia="zh-CN"/>
                    </w:rPr>
                  </w:pPr>
                  <w:r>
                    <w:rPr>
                      <w:rFonts w:hint="default" w:ascii="Times New Roman" w:hAnsi="Times New Roman" w:eastAsia="宋体" w:cs="Times New Roman"/>
                      <w:color w:val="auto"/>
                      <w:kern w:val="0"/>
                      <w:sz w:val="18"/>
                      <w:szCs w:val="18"/>
                      <w:highlight w:val="none"/>
                      <w:lang w:eastAsia="zh-CN"/>
                    </w:rPr>
                    <w:t>已按要求进行了分区防渗</w:t>
                  </w:r>
                </w:p>
              </w:tc>
              <w:tc>
                <w:tcPr>
                  <w:tcW w:w="861" w:type="dxa"/>
                  <w:tcBorders>
                    <w:tl2br w:val="nil"/>
                    <w:tr2bl w:val="nil"/>
                  </w:tcBorders>
                  <w:vAlign w:val="center"/>
                </w:tcPr>
                <w:p w14:paraId="1D221127">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6</w:t>
                  </w:r>
                </w:p>
              </w:tc>
            </w:tr>
            <w:tr w14:paraId="17AD46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497" w:type="dxa"/>
                  <w:gridSpan w:val="3"/>
                  <w:tcBorders>
                    <w:tl2br w:val="nil"/>
                    <w:tr2bl w:val="nil"/>
                  </w:tcBorders>
                  <w:vAlign w:val="center"/>
                </w:tcPr>
                <w:p w14:paraId="052EC34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环境风险及环境管理</w:t>
                  </w:r>
                </w:p>
              </w:tc>
              <w:tc>
                <w:tcPr>
                  <w:tcW w:w="3863" w:type="dxa"/>
                  <w:gridSpan w:val="3"/>
                  <w:tcBorders>
                    <w:tl2br w:val="nil"/>
                    <w:tr2bl w:val="nil"/>
                  </w:tcBorders>
                  <w:vAlign w:val="center"/>
                </w:tcPr>
                <w:p w14:paraId="060BDCF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编制环境风险应急预案</w:t>
                  </w:r>
                  <w:r>
                    <w:rPr>
                      <w:rFonts w:hint="default" w:ascii="Times New Roman" w:hAnsi="Times New Roman" w:eastAsia="宋体" w:cs="Times New Roman"/>
                      <w:color w:val="auto"/>
                      <w:sz w:val="18"/>
                      <w:szCs w:val="18"/>
                      <w:highlight w:val="none"/>
                      <w:lang w:eastAsia="zh-CN"/>
                    </w:rPr>
                    <w:t>，报与当地生态环境主管部门备案</w:t>
                  </w:r>
                </w:p>
              </w:tc>
              <w:tc>
                <w:tcPr>
                  <w:tcW w:w="1849" w:type="dxa"/>
                  <w:tcBorders>
                    <w:tl2br w:val="nil"/>
                    <w:tr2bl w:val="nil"/>
                  </w:tcBorders>
                  <w:vAlign w:val="center"/>
                </w:tcPr>
                <w:p w14:paraId="17FB0E7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lang w:eastAsia="zh-CN"/>
                    </w:rPr>
                    <w:t>已</w:t>
                  </w:r>
                  <w:r>
                    <w:rPr>
                      <w:rFonts w:hint="default" w:ascii="Times New Roman" w:hAnsi="Times New Roman" w:eastAsia="宋体" w:cs="Times New Roman"/>
                      <w:color w:val="auto"/>
                      <w:sz w:val="18"/>
                      <w:szCs w:val="18"/>
                      <w:highlight w:val="none"/>
                    </w:rPr>
                    <w:t>编制</w:t>
                  </w:r>
                  <w:r>
                    <w:rPr>
                      <w:rFonts w:hint="default" w:ascii="Times New Roman" w:hAnsi="Times New Roman" w:eastAsia="宋体" w:cs="Times New Roman"/>
                      <w:color w:val="auto"/>
                      <w:kern w:val="0"/>
                      <w:sz w:val="18"/>
                      <w:szCs w:val="18"/>
                      <w:highlight w:val="none"/>
                      <w:lang w:val="en-US" w:eastAsia="zh-CN"/>
                    </w:rPr>
                    <w:t>《突发环境事件应急预案》</w:t>
                  </w:r>
                  <w:r>
                    <w:rPr>
                      <w:rFonts w:hint="eastAsia" w:cs="Times New Roman"/>
                      <w:color w:val="auto"/>
                      <w:kern w:val="0"/>
                      <w:sz w:val="18"/>
                      <w:szCs w:val="18"/>
                      <w:highlight w:val="none"/>
                      <w:lang w:val="en-US" w:eastAsia="zh-CN"/>
                    </w:rPr>
                    <w:t>，正在备案中。</w:t>
                  </w:r>
                </w:p>
              </w:tc>
              <w:tc>
                <w:tcPr>
                  <w:tcW w:w="861" w:type="dxa"/>
                  <w:tcBorders>
                    <w:tl2br w:val="nil"/>
                    <w:tr2bl w:val="nil"/>
                  </w:tcBorders>
                  <w:vAlign w:val="center"/>
                </w:tcPr>
                <w:p w14:paraId="355151EA">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cs="Times New Roman"/>
                      <w:color w:val="auto"/>
                      <w:kern w:val="0"/>
                      <w:sz w:val="18"/>
                      <w:szCs w:val="18"/>
                      <w:highlight w:val="none"/>
                      <w:lang w:val="en-US" w:eastAsia="zh-CN"/>
                    </w:rPr>
                    <w:t>6</w:t>
                  </w:r>
                </w:p>
              </w:tc>
            </w:tr>
            <w:tr w14:paraId="1EEBEE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8209" w:type="dxa"/>
                  <w:gridSpan w:val="7"/>
                  <w:tcBorders>
                    <w:tl2br w:val="nil"/>
                    <w:tr2bl w:val="nil"/>
                  </w:tcBorders>
                  <w:vAlign w:val="center"/>
                </w:tcPr>
                <w:p w14:paraId="5F4740B8">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合计</w:t>
                  </w:r>
                </w:p>
              </w:tc>
              <w:tc>
                <w:tcPr>
                  <w:tcW w:w="861" w:type="dxa"/>
                  <w:tcBorders>
                    <w:tl2br w:val="nil"/>
                    <w:tr2bl w:val="nil"/>
                  </w:tcBorders>
                  <w:vAlign w:val="center"/>
                </w:tcPr>
                <w:p w14:paraId="161CF424">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eastAsia" w:cs="Times New Roman"/>
                      <w:color w:val="auto"/>
                      <w:sz w:val="18"/>
                      <w:szCs w:val="18"/>
                      <w:highlight w:val="none"/>
                      <w:lang w:val="en-US" w:eastAsia="zh-CN"/>
                    </w:rPr>
                    <w:t>132</w:t>
                  </w:r>
                </w:p>
              </w:tc>
            </w:tr>
          </w:tbl>
          <w:p w14:paraId="7E0ECE70">
            <w:pPr>
              <w:adjustRightInd/>
              <w:snapToGrid/>
              <w:spacing w:line="360" w:lineRule="auto"/>
              <w:rPr>
                <w:color w:val="auto"/>
                <w:sz w:val="24"/>
                <w:highlight w:val="none"/>
              </w:rPr>
            </w:pPr>
          </w:p>
        </w:tc>
      </w:tr>
    </w:tbl>
    <w:p w14:paraId="7FE8EB9F">
      <w:pPr>
        <w:pStyle w:val="4"/>
        <w:adjustRightInd/>
        <w:snapToGrid/>
        <w:rPr>
          <w:color w:val="auto"/>
          <w:highlight w:val="none"/>
        </w:rPr>
      </w:pPr>
      <w:bookmarkStart w:id="4" w:name="_Toc10275"/>
      <w:r>
        <w:rPr>
          <w:rFonts w:hint="eastAsia"/>
          <w:color w:val="auto"/>
          <w:highlight w:val="none"/>
        </w:rPr>
        <w:t>表四环评报告表的主要结论与环评批复要求</w:t>
      </w:r>
      <w:bookmarkEnd w:id="4"/>
    </w:p>
    <w:tbl>
      <w:tblPr>
        <w:tblStyle w:val="29"/>
        <w:tblW w:w="928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286"/>
      </w:tblGrid>
      <w:tr w14:paraId="6E5E8E2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167" w:hRule="atLeast"/>
        </w:trPr>
        <w:tc>
          <w:tcPr>
            <w:tcW w:w="9286" w:type="dxa"/>
            <w:shd w:val="clear" w:color="auto" w:fill="auto"/>
          </w:tcPr>
          <w:p w14:paraId="4CFDC2D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4.1环评报告表的主要结论与建议（摘录）</w:t>
            </w:r>
          </w:p>
          <w:p w14:paraId="67B1F56E">
            <w:pPr>
              <w:pStyle w:val="91"/>
              <w:adjustRightInd/>
              <w:snapToGrid/>
              <w:spacing w:line="360" w:lineRule="auto"/>
              <w:rPr>
                <w:rFonts w:hint="eastAsia" w:ascii="Times New Roman" w:hAnsi="Times New Roman" w:eastAsia="宋体" w:cs="Times New Roman"/>
                <w:color w:val="auto"/>
                <w:kern w:val="2"/>
                <w:highlight w:val="none"/>
              </w:rPr>
            </w:pPr>
            <w:r>
              <w:rPr>
                <w:rFonts w:hint="eastAsia" w:ascii="Times New Roman" w:hAnsi="Times New Roman" w:eastAsia="宋体" w:cs="Times New Roman"/>
                <w:color w:val="auto"/>
                <w:kern w:val="2"/>
                <w:highlight w:val="none"/>
              </w:rPr>
              <w:t>项目的建设符合当地城市建设总体规划以及国家产业政策的要求。项目运行后将产生一定程度的废水、废气、噪声及固体废物，在建设单位严格执行“三同时”制度并且全面落实本评价提出的各项污染防治措施和风险防范措施后，可做到污染物稳定达标排放，项目对周围环境的影响可以控制在国家有关标准和要求的允许范围以内。</w:t>
            </w:r>
          </w:p>
          <w:p w14:paraId="2000D49D">
            <w:pPr>
              <w:pStyle w:val="91"/>
              <w:adjustRightInd/>
              <w:snapToGrid/>
              <w:spacing w:line="360" w:lineRule="auto"/>
              <w:rPr>
                <w:rFonts w:hint="eastAsia" w:ascii="Times New Roman" w:hAnsi="Times New Roman" w:eastAsia="宋体" w:cs="Times New Roman"/>
                <w:color w:val="auto"/>
                <w:kern w:val="2"/>
                <w:highlight w:val="none"/>
              </w:rPr>
            </w:pPr>
            <w:r>
              <w:rPr>
                <w:rFonts w:hint="eastAsia" w:ascii="Times New Roman" w:hAnsi="Times New Roman" w:eastAsia="宋体" w:cs="Times New Roman"/>
                <w:color w:val="auto"/>
                <w:kern w:val="2"/>
                <w:highlight w:val="none"/>
              </w:rPr>
              <w:t>因此，从环境保护角度，项目的选址和建设是可行的。</w:t>
            </w:r>
          </w:p>
          <w:p w14:paraId="749DBD8C">
            <w:pPr>
              <w:pStyle w:val="91"/>
              <w:adjustRightInd/>
              <w:snapToGrid/>
              <w:spacing w:line="360" w:lineRule="auto"/>
              <w:rPr>
                <w:rFonts w:hint="eastAsia" w:ascii="Times New Roman" w:hAnsi="Times New Roman" w:eastAsia="宋体" w:cs="Times New Roman"/>
                <w:color w:val="auto"/>
                <w:kern w:val="2"/>
                <w:highlight w:val="none"/>
              </w:rPr>
            </w:pPr>
          </w:p>
          <w:p w14:paraId="5DBCC5F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4.2审批部门审批意见</w:t>
            </w:r>
          </w:p>
          <w:p w14:paraId="7F262028">
            <w:pPr>
              <w:pStyle w:val="91"/>
              <w:adjustRightInd/>
              <w:snapToGrid/>
              <w:spacing w:line="360" w:lineRule="auto"/>
              <w:rPr>
                <w:color w:val="auto"/>
                <w:kern w:val="2"/>
                <w:highlight w:val="none"/>
              </w:rPr>
            </w:pPr>
            <w:r>
              <w:rPr>
                <w:rFonts w:hint="eastAsia"/>
                <w:color w:val="auto"/>
                <w:kern w:val="2"/>
                <w:highlight w:val="none"/>
                <w:lang w:eastAsia="zh-CN"/>
              </w:rPr>
              <w:t>续建工程</w:t>
            </w:r>
            <w:r>
              <w:rPr>
                <w:rFonts w:hint="eastAsia"/>
                <w:color w:val="auto"/>
                <w:kern w:val="2"/>
                <w:highlight w:val="none"/>
              </w:rPr>
              <w:t>于</w:t>
            </w:r>
            <w:r>
              <w:rPr>
                <w:rFonts w:hint="eastAsia" w:ascii="Times New Roman" w:hAnsi="Times New Roman" w:eastAsia="宋体" w:cs="Times New Roman"/>
                <w:bCs/>
                <w:color w:val="auto"/>
                <w:sz w:val="24"/>
                <w:szCs w:val="24"/>
                <w:highlight w:val="none"/>
              </w:rPr>
              <w:t>20</w:t>
            </w:r>
            <w:r>
              <w:rPr>
                <w:rFonts w:hint="eastAsia" w:ascii="Times New Roman" w:hAnsi="Times New Roman" w:eastAsia="宋体" w:cs="Times New Roman"/>
                <w:bCs/>
                <w:color w:val="auto"/>
                <w:sz w:val="24"/>
                <w:szCs w:val="24"/>
                <w:highlight w:val="none"/>
                <w:lang w:val="en-US" w:eastAsia="zh-CN"/>
              </w:rPr>
              <w:t>2</w:t>
            </w:r>
            <w:r>
              <w:rPr>
                <w:rFonts w:hint="eastAsia" w:cs="Times New Roman"/>
                <w:bCs/>
                <w:color w:val="auto"/>
                <w:sz w:val="24"/>
                <w:szCs w:val="24"/>
                <w:highlight w:val="none"/>
                <w:lang w:val="en-US" w:eastAsia="zh-CN"/>
              </w:rPr>
              <w:t>3</w:t>
            </w:r>
            <w:r>
              <w:rPr>
                <w:rFonts w:hint="eastAsia" w:ascii="Times New Roman" w:hAnsi="Times New Roman" w:eastAsia="宋体" w:cs="Times New Roman"/>
                <w:bCs/>
                <w:color w:val="auto"/>
                <w:sz w:val="24"/>
                <w:szCs w:val="24"/>
                <w:highlight w:val="none"/>
              </w:rPr>
              <w:t>年</w:t>
            </w:r>
            <w:r>
              <w:rPr>
                <w:rFonts w:hint="eastAsia" w:cs="Times New Roman"/>
                <w:bCs/>
                <w:color w:val="auto"/>
                <w:sz w:val="24"/>
                <w:szCs w:val="24"/>
                <w:highlight w:val="none"/>
                <w:lang w:val="en-US" w:eastAsia="zh-CN"/>
              </w:rPr>
              <w:t>9</w:t>
            </w:r>
            <w:r>
              <w:rPr>
                <w:rFonts w:hint="eastAsia" w:ascii="Times New Roman" w:hAnsi="Times New Roman" w:eastAsia="宋体" w:cs="Times New Roman"/>
                <w:bCs/>
                <w:color w:val="auto"/>
                <w:sz w:val="24"/>
                <w:szCs w:val="24"/>
                <w:highlight w:val="none"/>
              </w:rPr>
              <w:t>月</w:t>
            </w:r>
            <w:r>
              <w:rPr>
                <w:rFonts w:hint="eastAsia" w:cs="Times New Roman"/>
                <w:bCs/>
                <w:color w:val="auto"/>
                <w:sz w:val="24"/>
                <w:szCs w:val="24"/>
                <w:highlight w:val="none"/>
                <w:lang w:val="en-US" w:eastAsia="zh-CN"/>
              </w:rPr>
              <w:t>12</w:t>
            </w:r>
            <w:r>
              <w:rPr>
                <w:rFonts w:hint="eastAsia" w:ascii="Times New Roman" w:hAnsi="Times New Roman" w:eastAsia="宋体" w:cs="Times New Roman"/>
                <w:bCs/>
                <w:color w:val="auto"/>
                <w:sz w:val="24"/>
                <w:szCs w:val="24"/>
                <w:highlight w:val="none"/>
              </w:rPr>
              <w:t>日</w:t>
            </w:r>
            <w:r>
              <w:rPr>
                <w:rFonts w:hint="eastAsia"/>
                <w:color w:val="auto"/>
                <w:kern w:val="2"/>
                <w:highlight w:val="none"/>
              </w:rPr>
              <w:t>获得</w:t>
            </w:r>
            <w:r>
              <w:rPr>
                <w:rFonts w:hint="eastAsia" w:eastAsiaTheme="minorEastAsia"/>
                <w:color w:val="auto"/>
                <w:sz w:val="24"/>
                <w:szCs w:val="24"/>
                <w:highlight w:val="none"/>
              </w:rPr>
              <w:t>武汉市</w:t>
            </w:r>
            <w:r>
              <w:rPr>
                <w:rFonts w:hint="eastAsia" w:eastAsiaTheme="minorEastAsia"/>
                <w:color w:val="auto"/>
                <w:sz w:val="24"/>
                <w:szCs w:val="24"/>
                <w:highlight w:val="none"/>
                <w:lang w:eastAsia="zh-CN"/>
              </w:rPr>
              <w:t>生态环境局江夏区分局</w:t>
            </w:r>
            <w:r>
              <w:rPr>
                <w:rFonts w:hint="eastAsia"/>
                <w:color w:val="auto"/>
                <w:kern w:val="2"/>
                <w:highlight w:val="none"/>
              </w:rPr>
              <w:t>的审批意见</w:t>
            </w:r>
            <w:r>
              <w:rPr>
                <w:rFonts w:hint="eastAsia" w:eastAsiaTheme="minorEastAsia"/>
                <w:color w:val="auto"/>
                <w:sz w:val="24"/>
                <w:highlight w:val="none"/>
              </w:rPr>
              <w:t>《关于武汉市江夏长山口生活垃圾卫生填埋场填埋气利用发电项目(续建工程)环境影响报告表的批复》（武环江夏审(2023)63号）</w:t>
            </w:r>
            <w:r>
              <w:rPr>
                <w:rFonts w:hint="eastAsia"/>
                <w:color w:val="auto"/>
                <w:kern w:val="2"/>
                <w:highlight w:val="none"/>
              </w:rPr>
              <w:t>，其内容如下：</w:t>
            </w:r>
          </w:p>
          <w:p w14:paraId="49E5D889">
            <w:pPr>
              <w:pStyle w:val="91"/>
              <w:adjustRightInd/>
              <w:snapToGrid/>
              <w:spacing w:line="360" w:lineRule="auto"/>
              <w:rPr>
                <w:rFonts w:hint="eastAsia"/>
                <w:color w:val="auto"/>
                <w:kern w:val="2"/>
                <w:highlight w:val="none"/>
              </w:rPr>
            </w:pPr>
            <w:r>
              <w:rPr>
                <w:rFonts w:hint="eastAsia"/>
                <w:color w:val="auto"/>
                <w:kern w:val="2"/>
                <w:highlight w:val="none"/>
              </w:rPr>
              <w:t>你单位委托武汉智汇元环保科技有限公司编制的《武汉市江夏长山口生活垃圾填埋场填埋气利用发电项目(续建工程)环境影响报告表》(项目代码:2020-420115-44-03-020636)(以下简称《报告表》)收悉。根据武汉市生态环境局《关于进一步优化环评审批服务助力全市经济“稳增长”有关工作的通知》(武环(2023)21号)，该项目实行告知承诺制，我局对《报告表》不作实质性审查，直接出具审批意见。根据你单位承诺和《报告表》结论，你单位可以按《报告表》所列建设项目性质、规模、地点、以及拟采取的环保措施建设，项目实施相关法律责任由你单位自行承担。</w:t>
            </w:r>
          </w:p>
          <w:p w14:paraId="00456B44">
            <w:pPr>
              <w:pStyle w:val="91"/>
              <w:adjustRightInd/>
              <w:snapToGrid/>
              <w:spacing w:line="360" w:lineRule="auto"/>
              <w:rPr>
                <w:rFonts w:hint="eastAsia"/>
                <w:color w:val="auto"/>
                <w:kern w:val="2"/>
                <w:highlight w:val="none"/>
              </w:rPr>
            </w:pPr>
            <w:r>
              <w:rPr>
                <w:rFonts w:hint="eastAsia"/>
                <w:color w:val="auto"/>
                <w:kern w:val="2"/>
                <w:highlight w:val="none"/>
              </w:rPr>
              <w:t>项目实施过程中应严格执行环保设施与主体工程同时设计同时施工、同时投产使用的环境保护“三同时”制度，将环境保护设施建设纳入施工合同，保证环境保护设施建设进度和资金，全面落实《报告表》提出的各项污染防治措施。项目建成后，你单位应按照《建设项目竣工环境保护验收暂行办法》规定的程序和标准，组织对配套建设的环境保护设施进行验收，编制验收报告，公开相关信息，接受社会监督，同时向辖区生态环境部门报送相关信息并接受监督检查，按程序开展验收并提出验收意见，项目经验收合格后方可正式投入运行。验收报告公示期满后5个工作日内，你单位应当登录全国建设项目竣工环境保护验收信息平台，填报建设项目基本信息、环境保护设施验收情况等相关信息。</w:t>
            </w:r>
          </w:p>
          <w:p w14:paraId="6ECAB52A">
            <w:pPr>
              <w:pStyle w:val="91"/>
              <w:adjustRightInd/>
              <w:snapToGrid/>
              <w:spacing w:line="360" w:lineRule="auto"/>
              <w:rPr>
                <w:rFonts w:hint="eastAsia"/>
                <w:color w:val="auto"/>
                <w:kern w:val="2"/>
                <w:highlight w:val="none"/>
              </w:rPr>
            </w:pPr>
            <w:r>
              <w:rPr>
                <w:rFonts w:hint="eastAsia"/>
                <w:color w:val="auto"/>
                <w:kern w:val="2"/>
                <w:highlight w:val="none"/>
              </w:rPr>
              <w:t>项目建设及运营期间的环境监督检查工作由武汉市生态环境保护综合执法支队九大队负责。</w:t>
            </w:r>
          </w:p>
          <w:p w14:paraId="4A473782">
            <w:pPr>
              <w:pStyle w:val="91"/>
              <w:adjustRightInd/>
              <w:snapToGrid/>
              <w:spacing w:line="360" w:lineRule="auto"/>
              <w:rPr>
                <w:rFonts w:hint="eastAsia"/>
                <w:color w:val="auto"/>
                <w:kern w:val="2"/>
                <w:highlight w:val="none"/>
              </w:rPr>
            </w:pPr>
            <w:r>
              <w:rPr>
                <w:rFonts w:hint="eastAsia"/>
                <w:color w:val="auto"/>
                <w:kern w:val="2"/>
                <w:highlight w:val="none"/>
              </w:rPr>
              <w:t>若本批复自生效之日起5年后项目方开工建设，其环境影响评价文件应报经我局重新审核</w:t>
            </w:r>
            <w:r>
              <w:rPr>
                <w:rFonts w:hint="eastAsia"/>
                <w:color w:val="auto"/>
                <w:kern w:val="2"/>
                <w:highlight w:val="none"/>
                <w:lang w:eastAsia="zh-CN"/>
              </w:rPr>
              <w:t>；</w:t>
            </w:r>
            <w:r>
              <w:rPr>
                <w:rFonts w:hint="eastAsia"/>
                <w:color w:val="auto"/>
                <w:kern w:val="2"/>
                <w:highlight w:val="none"/>
              </w:rPr>
              <w:t>如项目性质、规模、地点、生产工艺或者环境保护措施发生重大变动，应重新报批环境影响评价文件。</w:t>
            </w:r>
          </w:p>
          <w:p w14:paraId="1C2171F0">
            <w:pPr>
              <w:pStyle w:val="91"/>
              <w:adjustRightInd/>
              <w:snapToGrid/>
              <w:spacing w:line="360" w:lineRule="auto"/>
              <w:ind w:firstLine="0" w:firstLineChars="0"/>
              <w:rPr>
                <w:color w:val="auto"/>
                <w:kern w:val="2"/>
                <w:highlight w:val="none"/>
              </w:rPr>
            </w:pPr>
          </w:p>
        </w:tc>
      </w:tr>
    </w:tbl>
    <w:p w14:paraId="371C5517">
      <w:pPr>
        <w:pStyle w:val="4"/>
        <w:adjustRightInd/>
        <w:snapToGrid/>
        <w:rPr>
          <w:color w:val="auto"/>
          <w:highlight w:val="none"/>
        </w:rPr>
      </w:pPr>
      <w:bookmarkStart w:id="5" w:name="_Toc15513"/>
      <w:r>
        <w:rPr>
          <w:rFonts w:hint="eastAsia"/>
          <w:color w:val="auto"/>
          <w:highlight w:val="none"/>
        </w:rPr>
        <w:t>表五验收监测质量保证及质量控制</w:t>
      </w:r>
      <w:bookmarkEnd w:id="5"/>
    </w:p>
    <w:tbl>
      <w:tblPr>
        <w:tblStyle w:val="29"/>
        <w:tblW w:w="9286" w:type="dxa"/>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9286"/>
      </w:tblGrid>
      <w:tr w14:paraId="1130E41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167" w:hRule="atLeast"/>
        </w:trPr>
        <w:tc>
          <w:tcPr>
            <w:tcW w:w="9286" w:type="dxa"/>
            <w:shd w:val="clear" w:color="auto" w:fill="auto"/>
          </w:tcPr>
          <w:p w14:paraId="344370B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5.1监测分析方法及仪器设备</w:t>
            </w:r>
          </w:p>
          <w:p w14:paraId="6CF0E162">
            <w:pPr>
              <w:adjustRightInd/>
              <w:snapToGrid/>
              <w:spacing w:line="360" w:lineRule="auto"/>
              <w:ind w:firstLine="480" w:firstLineChars="200"/>
              <w:rPr>
                <w:color w:val="auto"/>
                <w:sz w:val="24"/>
                <w:highlight w:val="none"/>
              </w:rPr>
            </w:pPr>
            <w:r>
              <w:rPr>
                <w:rFonts w:hint="eastAsia"/>
                <w:color w:val="auto"/>
                <w:sz w:val="24"/>
                <w:highlight w:val="none"/>
                <w:lang w:eastAsia="zh-CN"/>
              </w:rPr>
              <w:t>验收期间，</w:t>
            </w:r>
            <w:r>
              <w:rPr>
                <w:color w:val="auto"/>
                <w:sz w:val="24"/>
                <w:highlight w:val="none"/>
              </w:rPr>
              <w:t>验收监测分析方法见</w:t>
            </w:r>
            <w:r>
              <w:rPr>
                <w:rFonts w:hint="eastAsia"/>
                <w:color w:val="auto"/>
                <w:sz w:val="24"/>
                <w:highlight w:val="none"/>
              </w:rPr>
              <w:t>下</w:t>
            </w:r>
            <w:r>
              <w:rPr>
                <w:color w:val="auto"/>
                <w:sz w:val="24"/>
                <w:highlight w:val="none"/>
              </w:rPr>
              <w:t>表</w:t>
            </w:r>
            <w:r>
              <w:rPr>
                <w:rFonts w:hint="eastAsia"/>
                <w:color w:val="auto"/>
                <w:sz w:val="24"/>
                <w:highlight w:val="none"/>
              </w:rPr>
              <w:t>。</w:t>
            </w:r>
          </w:p>
          <w:p w14:paraId="38B1403C">
            <w:pPr>
              <w:pStyle w:val="121"/>
              <w:adjustRightInd/>
              <w:snapToGrid/>
              <w:rPr>
                <w:color w:val="auto"/>
                <w:sz w:val="21"/>
                <w:highlight w:val="none"/>
              </w:rPr>
            </w:pPr>
            <w:r>
              <w:rPr>
                <w:rFonts w:hint="eastAsia"/>
                <w:color w:val="auto"/>
                <w:sz w:val="21"/>
                <w:highlight w:val="none"/>
              </w:rPr>
              <w:t>监测分析方法一览表</w:t>
            </w:r>
          </w:p>
          <w:tbl>
            <w:tblPr>
              <w:tblStyle w:val="29"/>
              <w:tblW w:w="498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829"/>
              <w:gridCol w:w="1162"/>
              <w:gridCol w:w="2836"/>
              <w:gridCol w:w="3115"/>
              <w:gridCol w:w="1103"/>
            </w:tblGrid>
            <w:tr w14:paraId="6A4E8D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tblHeader/>
                <w:jc w:val="center"/>
              </w:trPr>
              <w:tc>
                <w:tcPr>
                  <w:tcW w:w="458" w:type="pct"/>
                  <w:tcBorders>
                    <w:bottom w:val="single" w:color="auto" w:sz="12" w:space="0"/>
                  </w:tcBorders>
                  <w:tcMar>
                    <w:left w:w="45" w:type="dxa"/>
                    <w:right w:w="45" w:type="dxa"/>
                  </w:tcMar>
                  <w:vAlign w:val="center"/>
                </w:tcPr>
                <w:p w14:paraId="7CC27E27">
                  <w:pPr>
                    <w:pStyle w:val="129"/>
                    <w:jc w:val="center"/>
                    <w:rPr>
                      <w:rFonts w:hint="eastAsia" w:eastAsia="宋体"/>
                      <w:b/>
                      <w:bCs/>
                      <w:color w:val="auto"/>
                      <w:highlight w:val="none"/>
                    </w:rPr>
                  </w:pPr>
                  <w:r>
                    <w:rPr>
                      <w:rFonts w:hint="eastAsia" w:eastAsia="宋体"/>
                      <w:b/>
                      <w:bCs/>
                      <w:color w:val="auto"/>
                      <w:highlight w:val="none"/>
                    </w:rPr>
                    <w:t>检测类别</w:t>
                  </w:r>
                </w:p>
              </w:tc>
              <w:tc>
                <w:tcPr>
                  <w:tcW w:w="642" w:type="pct"/>
                  <w:tcBorders>
                    <w:bottom w:val="single" w:color="auto" w:sz="12" w:space="0"/>
                  </w:tcBorders>
                  <w:vAlign w:val="center"/>
                </w:tcPr>
                <w:p w14:paraId="600A2D8D">
                  <w:pPr>
                    <w:pStyle w:val="129"/>
                    <w:jc w:val="center"/>
                    <w:rPr>
                      <w:rFonts w:hint="eastAsia" w:eastAsia="宋体"/>
                      <w:b/>
                      <w:bCs/>
                      <w:color w:val="auto"/>
                      <w:highlight w:val="none"/>
                    </w:rPr>
                  </w:pPr>
                  <w:r>
                    <w:rPr>
                      <w:rFonts w:hint="eastAsia" w:eastAsia="宋体"/>
                      <w:b/>
                      <w:bCs/>
                      <w:color w:val="auto"/>
                      <w:highlight w:val="none"/>
                    </w:rPr>
                    <w:t>检测项目</w:t>
                  </w:r>
                </w:p>
              </w:tc>
              <w:tc>
                <w:tcPr>
                  <w:tcW w:w="1567" w:type="pct"/>
                  <w:tcBorders>
                    <w:bottom w:val="single" w:color="auto" w:sz="12" w:space="0"/>
                  </w:tcBorders>
                  <w:tcMar>
                    <w:top w:w="0" w:type="dxa"/>
                    <w:left w:w="23" w:type="dxa"/>
                    <w:bottom w:w="0" w:type="dxa"/>
                    <w:right w:w="23" w:type="dxa"/>
                  </w:tcMar>
                  <w:vAlign w:val="center"/>
                </w:tcPr>
                <w:p w14:paraId="570CEEB0">
                  <w:pPr>
                    <w:pStyle w:val="129"/>
                    <w:jc w:val="center"/>
                    <w:rPr>
                      <w:rFonts w:hint="eastAsia" w:eastAsia="宋体"/>
                      <w:b/>
                      <w:bCs/>
                      <w:color w:val="auto"/>
                      <w:highlight w:val="none"/>
                    </w:rPr>
                  </w:pPr>
                  <w:r>
                    <w:rPr>
                      <w:rFonts w:hint="eastAsia" w:eastAsia="宋体"/>
                      <w:b/>
                      <w:bCs/>
                      <w:color w:val="auto"/>
                      <w:highlight w:val="none"/>
                    </w:rPr>
                    <w:t>检测方法及依据</w:t>
                  </w:r>
                </w:p>
              </w:tc>
              <w:tc>
                <w:tcPr>
                  <w:tcW w:w="1721" w:type="pct"/>
                  <w:tcBorders>
                    <w:bottom w:val="single" w:color="auto" w:sz="12" w:space="0"/>
                  </w:tcBorders>
                  <w:tcMar>
                    <w:left w:w="45" w:type="dxa"/>
                    <w:right w:w="45" w:type="dxa"/>
                  </w:tcMar>
                  <w:vAlign w:val="center"/>
                </w:tcPr>
                <w:p w14:paraId="4D2EA9B5">
                  <w:pPr>
                    <w:pStyle w:val="129"/>
                    <w:jc w:val="center"/>
                    <w:rPr>
                      <w:rFonts w:hint="eastAsia" w:eastAsia="宋体"/>
                      <w:b/>
                      <w:bCs/>
                      <w:color w:val="auto"/>
                      <w:highlight w:val="none"/>
                    </w:rPr>
                  </w:pPr>
                  <w:r>
                    <w:rPr>
                      <w:rFonts w:hint="eastAsia" w:eastAsia="宋体"/>
                      <w:b/>
                      <w:bCs/>
                      <w:color w:val="auto"/>
                      <w:highlight w:val="none"/>
                    </w:rPr>
                    <w:t>分析仪器设备型号、编号</w:t>
                  </w:r>
                </w:p>
              </w:tc>
              <w:tc>
                <w:tcPr>
                  <w:tcW w:w="609" w:type="pct"/>
                  <w:tcBorders>
                    <w:bottom w:val="single" w:color="auto" w:sz="12" w:space="0"/>
                  </w:tcBorders>
                  <w:vAlign w:val="center"/>
                </w:tcPr>
                <w:p w14:paraId="0705CC57">
                  <w:pPr>
                    <w:pStyle w:val="129"/>
                    <w:jc w:val="center"/>
                    <w:rPr>
                      <w:rFonts w:hint="eastAsia" w:eastAsia="宋体"/>
                      <w:b/>
                      <w:bCs/>
                      <w:color w:val="auto"/>
                      <w:highlight w:val="none"/>
                    </w:rPr>
                  </w:pPr>
                  <w:r>
                    <w:rPr>
                      <w:rFonts w:hint="eastAsia" w:eastAsia="宋体"/>
                      <w:b/>
                      <w:bCs/>
                      <w:color w:val="auto"/>
                      <w:highlight w:val="none"/>
                    </w:rPr>
                    <w:t>检出限</w:t>
                  </w:r>
                </w:p>
              </w:tc>
            </w:tr>
            <w:tr w14:paraId="09A133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restart"/>
                  <w:tcBorders>
                    <w:top w:val="single" w:color="auto" w:sz="12" w:space="0"/>
                    <w:tl2br w:val="nil"/>
                    <w:tr2bl w:val="nil"/>
                  </w:tcBorders>
                  <w:vAlign w:val="center"/>
                </w:tcPr>
                <w:p w14:paraId="5D777E89">
                  <w:pPr>
                    <w:pStyle w:val="129"/>
                    <w:jc w:val="center"/>
                    <w:rPr>
                      <w:rFonts w:hint="eastAsia" w:eastAsia="宋体"/>
                      <w:color w:val="auto"/>
                      <w:highlight w:val="none"/>
                    </w:rPr>
                  </w:pPr>
                  <w:r>
                    <w:rPr>
                      <w:rFonts w:hint="eastAsia" w:eastAsia="宋体"/>
                      <w:color w:val="auto"/>
                      <w:highlight w:val="none"/>
                    </w:rPr>
                    <w:t>废水</w:t>
                  </w:r>
                </w:p>
              </w:tc>
              <w:tc>
                <w:tcPr>
                  <w:tcW w:w="642" w:type="pct"/>
                  <w:tcBorders>
                    <w:top w:val="single" w:color="auto" w:sz="12" w:space="0"/>
                    <w:tl2br w:val="nil"/>
                    <w:tr2bl w:val="nil"/>
                  </w:tcBorders>
                  <w:shd w:val="clear" w:color="auto" w:fill="auto"/>
                  <w:vAlign w:val="center"/>
                </w:tcPr>
                <w:p w14:paraId="6DA7ADBC">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p</w:t>
                  </w:r>
                  <w:r>
                    <w:rPr>
                      <w:rFonts w:hint="default" w:ascii="Times New Roman" w:hAnsi="Times New Roman" w:eastAsia="宋体" w:cs="Times New Roman"/>
                      <w:sz w:val="18"/>
                      <w:szCs w:val="18"/>
                    </w:rPr>
                    <w:t>H</w:t>
                  </w:r>
                  <w:r>
                    <w:rPr>
                      <w:rFonts w:hint="eastAsia" w:ascii="Times New Roman" w:hAnsi="Times New Roman" w:eastAsia="宋体" w:cs="Times New Roman"/>
                      <w:sz w:val="18"/>
                      <w:szCs w:val="18"/>
                    </w:rPr>
                    <w:t>（无量纲）</w:t>
                  </w:r>
                </w:p>
              </w:tc>
              <w:tc>
                <w:tcPr>
                  <w:tcW w:w="1567" w:type="pct"/>
                  <w:tcBorders>
                    <w:top w:val="single" w:color="auto" w:sz="12" w:space="0"/>
                    <w:tl2br w:val="nil"/>
                    <w:tr2bl w:val="nil"/>
                  </w:tcBorders>
                  <w:shd w:val="clear" w:color="auto" w:fill="auto"/>
                  <w:tcMar>
                    <w:top w:w="0" w:type="dxa"/>
                    <w:left w:w="0" w:type="dxa"/>
                    <w:bottom w:w="0" w:type="dxa"/>
                    <w:right w:w="0" w:type="dxa"/>
                  </w:tcMar>
                  <w:vAlign w:val="center"/>
                </w:tcPr>
                <w:p w14:paraId="0A6D90B7">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《水质pH值的测定电极法》（</w:t>
                  </w:r>
                  <w:r>
                    <w:rPr>
                      <w:rFonts w:hint="default" w:ascii="Times New Roman" w:hAnsi="Times New Roman" w:eastAsia="宋体" w:cs="Times New Roman"/>
                      <w:sz w:val="18"/>
                      <w:szCs w:val="18"/>
                    </w:rPr>
                    <w:t>HJ1147-2020</w:t>
                  </w:r>
                  <w:r>
                    <w:rPr>
                      <w:rFonts w:hint="eastAsia" w:ascii="Times New Roman" w:hAnsi="Times New Roman" w:eastAsia="宋体" w:cs="Times New Roman"/>
                      <w:sz w:val="18"/>
                      <w:szCs w:val="18"/>
                    </w:rPr>
                    <w:t>）</w:t>
                  </w:r>
                </w:p>
              </w:tc>
              <w:tc>
                <w:tcPr>
                  <w:tcW w:w="1721" w:type="pct"/>
                  <w:tcBorders>
                    <w:top w:val="single" w:color="auto" w:sz="12" w:space="0"/>
                    <w:tl2br w:val="nil"/>
                    <w:tr2bl w:val="nil"/>
                  </w:tcBorders>
                  <w:shd w:val="clear" w:color="auto" w:fill="auto"/>
                  <w:vAlign w:val="center"/>
                </w:tcPr>
                <w:p w14:paraId="25D53B64">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rPr>
                  </w:pPr>
                  <w:r>
                    <w:rPr>
                      <w:rFonts w:hint="eastAsia" w:ascii="Times New Roman" w:hAnsi="Times New Roman" w:eastAsia="宋体" w:cs="Times New Roman"/>
                      <w:sz w:val="18"/>
                      <w:szCs w:val="18"/>
                    </w:rPr>
                    <w:t>C-600便携式七合一测定仪</w:t>
                  </w:r>
                </w:p>
                <w:p w14:paraId="100CA16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w:t>
                  </w:r>
                  <w:r>
                    <w:rPr>
                      <w:rFonts w:hint="default" w:ascii="Times New Roman" w:hAnsi="Times New Roman" w:eastAsia="宋体" w:cs="Times New Roman"/>
                      <w:sz w:val="18"/>
                      <w:szCs w:val="18"/>
                    </w:rPr>
                    <w:t>YHJC-CY-0</w:t>
                  </w:r>
                  <w:r>
                    <w:rPr>
                      <w:rFonts w:hint="eastAsia" w:ascii="Times New Roman" w:hAnsi="Times New Roman" w:eastAsia="宋体" w:cs="Times New Roman"/>
                      <w:sz w:val="18"/>
                      <w:szCs w:val="18"/>
                      <w:lang w:val="en-US" w:eastAsia="zh-CN"/>
                    </w:rPr>
                    <w:t>50</w:t>
                  </w:r>
                  <w:r>
                    <w:rPr>
                      <w:rFonts w:hint="default" w:ascii="Times New Roman" w:hAnsi="Times New Roman" w:eastAsia="宋体" w:cs="Times New Roman"/>
                      <w:sz w:val="18"/>
                      <w:szCs w:val="18"/>
                    </w:rPr>
                    <w:t>-0</w:t>
                  </w:r>
                  <w:r>
                    <w:rPr>
                      <w:rFonts w:hint="eastAsia" w:ascii="Times New Roman" w:hAnsi="Times New Roman" w:eastAsia="宋体" w:cs="Times New Roman"/>
                      <w:sz w:val="18"/>
                      <w:szCs w:val="18"/>
                      <w:lang w:val="en-US" w:eastAsia="zh-CN"/>
                    </w:rPr>
                    <w:t>6</w:t>
                  </w:r>
                  <w:r>
                    <w:rPr>
                      <w:rFonts w:hint="eastAsia" w:ascii="Times New Roman" w:hAnsi="Times New Roman" w:eastAsia="宋体" w:cs="Times New Roman"/>
                      <w:sz w:val="18"/>
                      <w:szCs w:val="18"/>
                    </w:rPr>
                    <w:t>）</w:t>
                  </w:r>
                </w:p>
              </w:tc>
              <w:tc>
                <w:tcPr>
                  <w:tcW w:w="609" w:type="pct"/>
                  <w:tcBorders>
                    <w:top w:val="single" w:color="auto" w:sz="12" w:space="0"/>
                    <w:tl2br w:val="nil"/>
                    <w:tr2bl w:val="nil"/>
                  </w:tcBorders>
                  <w:shd w:val="clear" w:color="auto" w:fill="auto"/>
                  <w:tcMar>
                    <w:top w:w="0" w:type="dxa"/>
                    <w:left w:w="57" w:type="dxa"/>
                    <w:bottom w:w="0" w:type="dxa"/>
                    <w:right w:w="57" w:type="dxa"/>
                  </w:tcMar>
                  <w:vAlign w:val="center"/>
                </w:tcPr>
                <w:p w14:paraId="50191068">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w:t>
                  </w:r>
                </w:p>
              </w:tc>
            </w:tr>
            <w:tr w14:paraId="3FC032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605AB2F5">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2F978DD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动植物油</w:t>
                  </w:r>
                  <w:r>
                    <w:rPr>
                      <w:rFonts w:hint="default" w:ascii="Times New Roman" w:hAnsi="Times New Roman" w:eastAsia="宋体" w:cs="Times New Roman"/>
                      <w:sz w:val="18"/>
                      <w:szCs w:val="18"/>
                    </w:rPr>
                    <w:t>（mg/L）</w:t>
                  </w:r>
                </w:p>
              </w:tc>
              <w:tc>
                <w:tcPr>
                  <w:tcW w:w="1567" w:type="pct"/>
                  <w:tcBorders>
                    <w:tl2br w:val="nil"/>
                    <w:tr2bl w:val="nil"/>
                  </w:tcBorders>
                  <w:shd w:val="clear" w:color="auto" w:fill="auto"/>
                  <w:tcMar>
                    <w:top w:w="0" w:type="dxa"/>
                    <w:left w:w="0" w:type="dxa"/>
                    <w:bottom w:w="0" w:type="dxa"/>
                    <w:right w:w="0" w:type="dxa"/>
                  </w:tcMar>
                  <w:vAlign w:val="center"/>
                </w:tcPr>
                <w:p w14:paraId="1EE5E891">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《水质石油类和动植物油类的测定红外分光光度法》（H</w:t>
                  </w:r>
                  <w:r>
                    <w:rPr>
                      <w:rFonts w:hint="default" w:ascii="Times New Roman" w:hAnsi="Times New Roman" w:eastAsia="宋体" w:cs="Times New Roman"/>
                      <w:sz w:val="18"/>
                      <w:szCs w:val="18"/>
                    </w:rPr>
                    <w:t>J637-2018</w:t>
                  </w:r>
                  <w:r>
                    <w:rPr>
                      <w:rFonts w:hint="eastAsia" w:ascii="Times New Roman" w:hAnsi="Times New Roman" w:eastAsia="宋体" w:cs="Times New Roman"/>
                      <w:sz w:val="18"/>
                      <w:szCs w:val="18"/>
                    </w:rPr>
                    <w:t>）</w:t>
                  </w:r>
                </w:p>
              </w:tc>
              <w:tc>
                <w:tcPr>
                  <w:tcW w:w="1721" w:type="pct"/>
                  <w:tcBorders>
                    <w:tl2br w:val="nil"/>
                    <w:tr2bl w:val="nil"/>
                  </w:tcBorders>
                  <w:shd w:val="clear" w:color="auto" w:fill="auto"/>
                  <w:vAlign w:val="center"/>
                </w:tcPr>
                <w:p w14:paraId="4537BA6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E</w:t>
                  </w:r>
                  <w:r>
                    <w:rPr>
                      <w:rFonts w:hint="default" w:ascii="Times New Roman" w:hAnsi="Times New Roman" w:eastAsia="宋体" w:cs="Times New Roman"/>
                      <w:sz w:val="18"/>
                      <w:szCs w:val="18"/>
                    </w:rPr>
                    <w:t>P600</w:t>
                  </w:r>
                  <w:r>
                    <w:rPr>
                      <w:rFonts w:hint="eastAsia" w:ascii="Times New Roman" w:hAnsi="Times New Roman" w:eastAsia="宋体" w:cs="Times New Roman"/>
                      <w:sz w:val="18"/>
                      <w:szCs w:val="18"/>
                    </w:rPr>
                    <w:t>红外测油仪（Y</w:t>
                  </w:r>
                  <w:r>
                    <w:rPr>
                      <w:rFonts w:hint="default" w:ascii="Times New Roman" w:hAnsi="Times New Roman" w:eastAsia="宋体" w:cs="Times New Roman"/>
                      <w:sz w:val="18"/>
                      <w:szCs w:val="18"/>
                    </w:rPr>
                    <w:t>HJC-JC-025-01</w:t>
                  </w:r>
                  <w:r>
                    <w:rPr>
                      <w:rFonts w:hint="eastAsia"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1C4DBD21">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0.06</w:t>
                  </w:r>
                </w:p>
              </w:tc>
            </w:tr>
            <w:tr w14:paraId="4462B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610BF084">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7D1B8E0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氨氮（mg/L）</w:t>
                  </w:r>
                </w:p>
              </w:tc>
              <w:tc>
                <w:tcPr>
                  <w:tcW w:w="1567" w:type="pct"/>
                  <w:tcBorders>
                    <w:tl2br w:val="nil"/>
                    <w:tr2bl w:val="nil"/>
                  </w:tcBorders>
                  <w:shd w:val="clear" w:color="auto" w:fill="auto"/>
                  <w:tcMar>
                    <w:top w:w="0" w:type="dxa"/>
                    <w:left w:w="0" w:type="dxa"/>
                    <w:bottom w:w="0" w:type="dxa"/>
                    <w:right w:w="0" w:type="dxa"/>
                  </w:tcMar>
                  <w:vAlign w:val="center"/>
                </w:tcPr>
                <w:p w14:paraId="36ECF963">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《水质氨氮的测定纳氏试剂分光光度法》</w:t>
                  </w:r>
                  <w:r>
                    <w:rPr>
                      <w:rFonts w:hint="default" w:ascii="Times New Roman" w:hAnsi="Times New Roman" w:eastAsia="宋体" w:cs="Times New Roman"/>
                      <w:sz w:val="18"/>
                      <w:szCs w:val="18"/>
                    </w:rPr>
                    <w:t>（HJ535-2009）</w:t>
                  </w:r>
                </w:p>
              </w:tc>
              <w:tc>
                <w:tcPr>
                  <w:tcW w:w="1721" w:type="pct"/>
                  <w:tcBorders>
                    <w:tl2br w:val="nil"/>
                    <w:tr2bl w:val="nil"/>
                  </w:tcBorders>
                  <w:shd w:val="clear" w:color="auto" w:fill="auto"/>
                  <w:vAlign w:val="center"/>
                </w:tcPr>
                <w:p w14:paraId="1FC37BDD">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721</w:t>
                  </w:r>
                  <w:r>
                    <w:rPr>
                      <w:rFonts w:hint="eastAsia" w:ascii="Times New Roman" w:hAnsi="Times New Roman" w:eastAsia="宋体" w:cs="Times New Roman"/>
                      <w:sz w:val="18"/>
                      <w:szCs w:val="18"/>
                    </w:rPr>
                    <w:t>可见分光光度计</w:t>
                  </w:r>
                  <w:r>
                    <w:rPr>
                      <w:rFonts w:hint="default" w:ascii="Times New Roman" w:hAnsi="Times New Roman" w:eastAsia="宋体" w:cs="Times New Roman"/>
                      <w:sz w:val="18"/>
                      <w:szCs w:val="18"/>
                    </w:rPr>
                    <w:t>（YHJC-JC-012-0</w:t>
                  </w:r>
                  <w:r>
                    <w:rPr>
                      <w:rFonts w:hint="eastAsia" w:ascii="Times New Roman" w:hAnsi="Times New Roman" w:eastAsia="宋体" w:cs="Times New Roman"/>
                      <w:sz w:val="18"/>
                      <w:szCs w:val="18"/>
                      <w:lang w:val="en-US" w:eastAsia="zh-CN"/>
                    </w:rPr>
                    <w:t>4</w:t>
                  </w:r>
                  <w:r>
                    <w:rPr>
                      <w:rFonts w:hint="default"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4F2889C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0.025</w:t>
                  </w:r>
                </w:p>
              </w:tc>
            </w:tr>
            <w:tr w14:paraId="2CB77B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7BE0C511">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36EAA261">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悬浮物（mg/L）</w:t>
                  </w:r>
                </w:p>
              </w:tc>
              <w:tc>
                <w:tcPr>
                  <w:tcW w:w="1567" w:type="pct"/>
                  <w:tcBorders>
                    <w:tl2br w:val="nil"/>
                    <w:tr2bl w:val="nil"/>
                  </w:tcBorders>
                  <w:shd w:val="clear" w:color="auto" w:fill="auto"/>
                  <w:tcMar>
                    <w:top w:w="0" w:type="dxa"/>
                    <w:left w:w="0" w:type="dxa"/>
                    <w:bottom w:w="0" w:type="dxa"/>
                    <w:right w:w="0" w:type="dxa"/>
                  </w:tcMar>
                  <w:vAlign w:val="center"/>
                </w:tcPr>
                <w:p w14:paraId="1651B3D1">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《水质悬浮物的测定重量法》（</w:t>
                  </w:r>
                  <w:r>
                    <w:rPr>
                      <w:rFonts w:hint="default" w:ascii="Times New Roman" w:hAnsi="Times New Roman" w:eastAsia="宋体" w:cs="Times New Roman"/>
                      <w:sz w:val="18"/>
                      <w:szCs w:val="18"/>
                    </w:rPr>
                    <w:t>GB11901-1989</w:t>
                  </w:r>
                  <w:r>
                    <w:rPr>
                      <w:rFonts w:hint="eastAsia" w:ascii="Times New Roman" w:hAnsi="Times New Roman" w:eastAsia="宋体" w:cs="Times New Roman"/>
                      <w:sz w:val="18"/>
                      <w:szCs w:val="18"/>
                    </w:rPr>
                    <w:t>）</w:t>
                  </w:r>
                </w:p>
              </w:tc>
              <w:tc>
                <w:tcPr>
                  <w:tcW w:w="1721" w:type="pct"/>
                  <w:tcBorders>
                    <w:tl2br w:val="nil"/>
                    <w:tr2bl w:val="nil"/>
                  </w:tcBorders>
                  <w:shd w:val="clear" w:color="auto" w:fill="auto"/>
                  <w:vAlign w:val="center"/>
                </w:tcPr>
                <w:p w14:paraId="7AAFF428">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GL124-1SCN</w:t>
                  </w:r>
                  <w:r>
                    <w:rPr>
                      <w:rFonts w:hint="eastAsia" w:ascii="Times New Roman" w:hAnsi="Times New Roman" w:eastAsia="宋体" w:cs="Times New Roman"/>
                      <w:sz w:val="18"/>
                      <w:szCs w:val="18"/>
                    </w:rPr>
                    <w:t>电子天平（万分之一）（</w:t>
                  </w:r>
                  <w:r>
                    <w:rPr>
                      <w:rFonts w:hint="default" w:ascii="Times New Roman" w:hAnsi="Times New Roman" w:eastAsia="宋体" w:cs="Times New Roman"/>
                      <w:sz w:val="18"/>
                      <w:szCs w:val="18"/>
                    </w:rPr>
                    <w:t>YHJC-JC-004-01</w:t>
                  </w:r>
                  <w:r>
                    <w:rPr>
                      <w:rFonts w:hint="eastAsia"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5D150AC4">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4</w:t>
                  </w:r>
                </w:p>
              </w:tc>
            </w:tr>
            <w:tr w14:paraId="5329D5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143EF4EA">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23721FA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五日生化需氧量（mg/L）</w:t>
                  </w:r>
                </w:p>
              </w:tc>
              <w:tc>
                <w:tcPr>
                  <w:tcW w:w="1567" w:type="pct"/>
                  <w:tcBorders>
                    <w:tl2br w:val="nil"/>
                    <w:tr2bl w:val="nil"/>
                  </w:tcBorders>
                  <w:shd w:val="clear" w:color="auto" w:fill="auto"/>
                  <w:tcMar>
                    <w:top w:w="0" w:type="dxa"/>
                    <w:left w:w="0" w:type="dxa"/>
                    <w:bottom w:w="0" w:type="dxa"/>
                    <w:right w:w="0" w:type="dxa"/>
                  </w:tcMar>
                  <w:vAlign w:val="center"/>
                </w:tcPr>
                <w:p w14:paraId="062CD98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《水质五日生化需氧量（BOD5）的测定稀释与接种法》</w:t>
                  </w:r>
                  <w:r>
                    <w:rPr>
                      <w:rFonts w:hint="default" w:ascii="Times New Roman" w:hAnsi="Times New Roman" w:eastAsia="宋体" w:cs="Times New Roman"/>
                      <w:sz w:val="18"/>
                      <w:szCs w:val="18"/>
                    </w:rPr>
                    <w:t>（HJ505-2009）</w:t>
                  </w:r>
                </w:p>
              </w:tc>
              <w:tc>
                <w:tcPr>
                  <w:tcW w:w="1721" w:type="pct"/>
                  <w:tcBorders>
                    <w:tl2br w:val="nil"/>
                    <w:tr2bl w:val="nil"/>
                  </w:tcBorders>
                  <w:shd w:val="clear" w:color="auto" w:fill="auto"/>
                  <w:vAlign w:val="center"/>
                </w:tcPr>
                <w:p w14:paraId="00092BD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HI9147溶解氧仪（YHJC-JC-010-0</w:t>
                  </w:r>
                  <w:r>
                    <w:rPr>
                      <w:rFonts w:hint="eastAsia" w:ascii="Times New Roman" w:hAnsi="Times New Roman" w:eastAsia="宋体" w:cs="Times New Roman"/>
                      <w:sz w:val="18"/>
                      <w:szCs w:val="18"/>
                      <w:lang w:val="en-US" w:eastAsia="zh-CN"/>
                    </w:rPr>
                    <w:t>2</w:t>
                  </w:r>
                  <w:r>
                    <w:rPr>
                      <w:rFonts w:hint="default" w:ascii="Times New Roman" w:hAnsi="Times New Roman" w:eastAsia="宋体" w:cs="Times New Roman"/>
                      <w:sz w:val="18"/>
                      <w:szCs w:val="18"/>
                    </w:rPr>
                    <w:t>）</w:t>
                  </w:r>
                </w:p>
                <w:p w14:paraId="26821BB0">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SPX-250</w:t>
                  </w:r>
                  <w:r>
                    <w:rPr>
                      <w:rFonts w:hint="eastAsia" w:ascii="Times New Roman" w:hAnsi="Times New Roman" w:eastAsia="宋体" w:cs="Times New Roman"/>
                      <w:sz w:val="18"/>
                      <w:szCs w:val="18"/>
                    </w:rPr>
                    <w:t>生化培养箱（YHJC-JC-023-0</w:t>
                  </w:r>
                  <w:r>
                    <w:rPr>
                      <w:rFonts w:hint="eastAsia" w:ascii="Times New Roman" w:hAnsi="Times New Roman" w:eastAsia="宋体" w:cs="Times New Roman"/>
                      <w:sz w:val="18"/>
                      <w:szCs w:val="18"/>
                      <w:lang w:val="en-US" w:eastAsia="zh-CN"/>
                    </w:rPr>
                    <w:t>2</w:t>
                  </w:r>
                  <w:r>
                    <w:rPr>
                      <w:rFonts w:hint="default"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33D4341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0.5</w:t>
                  </w:r>
                </w:p>
              </w:tc>
            </w:tr>
            <w:tr w14:paraId="7B05CC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46376641">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7E5FA2A7">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化学需氧量（mg/L）</w:t>
                  </w:r>
                </w:p>
              </w:tc>
              <w:tc>
                <w:tcPr>
                  <w:tcW w:w="1567" w:type="pct"/>
                  <w:tcBorders>
                    <w:tl2br w:val="nil"/>
                    <w:tr2bl w:val="nil"/>
                  </w:tcBorders>
                  <w:shd w:val="clear" w:color="auto" w:fill="auto"/>
                  <w:tcMar>
                    <w:top w:w="0" w:type="dxa"/>
                    <w:left w:w="0" w:type="dxa"/>
                    <w:bottom w:w="0" w:type="dxa"/>
                    <w:right w:w="0" w:type="dxa"/>
                  </w:tcMar>
                  <w:vAlign w:val="center"/>
                </w:tcPr>
                <w:p w14:paraId="21A62F0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《水质化学需氧量的测定重铬酸盐法》</w:t>
                  </w:r>
                  <w:r>
                    <w:rPr>
                      <w:rFonts w:hint="default" w:ascii="Times New Roman" w:hAnsi="Times New Roman" w:eastAsia="宋体" w:cs="Times New Roman"/>
                      <w:sz w:val="18"/>
                      <w:szCs w:val="18"/>
                    </w:rPr>
                    <w:t>（HJ828-2017）</w:t>
                  </w:r>
                </w:p>
              </w:tc>
              <w:tc>
                <w:tcPr>
                  <w:tcW w:w="1721" w:type="pct"/>
                  <w:tcBorders>
                    <w:tl2br w:val="nil"/>
                    <w:tr2bl w:val="nil"/>
                  </w:tcBorders>
                  <w:shd w:val="clear" w:color="auto" w:fill="auto"/>
                  <w:vAlign w:val="center"/>
                </w:tcPr>
                <w:p w14:paraId="0C7F04C5">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SN-101A-12COD消解回流仪（YHJC-JC-030-03</w:t>
                  </w:r>
                  <w:r>
                    <w:rPr>
                      <w:rFonts w:hint="eastAsia" w:ascii="Times New Roman" w:hAnsi="Times New Roman" w:eastAsia="宋体" w:cs="Times New Roman"/>
                      <w:sz w:val="18"/>
                      <w:szCs w:val="18"/>
                      <w:lang w:val="en-US" w:eastAsia="zh-CN"/>
                    </w:rPr>
                    <w:t>/04</w:t>
                  </w:r>
                  <w:r>
                    <w:rPr>
                      <w:rFonts w:hint="default" w:ascii="Times New Roman" w:hAnsi="Times New Roman" w:eastAsia="宋体" w:cs="Times New Roman"/>
                      <w:sz w:val="18"/>
                      <w:szCs w:val="18"/>
                    </w:rPr>
                    <w:t>）</w:t>
                  </w:r>
                </w:p>
                <w:p w14:paraId="6A424BEE">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50mL</w:t>
                  </w:r>
                  <w:r>
                    <w:rPr>
                      <w:rFonts w:hint="eastAsia" w:ascii="Times New Roman" w:hAnsi="Times New Roman" w:eastAsia="宋体" w:cs="Times New Roman"/>
                      <w:sz w:val="18"/>
                      <w:szCs w:val="18"/>
                      <w:lang w:val="en-US" w:eastAsia="zh-CN"/>
                    </w:rPr>
                    <w:t>数字</w:t>
                  </w:r>
                  <w:r>
                    <w:rPr>
                      <w:rFonts w:hint="eastAsia" w:ascii="Times New Roman" w:hAnsi="Times New Roman" w:eastAsia="宋体" w:cs="Times New Roman"/>
                      <w:sz w:val="18"/>
                      <w:szCs w:val="18"/>
                    </w:rPr>
                    <w:t>滴定</w:t>
                  </w:r>
                  <w:r>
                    <w:rPr>
                      <w:rFonts w:hint="eastAsia" w:ascii="Times New Roman" w:hAnsi="Times New Roman" w:eastAsia="宋体" w:cs="Times New Roman"/>
                      <w:sz w:val="18"/>
                      <w:szCs w:val="18"/>
                      <w:lang w:val="en-US" w:eastAsia="zh-CN"/>
                    </w:rPr>
                    <w:t>器</w:t>
                  </w:r>
                </w:p>
              </w:tc>
              <w:tc>
                <w:tcPr>
                  <w:tcW w:w="609" w:type="pct"/>
                  <w:tcBorders>
                    <w:tl2br w:val="nil"/>
                    <w:tr2bl w:val="nil"/>
                  </w:tcBorders>
                  <w:shd w:val="clear" w:color="auto" w:fill="auto"/>
                  <w:tcMar>
                    <w:top w:w="0" w:type="dxa"/>
                    <w:left w:w="57" w:type="dxa"/>
                    <w:bottom w:w="0" w:type="dxa"/>
                    <w:right w:w="57" w:type="dxa"/>
                  </w:tcMar>
                  <w:vAlign w:val="center"/>
                </w:tcPr>
                <w:p w14:paraId="3D9D5178">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4</w:t>
                  </w:r>
                </w:p>
              </w:tc>
            </w:tr>
            <w:tr w14:paraId="0FF34C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restart"/>
                  <w:tcBorders>
                    <w:tl2br w:val="nil"/>
                    <w:tr2bl w:val="nil"/>
                  </w:tcBorders>
                  <w:vAlign w:val="center"/>
                </w:tcPr>
                <w:p w14:paraId="78DC1D53">
                  <w:pPr>
                    <w:pStyle w:val="129"/>
                    <w:jc w:val="center"/>
                    <w:rPr>
                      <w:rFonts w:hint="eastAsia" w:eastAsia="宋体"/>
                      <w:color w:val="auto"/>
                      <w:highlight w:val="none"/>
                    </w:rPr>
                  </w:pPr>
                  <w:r>
                    <w:rPr>
                      <w:rFonts w:hint="eastAsia" w:eastAsia="宋体"/>
                      <w:color w:val="auto"/>
                      <w:highlight w:val="none"/>
                    </w:rPr>
                    <w:t>有组织</w:t>
                  </w:r>
                </w:p>
                <w:p w14:paraId="14B9F999">
                  <w:pPr>
                    <w:pStyle w:val="129"/>
                    <w:jc w:val="center"/>
                    <w:rPr>
                      <w:rFonts w:hint="eastAsia" w:eastAsia="宋体"/>
                      <w:color w:val="auto"/>
                      <w:highlight w:val="none"/>
                    </w:rPr>
                  </w:pPr>
                  <w:r>
                    <w:rPr>
                      <w:rFonts w:hint="eastAsia" w:eastAsia="宋体"/>
                      <w:color w:val="auto"/>
                      <w:highlight w:val="none"/>
                    </w:rPr>
                    <w:t>废气</w:t>
                  </w:r>
                </w:p>
              </w:tc>
              <w:tc>
                <w:tcPr>
                  <w:tcW w:w="642" w:type="pct"/>
                  <w:tcBorders>
                    <w:tl2br w:val="nil"/>
                    <w:tr2bl w:val="nil"/>
                  </w:tcBorders>
                  <w:shd w:val="clear" w:color="auto" w:fill="auto"/>
                  <w:vAlign w:val="center"/>
                </w:tcPr>
                <w:p w14:paraId="77B79650">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氨（mg/m</w:t>
                  </w:r>
                  <w:r>
                    <w:rPr>
                      <w:rFonts w:hint="eastAsia" w:ascii="Times New Roman" w:hAnsi="Times New Roman" w:eastAsia="宋体" w:cs="Times New Roman"/>
                      <w:sz w:val="18"/>
                      <w:szCs w:val="18"/>
                      <w:vertAlign w:val="superscript"/>
                      <w:lang w:val="en-US" w:eastAsia="zh-CN"/>
                    </w:rPr>
                    <w:t>3</w:t>
                  </w:r>
                  <w:r>
                    <w:rPr>
                      <w:rFonts w:hint="eastAsia" w:ascii="Times New Roman" w:hAnsi="Times New Roman" w:eastAsia="宋体" w:cs="Times New Roman"/>
                      <w:sz w:val="18"/>
                      <w:szCs w:val="18"/>
                      <w:lang w:val="en-US" w:eastAsia="zh-CN"/>
                    </w:rPr>
                    <w:t>）</w:t>
                  </w:r>
                </w:p>
              </w:tc>
              <w:tc>
                <w:tcPr>
                  <w:tcW w:w="1567" w:type="pct"/>
                  <w:tcBorders>
                    <w:tl2br w:val="nil"/>
                    <w:tr2bl w:val="nil"/>
                  </w:tcBorders>
                  <w:shd w:val="clear" w:color="auto" w:fill="auto"/>
                  <w:tcMar>
                    <w:top w:w="0" w:type="dxa"/>
                    <w:left w:w="0" w:type="dxa"/>
                    <w:bottom w:w="0" w:type="dxa"/>
                    <w:right w:w="0" w:type="dxa"/>
                  </w:tcMar>
                  <w:vAlign w:val="center"/>
                </w:tcPr>
                <w:p w14:paraId="2EDD87A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eastAsia="zh-CN"/>
                    </w:rPr>
                    <w:t>《环境空气和废气氨的测定纳氏试剂分光光度法》（</w:t>
                  </w:r>
                  <w:r>
                    <w:rPr>
                      <w:rFonts w:hint="eastAsia" w:ascii="Times New Roman" w:hAnsi="Times New Roman" w:eastAsia="宋体" w:cs="Times New Roman"/>
                      <w:sz w:val="18"/>
                      <w:szCs w:val="18"/>
                      <w:lang w:val="en-US" w:eastAsia="zh-CN"/>
                    </w:rPr>
                    <w:t>HJ533-2009</w:t>
                  </w:r>
                  <w:r>
                    <w:rPr>
                      <w:rFonts w:hint="eastAsia" w:ascii="Times New Roman" w:hAnsi="Times New Roman" w:eastAsia="宋体" w:cs="Times New Roman"/>
                      <w:sz w:val="18"/>
                      <w:szCs w:val="18"/>
                      <w:lang w:eastAsia="zh-CN"/>
                    </w:rPr>
                    <w:t>）</w:t>
                  </w:r>
                </w:p>
              </w:tc>
              <w:tc>
                <w:tcPr>
                  <w:tcW w:w="1721" w:type="pct"/>
                  <w:tcBorders>
                    <w:tl2br w:val="nil"/>
                    <w:tr2bl w:val="nil"/>
                  </w:tcBorders>
                  <w:shd w:val="clear" w:color="auto" w:fill="auto"/>
                  <w:vAlign w:val="center"/>
                </w:tcPr>
                <w:p w14:paraId="2AD6988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eastAsia="zh-CN"/>
                    </w:rPr>
                    <w:t>721可见分光光度计（</w:t>
                  </w:r>
                  <w:r>
                    <w:rPr>
                      <w:rFonts w:hint="eastAsia" w:ascii="Times New Roman" w:hAnsi="Times New Roman" w:eastAsia="宋体" w:cs="Times New Roman"/>
                      <w:sz w:val="18"/>
                      <w:szCs w:val="18"/>
                      <w:lang w:val="en-US" w:eastAsia="zh-CN"/>
                    </w:rPr>
                    <w:t>YHJC-JC-012-01</w:t>
                  </w:r>
                  <w:r>
                    <w:rPr>
                      <w:rFonts w:hint="eastAsia" w:ascii="Times New Roman" w:hAnsi="Times New Roman" w:eastAsia="宋体" w:cs="Times New Roman"/>
                      <w:sz w:val="18"/>
                      <w:szCs w:val="18"/>
                      <w:lang w:eastAsia="zh-CN"/>
                    </w:rPr>
                    <w:t>）</w:t>
                  </w:r>
                </w:p>
              </w:tc>
              <w:tc>
                <w:tcPr>
                  <w:tcW w:w="609" w:type="pct"/>
                  <w:tcBorders>
                    <w:tl2br w:val="nil"/>
                    <w:tr2bl w:val="nil"/>
                  </w:tcBorders>
                  <w:shd w:val="clear" w:color="auto" w:fill="auto"/>
                  <w:tcMar>
                    <w:top w:w="0" w:type="dxa"/>
                    <w:left w:w="57" w:type="dxa"/>
                    <w:bottom w:w="0" w:type="dxa"/>
                    <w:right w:w="57" w:type="dxa"/>
                  </w:tcMar>
                  <w:vAlign w:val="center"/>
                </w:tcPr>
                <w:p w14:paraId="3420B2C3">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0.25</w:t>
                  </w:r>
                </w:p>
              </w:tc>
            </w:tr>
            <w:tr w14:paraId="1A79AD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5194F546">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09759F4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颗粒物</w:t>
                  </w:r>
                  <w:r>
                    <w:rPr>
                      <w:rFonts w:hint="default" w:ascii="Times New Roman" w:hAnsi="Times New Roman" w:eastAsia="宋体" w:cs="Times New Roman"/>
                      <w:sz w:val="18"/>
                      <w:szCs w:val="18"/>
                    </w:rPr>
                    <w:t>（mg/m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w:t>
                  </w:r>
                </w:p>
              </w:tc>
              <w:tc>
                <w:tcPr>
                  <w:tcW w:w="1567" w:type="pct"/>
                  <w:tcBorders>
                    <w:tl2br w:val="nil"/>
                    <w:tr2bl w:val="nil"/>
                  </w:tcBorders>
                  <w:shd w:val="clear" w:color="auto" w:fill="auto"/>
                  <w:tcMar>
                    <w:top w:w="0" w:type="dxa"/>
                    <w:left w:w="0" w:type="dxa"/>
                    <w:bottom w:w="0" w:type="dxa"/>
                    <w:right w:w="0" w:type="dxa"/>
                  </w:tcMar>
                  <w:vAlign w:val="center"/>
                </w:tcPr>
                <w:p w14:paraId="6AC6235C">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《固定污染源废气低浓度颗粒物的测定重量法》（H</w:t>
                  </w:r>
                  <w:r>
                    <w:rPr>
                      <w:rFonts w:hint="default" w:ascii="Times New Roman" w:hAnsi="Times New Roman" w:eastAsia="宋体" w:cs="Times New Roman"/>
                      <w:sz w:val="18"/>
                      <w:szCs w:val="18"/>
                    </w:rPr>
                    <w:t>J836-2017</w:t>
                  </w:r>
                  <w:r>
                    <w:rPr>
                      <w:rFonts w:hint="eastAsia" w:ascii="Times New Roman" w:hAnsi="Times New Roman" w:eastAsia="宋体" w:cs="Times New Roman"/>
                      <w:sz w:val="18"/>
                      <w:szCs w:val="18"/>
                    </w:rPr>
                    <w:t>）</w:t>
                  </w:r>
                </w:p>
              </w:tc>
              <w:tc>
                <w:tcPr>
                  <w:tcW w:w="1721" w:type="pct"/>
                  <w:tcBorders>
                    <w:tl2br w:val="nil"/>
                    <w:tr2bl w:val="nil"/>
                  </w:tcBorders>
                  <w:shd w:val="clear" w:color="auto" w:fill="auto"/>
                  <w:vAlign w:val="center"/>
                </w:tcPr>
                <w:p w14:paraId="27864A1E">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CPA225D</w:t>
                  </w:r>
                  <w:r>
                    <w:rPr>
                      <w:rFonts w:hint="eastAsia" w:ascii="Times New Roman" w:hAnsi="Times New Roman" w:eastAsia="宋体" w:cs="Times New Roman"/>
                      <w:sz w:val="18"/>
                      <w:szCs w:val="18"/>
                    </w:rPr>
                    <w:t>电子天平（十万分之一）（</w:t>
                  </w:r>
                  <w:r>
                    <w:rPr>
                      <w:rFonts w:hint="default" w:ascii="Times New Roman" w:hAnsi="Times New Roman" w:eastAsia="宋体" w:cs="Times New Roman"/>
                      <w:sz w:val="18"/>
                      <w:szCs w:val="18"/>
                    </w:rPr>
                    <w:t>YHJC-JC-004-02</w:t>
                  </w:r>
                  <w:r>
                    <w:rPr>
                      <w:rFonts w:hint="eastAsia"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4D034365">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1</w:t>
                  </w:r>
                  <w:r>
                    <w:rPr>
                      <w:rFonts w:hint="default" w:ascii="Times New Roman" w:hAnsi="Times New Roman" w:eastAsia="宋体" w:cs="Times New Roman"/>
                      <w:sz w:val="18"/>
                      <w:szCs w:val="18"/>
                    </w:rPr>
                    <w:t>.0</w:t>
                  </w:r>
                </w:p>
              </w:tc>
            </w:tr>
            <w:tr w14:paraId="39DA13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07D44FD8">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52E79A6D">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二氧化硫</w:t>
                  </w:r>
                  <w:r>
                    <w:rPr>
                      <w:rFonts w:hint="default" w:ascii="Times New Roman" w:hAnsi="Times New Roman" w:eastAsia="宋体" w:cs="Times New Roman"/>
                      <w:sz w:val="18"/>
                      <w:szCs w:val="18"/>
                    </w:rPr>
                    <w:t>（mg/m3）</w:t>
                  </w:r>
                </w:p>
              </w:tc>
              <w:tc>
                <w:tcPr>
                  <w:tcW w:w="1567" w:type="pct"/>
                  <w:tcBorders>
                    <w:tl2br w:val="nil"/>
                    <w:tr2bl w:val="nil"/>
                  </w:tcBorders>
                  <w:shd w:val="clear" w:color="auto" w:fill="auto"/>
                  <w:tcMar>
                    <w:top w:w="0" w:type="dxa"/>
                    <w:left w:w="0" w:type="dxa"/>
                    <w:bottom w:w="0" w:type="dxa"/>
                    <w:right w:w="0" w:type="dxa"/>
                  </w:tcMar>
                  <w:vAlign w:val="center"/>
                </w:tcPr>
                <w:p w14:paraId="38340C39">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《固定污染源废气二氧化硫的测定定电位电解法》（H</w:t>
                  </w:r>
                  <w:r>
                    <w:rPr>
                      <w:rFonts w:hint="default" w:ascii="Times New Roman" w:hAnsi="Times New Roman" w:eastAsia="宋体" w:cs="Times New Roman"/>
                      <w:sz w:val="18"/>
                      <w:szCs w:val="18"/>
                    </w:rPr>
                    <w:t>J57-2017</w:t>
                  </w:r>
                  <w:r>
                    <w:rPr>
                      <w:rFonts w:hint="eastAsia" w:ascii="Times New Roman" w:hAnsi="Times New Roman" w:eastAsia="宋体" w:cs="Times New Roman"/>
                      <w:sz w:val="18"/>
                      <w:szCs w:val="18"/>
                    </w:rPr>
                    <w:t>）</w:t>
                  </w:r>
                </w:p>
              </w:tc>
              <w:tc>
                <w:tcPr>
                  <w:tcW w:w="1721" w:type="pct"/>
                  <w:tcBorders>
                    <w:tl2br w:val="nil"/>
                    <w:tr2bl w:val="nil"/>
                  </w:tcBorders>
                  <w:shd w:val="clear" w:color="auto" w:fill="auto"/>
                  <w:vAlign w:val="center"/>
                </w:tcPr>
                <w:p w14:paraId="3FB8D9D3">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rPr>
                  </w:pPr>
                  <w:r>
                    <w:rPr>
                      <w:rFonts w:hint="eastAsia" w:ascii="Times New Roman" w:hAnsi="Times New Roman" w:eastAsia="宋体" w:cs="Times New Roman"/>
                      <w:sz w:val="18"/>
                      <w:szCs w:val="18"/>
                    </w:rPr>
                    <w:t>MH3300型烟气烟尘颗粒物浓度测试仪</w:t>
                  </w:r>
                </w:p>
                <w:p w14:paraId="58189185">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w:t>
                  </w:r>
                  <w:r>
                    <w:rPr>
                      <w:rFonts w:hint="default" w:ascii="Times New Roman" w:hAnsi="Times New Roman" w:eastAsia="宋体" w:cs="Times New Roman"/>
                      <w:sz w:val="18"/>
                      <w:szCs w:val="18"/>
                    </w:rPr>
                    <w:t>YHJC-CY-055-0</w:t>
                  </w:r>
                  <w:r>
                    <w:rPr>
                      <w:rFonts w:hint="eastAsia" w:ascii="Times New Roman" w:hAnsi="Times New Roman" w:eastAsia="宋体" w:cs="Times New Roman"/>
                      <w:sz w:val="18"/>
                      <w:szCs w:val="18"/>
                      <w:lang w:val="en-US" w:eastAsia="zh-CN"/>
                    </w:rPr>
                    <w:t>3</w:t>
                  </w:r>
                  <w:r>
                    <w:rPr>
                      <w:rFonts w:hint="default"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1160103F">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3</w:t>
                  </w:r>
                </w:p>
              </w:tc>
            </w:tr>
            <w:tr w14:paraId="0C0E56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98" w:hRule="atLeast"/>
                <w:jc w:val="center"/>
              </w:trPr>
              <w:tc>
                <w:tcPr>
                  <w:tcW w:w="458" w:type="pct"/>
                  <w:vMerge w:val="continue"/>
                  <w:tcBorders>
                    <w:tl2br w:val="nil"/>
                    <w:tr2bl w:val="nil"/>
                  </w:tcBorders>
                  <w:vAlign w:val="center"/>
                </w:tcPr>
                <w:p w14:paraId="27CF2007">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3B9E997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氮氧化物</w:t>
                  </w:r>
                  <w:r>
                    <w:rPr>
                      <w:rFonts w:hint="default" w:ascii="Times New Roman" w:hAnsi="Times New Roman" w:eastAsia="宋体" w:cs="Times New Roman"/>
                      <w:sz w:val="18"/>
                      <w:szCs w:val="18"/>
                    </w:rPr>
                    <w:t>（mg/m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w:t>
                  </w:r>
                </w:p>
              </w:tc>
              <w:tc>
                <w:tcPr>
                  <w:tcW w:w="1567" w:type="pct"/>
                  <w:tcBorders>
                    <w:tl2br w:val="nil"/>
                    <w:tr2bl w:val="nil"/>
                  </w:tcBorders>
                  <w:shd w:val="clear" w:color="auto" w:fill="auto"/>
                  <w:tcMar>
                    <w:top w:w="0" w:type="dxa"/>
                    <w:left w:w="0" w:type="dxa"/>
                    <w:bottom w:w="0" w:type="dxa"/>
                    <w:right w:w="0" w:type="dxa"/>
                  </w:tcMar>
                  <w:vAlign w:val="center"/>
                </w:tcPr>
                <w:p w14:paraId="7A0ADD2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《固定污染源废气氮氧化物的测定定电位电解法》（H</w:t>
                  </w:r>
                  <w:r>
                    <w:rPr>
                      <w:rFonts w:hint="default" w:ascii="Times New Roman" w:hAnsi="Times New Roman" w:eastAsia="宋体" w:cs="Times New Roman"/>
                      <w:sz w:val="18"/>
                      <w:szCs w:val="18"/>
                    </w:rPr>
                    <w:t>J693-2014</w:t>
                  </w:r>
                  <w:r>
                    <w:rPr>
                      <w:rFonts w:hint="eastAsia" w:ascii="Times New Roman" w:hAnsi="Times New Roman" w:eastAsia="宋体" w:cs="Times New Roman"/>
                      <w:sz w:val="18"/>
                      <w:szCs w:val="18"/>
                    </w:rPr>
                    <w:t>）</w:t>
                  </w:r>
                </w:p>
              </w:tc>
              <w:tc>
                <w:tcPr>
                  <w:tcW w:w="1721" w:type="pct"/>
                  <w:tcBorders>
                    <w:tl2br w:val="nil"/>
                    <w:tr2bl w:val="nil"/>
                  </w:tcBorders>
                  <w:shd w:val="clear" w:color="auto" w:fill="auto"/>
                  <w:vAlign w:val="center"/>
                </w:tcPr>
                <w:p w14:paraId="2312A067">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MH3300型烟气烟尘颗粒物浓度测试仪（</w:t>
                  </w:r>
                  <w:r>
                    <w:rPr>
                      <w:rFonts w:hint="default" w:ascii="Times New Roman" w:hAnsi="Times New Roman" w:eastAsia="宋体" w:cs="Times New Roman"/>
                      <w:sz w:val="18"/>
                      <w:szCs w:val="18"/>
                    </w:rPr>
                    <w:t>YHJC-CY-055-0</w:t>
                  </w:r>
                  <w:r>
                    <w:rPr>
                      <w:rFonts w:hint="eastAsia" w:ascii="Times New Roman" w:hAnsi="Times New Roman" w:eastAsia="宋体" w:cs="Times New Roman"/>
                      <w:sz w:val="18"/>
                      <w:szCs w:val="18"/>
                      <w:lang w:val="en-US" w:eastAsia="zh-CN"/>
                    </w:rPr>
                    <w:t>3</w:t>
                  </w:r>
                  <w:r>
                    <w:rPr>
                      <w:rFonts w:hint="default" w:ascii="Times New Roman" w:hAnsi="Times New Roman" w:eastAsia="宋体" w:cs="Times New Roman"/>
                      <w:sz w:val="18"/>
                      <w:szCs w:val="18"/>
                    </w:rPr>
                    <w:t>）</w:t>
                  </w:r>
                </w:p>
              </w:tc>
              <w:tc>
                <w:tcPr>
                  <w:tcW w:w="609" w:type="pct"/>
                  <w:tcBorders>
                    <w:tl2br w:val="nil"/>
                    <w:tr2bl w:val="nil"/>
                  </w:tcBorders>
                  <w:shd w:val="clear" w:color="auto" w:fill="auto"/>
                  <w:tcMar>
                    <w:top w:w="0" w:type="dxa"/>
                    <w:left w:w="57" w:type="dxa"/>
                    <w:bottom w:w="0" w:type="dxa"/>
                    <w:right w:w="57" w:type="dxa"/>
                  </w:tcMar>
                  <w:vAlign w:val="center"/>
                </w:tcPr>
                <w:p w14:paraId="0C909CA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rPr>
                  </w:pPr>
                  <w:r>
                    <w:rPr>
                      <w:rFonts w:hint="eastAsia" w:ascii="Times New Roman" w:hAnsi="Times New Roman" w:eastAsia="宋体" w:cs="Times New Roman"/>
                      <w:sz w:val="18"/>
                      <w:szCs w:val="18"/>
                    </w:rPr>
                    <w:t>一氧化氮：3</w:t>
                  </w:r>
                </w:p>
                <w:p w14:paraId="2A7FC3E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二氧化氮：3</w:t>
                  </w:r>
                </w:p>
              </w:tc>
            </w:tr>
            <w:tr w14:paraId="43B9F0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vMerge w:val="continue"/>
                  <w:tcBorders>
                    <w:tl2br w:val="nil"/>
                    <w:tr2bl w:val="nil"/>
                  </w:tcBorders>
                  <w:vAlign w:val="center"/>
                </w:tcPr>
                <w:p w14:paraId="02EA2C25">
                  <w:pPr>
                    <w:pStyle w:val="129"/>
                    <w:jc w:val="center"/>
                    <w:rPr>
                      <w:rFonts w:hint="eastAsia" w:eastAsia="宋体"/>
                      <w:color w:val="auto"/>
                      <w:highlight w:val="none"/>
                    </w:rPr>
                  </w:pPr>
                </w:p>
              </w:tc>
              <w:tc>
                <w:tcPr>
                  <w:tcW w:w="642" w:type="pct"/>
                  <w:tcBorders>
                    <w:tl2br w:val="nil"/>
                    <w:tr2bl w:val="nil"/>
                  </w:tcBorders>
                  <w:shd w:val="clear" w:color="auto" w:fill="auto"/>
                  <w:vAlign w:val="center"/>
                </w:tcPr>
                <w:p w14:paraId="45888EC9">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林格曼黑度（级）</w:t>
                  </w:r>
                </w:p>
              </w:tc>
              <w:tc>
                <w:tcPr>
                  <w:tcW w:w="1567" w:type="pct"/>
                  <w:tcBorders>
                    <w:tl2br w:val="nil"/>
                    <w:tr2bl w:val="nil"/>
                  </w:tcBorders>
                  <w:shd w:val="clear" w:color="auto" w:fill="auto"/>
                  <w:tcMar>
                    <w:top w:w="0" w:type="dxa"/>
                    <w:left w:w="0" w:type="dxa"/>
                    <w:bottom w:w="0" w:type="dxa"/>
                    <w:right w:w="0" w:type="dxa"/>
                  </w:tcMar>
                  <w:vAlign w:val="center"/>
                </w:tcPr>
                <w:p w14:paraId="3D4C86D7">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eastAsia="zh-CN"/>
                    </w:rPr>
                    <w:t>《固定污染源废气烟气黑度的测定林格曼望远镜法》（</w:t>
                  </w:r>
                  <w:r>
                    <w:rPr>
                      <w:rFonts w:hint="eastAsia" w:ascii="Times New Roman" w:hAnsi="Times New Roman" w:eastAsia="宋体" w:cs="Times New Roman"/>
                      <w:sz w:val="18"/>
                      <w:szCs w:val="18"/>
                      <w:lang w:val="en-US" w:eastAsia="zh-CN"/>
                    </w:rPr>
                    <w:t>HJ1287-2023</w:t>
                  </w:r>
                  <w:r>
                    <w:rPr>
                      <w:rFonts w:hint="eastAsia" w:ascii="Times New Roman" w:hAnsi="Times New Roman" w:eastAsia="宋体" w:cs="Times New Roman"/>
                      <w:sz w:val="18"/>
                      <w:szCs w:val="18"/>
                      <w:lang w:eastAsia="zh-CN"/>
                    </w:rPr>
                    <w:t>）</w:t>
                  </w:r>
                </w:p>
              </w:tc>
              <w:tc>
                <w:tcPr>
                  <w:tcW w:w="1721" w:type="pct"/>
                  <w:tcBorders>
                    <w:tl2br w:val="nil"/>
                    <w:tr2bl w:val="nil"/>
                  </w:tcBorders>
                  <w:shd w:val="clear" w:color="auto" w:fill="auto"/>
                  <w:vAlign w:val="center"/>
                </w:tcPr>
                <w:p w14:paraId="14187B7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eastAsia="zh-CN"/>
                    </w:rPr>
                    <w:t>JK-LG40林格曼望远镜（</w:t>
                  </w:r>
                  <w:r>
                    <w:rPr>
                      <w:rFonts w:hint="eastAsia" w:ascii="Times New Roman" w:hAnsi="Times New Roman" w:eastAsia="宋体" w:cs="Times New Roman"/>
                      <w:sz w:val="18"/>
                      <w:szCs w:val="18"/>
                      <w:lang w:val="en-US" w:eastAsia="zh-CN"/>
                    </w:rPr>
                    <w:t>YHJC-CY-010-10</w:t>
                  </w:r>
                  <w:r>
                    <w:rPr>
                      <w:rFonts w:hint="eastAsia" w:ascii="Times New Roman" w:hAnsi="Times New Roman" w:eastAsia="宋体" w:cs="Times New Roman"/>
                      <w:sz w:val="18"/>
                      <w:szCs w:val="18"/>
                      <w:lang w:eastAsia="zh-CN"/>
                    </w:rPr>
                    <w:t>）</w:t>
                  </w:r>
                </w:p>
              </w:tc>
              <w:tc>
                <w:tcPr>
                  <w:tcW w:w="609" w:type="pct"/>
                  <w:tcBorders>
                    <w:tl2br w:val="nil"/>
                    <w:tr2bl w:val="nil"/>
                  </w:tcBorders>
                  <w:shd w:val="clear" w:color="auto" w:fill="auto"/>
                  <w:tcMar>
                    <w:top w:w="0" w:type="dxa"/>
                    <w:left w:w="57" w:type="dxa"/>
                    <w:bottom w:w="0" w:type="dxa"/>
                    <w:right w:w="57" w:type="dxa"/>
                  </w:tcMar>
                  <w:vAlign w:val="center"/>
                </w:tcPr>
                <w:p w14:paraId="0CE02C9D">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t>
                  </w:r>
                </w:p>
              </w:tc>
            </w:tr>
            <w:tr w14:paraId="4B0B1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tcBorders>
                    <w:tl2br w:val="nil"/>
                    <w:tr2bl w:val="nil"/>
                  </w:tcBorders>
                  <w:vAlign w:val="center"/>
                </w:tcPr>
                <w:p w14:paraId="62B34C41">
                  <w:pPr>
                    <w:pStyle w:val="129"/>
                    <w:jc w:val="center"/>
                    <w:rPr>
                      <w:rFonts w:hint="eastAsia" w:eastAsia="宋体"/>
                      <w:color w:val="auto"/>
                      <w:highlight w:val="none"/>
                    </w:rPr>
                  </w:pPr>
                  <w:r>
                    <w:rPr>
                      <w:rFonts w:hint="eastAsia" w:eastAsia="宋体"/>
                      <w:color w:val="auto"/>
                      <w:highlight w:val="none"/>
                    </w:rPr>
                    <w:t>无组织</w:t>
                  </w:r>
                </w:p>
                <w:p w14:paraId="066B0995">
                  <w:pPr>
                    <w:pStyle w:val="129"/>
                    <w:jc w:val="center"/>
                    <w:rPr>
                      <w:rFonts w:hint="eastAsia" w:eastAsia="宋体"/>
                      <w:color w:val="auto"/>
                      <w:highlight w:val="none"/>
                    </w:rPr>
                  </w:pPr>
                  <w:r>
                    <w:rPr>
                      <w:rFonts w:hint="eastAsia" w:eastAsia="宋体"/>
                      <w:color w:val="auto"/>
                      <w:highlight w:val="none"/>
                    </w:rPr>
                    <w:t>废气</w:t>
                  </w:r>
                </w:p>
              </w:tc>
              <w:tc>
                <w:tcPr>
                  <w:tcW w:w="642" w:type="pct"/>
                  <w:tcBorders>
                    <w:tl2br w:val="nil"/>
                    <w:tr2bl w:val="nil"/>
                  </w:tcBorders>
                  <w:shd w:val="clear" w:color="auto" w:fill="auto"/>
                  <w:vAlign w:val="center"/>
                </w:tcPr>
                <w:p w14:paraId="6569AFB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颗粒物（mg/m</w:t>
                  </w:r>
                  <w:r>
                    <w:rPr>
                      <w:rFonts w:hint="eastAsia" w:ascii="Times New Roman" w:hAnsi="Times New Roman" w:eastAsia="宋体" w:cs="Times New Roman"/>
                      <w:sz w:val="18"/>
                      <w:szCs w:val="18"/>
                      <w:vertAlign w:val="superscript"/>
                      <w:lang w:val="en-US" w:eastAsia="zh-CN"/>
                    </w:rPr>
                    <w:t>3</w:t>
                  </w:r>
                  <w:r>
                    <w:rPr>
                      <w:rFonts w:hint="eastAsia" w:ascii="Times New Roman" w:hAnsi="Times New Roman" w:eastAsia="宋体" w:cs="Times New Roman"/>
                      <w:sz w:val="18"/>
                      <w:szCs w:val="18"/>
                      <w:lang w:val="en-US" w:eastAsia="zh-CN"/>
                    </w:rPr>
                    <w:t>）</w:t>
                  </w:r>
                </w:p>
              </w:tc>
              <w:tc>
                <w:tcPr>
                  <w:tcW w:w="1567" w:type="pct"/>
                  <w:tcBorders>
                    <w:tl2br w:val="nil"/>
                    <w:tr2bl w:val="nil"/>
                  </w:tcBorders>
                  <w:shd w:val="clear" w:color="auto" w:fill="auto"/>
                  <w:tcMar>
                    <w:top w:w="0" w:type="dxa"/>
                    <w:left w:w="0" w:type="dxa"/>
                    <w:bottom w:w="0" w:type="dxa"/>
                    <w:right w:w="0" w:type="dxa"/>
                  </w:tcMar>
                  <w:vAlign w:val="center"/>
                </w:tcPr>
                <w:p w14:paraId="128638DC">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《环境空气总悬浮颗粒物的测定重量法》（HJ1263-2022）</w:t>
                  </w:r>
                </w:p>
              </w:tc>
              <w:tc>
                <w:tcPr>
                  <w:tcW w:w="1721" w:type="pct"/>
                  <w:tcBorders>
                    <w:tl2br w:val="nil"/>
                    <w:tr2bl w:val="nil"/>
                  </w:tcBorders>
                  <w:shd w:val="clear" w:color="auto" w:fill="auto"/>
                  <w:vAlign w:val="center"/>
                </w:tcPr>
                <w:p w14:paraId="3A8A6CF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CPA225D电子天平（十万分之一）（YHJC-JC-004-02）</w:t>
                  </w:r>
                </w:p>
              </w:tc>
              <w:tc>
                <w:tcPr>
                  <w:tcW w:w="609" w:type="pct"/>
                  <w:tcBorders>
                    <w:tl2br w:val="nil"/>
                    <w:tr2bl w:val="nil"/>
                  </w:tcBorders>
                  <w:shd w:val="clear" w:color="auto" w:fill="auto"/>
                  <w:tcMar>
                    <w:top w:w="0" w:type="dxa"/>
                    <w:left w:w="57" w:type="dxa"/>
                    <w:bottom w:w="0" w:type="dxa"/>
                    <w:right w:w="57" w:type="dxa"/>
                  </w:tcMar>
                  <w:vAlign w:val="center"/>
                </w:tcPr>
                <w:p w14:paraId="581F600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0.007</w:t>
                  </w:r>
                </w:p>
              </w:tc>
            </w:tr>
            <w:tr w14:paraId="36C325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458" w:type="pct"/>
                  <w:tcBorders>
                    <w:tl2br w:val="nil"/>
                    <w:tr2bl w:val="nil"/>
                  </w:tcBorders>
                  <w:vAlign w:val="center"/>
                </w:tcPr>
                <w:p w14:paraId="31E5A4AA">
                  <w:pPr>
                    <w:pStyle w:val="129"/>
                    <w:jc w:val="center"/>
                    <w:rPr>
                      <w:rFonts w:hint="eastAsia" w:eastAsia="宋体"/>
                      <w:color w:val="auto"/>
                      <w:highlight w:val="none"/>
                    </w:rPr>
                  </w:pPr>
                  <w:r>
                    <w:rPr>
                      <w:rFonts w:hint="eastAsia" w:eastAsia="宋体"/>
                      <w:color w:val="auto"/>
                      <w:highlight w:val="none"/>
                    </w:rPr>
                    <w:t>噪声</w:t>
                  </w:r>
                </w:p>
              </w:tc>
              <w:tc>
                <w:tcPr>
                  <w:tcW w:w="642" w:type="pct"/>
                  <w:tcBorders>
                    <w:tl2br w:val="nil"/>
                    <w:tr2bl w:val="nil"/>
                  </w:tcBorders>
                  <w:shd w:val="clear" w:color="auto" w:fill="auto"/>
                  <w:vAlign w:val="center"/>
                </w:tcPr>
                <w:p w14:paraId="5B13062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等效连续A声级〔dB(A)〕</w:t>
                  </w:r>
                </w:p>
              </w:tc>
              <w:tc>
                <w:tcPr>
                  <w:tcW w:w="1567" w:type="pct"/>
                  <w:tcBorders>
                    <w:tl2br w:val="nil"/>
                    <w:tr2bl w:val="nil"/>
                  </w:tcBorders>
                  <w:shd w:val="clear" w:color="auto" w:fill="auto"/>
                  <w:tcMar>
                    <w:top w:w="0" w:type="dxa"/>
                    <w:left w:w="0" w:type="dxa"/>
                    <w:bottom w:w="0" w:type="dxa"/>
                    <w:right w:w="0" w:type="dxa"/>
                  </w:tcMar>
                  <w:vAlign w:val="center"/>
                </w:tcPr>
                <w:p w14:paraId="391059B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《工业企业厂界环境噪声排放标准》</w:t>
                  </w:r>
                </w:p>
                <w:p w14:paraId="42DB33D9">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（GB12348-2008）</w:t>
                  </w:r>
                </w:p>
              </w:tc>
              <w:tc>
                <w:tcPr>
                  <w:tcW w:w="1721" w:type="pct"/>
                  <w:tcBorders>
                    <w:tl2br w:val="nil"/>
                    <w:tr2bl w:val="nil"/>
                  </w:tcBorders>
                  <w:shd w:val="clear" w:color="auto" w:fill="auto"/>
                  <w:vAlign w:val="center"/>
                </w:tcPr>
                <w:p w14:paraId="17115B9A">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AWA6228多功能声级计（YHJC-CY-037-07）</w:t>
                  </w:r>
                </w:p>
                <w:p w14:paraId="4D9DD0A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AWA6021A声级计校准器（YHJC-CY-039-01）</w:t>
                  </w:r>
                </w:p>
              </w:tc>
              <w:tc>
                <w:tcPr>
                  <w:tcW w:w="609" w:type="pct"/>
                  <w:tcBorders>
                    <w:tl2br w:val="nil"/>
                    <w:tr2bl w:val="nil"/>
                  </w:tcBorders>
                  <w:shd w:val="clear" w:color="auto" w:fill="auto"/>
                  <w:tcMar>
                    <w:top w:w="0" w:type="dxa"/>
                    <w:left w:w="57" w:type="dxa"/>
                    <w:bottom w:w="0" w:type="dxa"/>
                    <w:right w:w="57" w:type="dxa"/>
                  </w:tcMar>
                  <w:vAlign w:val="center"/>
                </w:tcPr>
                <w:p w14:paraId="3F74E54F">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t>
                  </w:r>
                </w:p>
              </w:tc>
            </w:tr>
          </w:tbl>
          <w:p w14:paraId="6676C69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p>
          <w:p w14:paraId="0672701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5.2验收监测质量保证及控制措施</w:t>
            </w:r>
          </w:p>
          <w:p w14:paraId="7D136279">
            <w:pPr>
              <w:adjustRightInd/>
              <w:snapToGrid/>
              <w:spacing w:line="360" w:lineRule="auto"/>
              <w:ind w:firstLine="480" w:firstLineChars="200"/>
              <w:rPr>
                <w:rFonts w:hint="eastAsia"/>
                <w:color w:val="auto"/>
                <w:sz w:val="24"/>
                <w:highlight w:val="none"/>
              </w:rPr>
            </w:pPr>
            <w:r>
              <w:rPr>
                <w:rFonts w:hint="eastAsia"/>
                <w:color w:val="auto"/>
                <w:sz w:val="24"/>
                <w:highlight w:val="none"/>
              </w:rPr>
              <w:t>（1）严格按照国家有关环境监测技术规范执行全程序的质量控制，本次检测按照《污水监测技术规范》（HJ91.1-2019）、《固定源废气监测技术规范》（HJ/T397-2007）、《大气污染物无组织排放监测技术导则》（HJ/T55-2000）执行；</w:t>
            </w:r>
          </w:p>
          <w:p w14:paraId="51C0CDC7">
            <w:pPr>
              <w:adjustRightInd/>
              <w:snapToGrid/>
              <w:spacing w:line="360" w:lineRule="auto"/>
              <w:ind w:firstLine="480" w:firstLineChars="200"/>
              <w:rPr>
                <w:rFonts w:hint="eastAsia"/>
                <w:color w:val="auto"/>
                <w:sz w:val="24"/>
                <w:highlight w:val="none"/>
              </w:rPr>
            </w:pPr>
            <w:r>
              <w:rPr>
                <w:rFonts w:hint="eastAsia"/>
                <w:color w:val="auto"/>
                <w:sz w:val="24"/>
                <w:highlight w:val="none"/>
              </w:rPr>
              <w:t>（2）参与本次监测的人员均持有相关监测项目上岗资格证书；</w:t>
            </w:r>
          </w:p>
          <w:p w14:paraId="3F0CAB8B">
            <w:pPr>
              <w:adjustRightInd/>
              <w:snapToGrid/>
              <w:spacing w:line="360" w:lineRule="auto"/>
              <w:ind w:firstLine="480" w:firstLineChars="200"/>
              <w:rPr>
                <w:rFonts w:hint="eastAsia"/>
                <w:color w:val="auto"/>
                <w:sz w:val="24"/>
                <w:highlight w:val="none"/>
              </w:rPr>
            </w:pPr>
            <w:r>
              <w:rPr>
                <w:rFonts w:hint="eastAsia"/>
                <w:color w:val="auto"/>
                <w:sz w:val="24"/>
                <w:highlight w:val="none"/>
              </w:rPr>
              <w:t>（3）本次监测工作涉及的仪器设备均在检定有效期内，噪声现场监测时，均使用标准声源校准，且所使用仪器在监测过程中运行正常；</w:t>
            </w:r>
          </w:p>
          <w:p w14:paraId="092D1294">
            <w:pPr>
              <w:adjustRightInd/>
              <w:snapToGrid/>
              <w:spacing w:line="360" w:lineRule="auto"/>
              <w:ind w:firstLine="480" w:firstLineChars="200"/>
              <w:rPr>
                <w:rFonts w:hint="eastAsia"/>
                <w:color w:val="auto"/>
                <w:sz w:val="24"/>
                <w:highlight w:val="none"/>
              </w:rPr>
            </w:pPr>
            <w:r>
              <w:rPr>
                <w:rFonts w:hint="eastAsia"/>
                <w:color w:val="auto"/>
                <w:sz w:val="24"/>
                <w:highlight w:val="none"/>
              </w:rPr>
              <w:t>（4）严格按照国家规定的监测分析方法标准和相应的技术规范进行采样及检测；</w:t>
            </w:r>
          </w:p>
          <w:p w14:paraId="50B3A9AB">
            <w:pPr>
              <w:adjustRightInd/>
              <w:snapToGrid/>
              <w:spacing w:line="360" w:lineRule="auto"/>
              <w:ind w:firstLine="480" w:firstLineChars="200"/>
              <w:rPr>
                <w:rFonts w:hint="eastAsia"/>
                <w:color w:val="auto"/>
                <w:sz w:val="24"/>
                <w:highlight w:val="none"/>
              </w:rPr>
            </w:pPr>
            <w:r>
              <w:rPr>
                <w:rFonts w:hint="eastAsia"/>
                <w:color w:val="auto"/>
                <w:sz w:val="24"/>
                <w:highlight w:val="none"/>
              </w:rPr>
              <w:t>（5）为确保检测数据的准确、可靠，在样品的采样、运输、保存、实验室分析和数据计算的全过程均按照相关技术规范的要求进行；</w:t>
            </w:r>
          </w:p>
          <w:p w14:paraId="71351C03">
            <w:pPr>
              <w:adjustRightInd/>
              <w:snapToGrid/>
              <w:spacing w:line="360" w:lineRule="auto"/>
              <w:ind w:firstLine="480" w:firstLineChars="200"/>
              <w:rPr>
                <w:rFonts w:hint="eastAsia"/>
                <w:color w:val="auto"/>
                <w:sz w:val="24"/>
                <w:highlight w:val="none"/>
              </w:rPr>
            </w:pPr>
            <w:r>
              <w:rPr>
                <w:rFonts w:hint="eastAsia"/>
                <w:color w:val="auto"/>
                <w:sz w:val="24"/>
                <w:highlight w:val="none"/>
              </w:rPr>
              <w:t>（6）检测数据和报告均实行三级审核。</w:t>
            </w:r>
          </w:p>
          <w:p w14:paraId="367FF08B">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空白样检测结果统计表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2264"/>
              <w:gridCol w:w="2268"/>
              <w:gridCol w:w="2269"/>
              <w:gridCol w:w="2269"/>
            </w:tblGrid>
            <w:tr w14:paraId="710D9C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1248" w:type="pct"/>
                  <w:tcBorders>
                    <w:bottom w:val="single" w:color="auto" w:sz="12" w:space="0"/>
                  </w:tcBorders>
                  <w:shd w:val="clear" w:color="auto" w:fill="auto"/>
                  <w:vAlign w:val="center"/>
                </w:tcPr>
                <w:p w14:paraId="727F216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highlight w:val="none"/>
                    </w:rPr>
                  </w:pPr>
                  <w:r>
                    <w:rPr>
                      <w:rFonts w:hint="eastAsia" w:ascii="Times New Roman" w:hAnsi="Times New Roman" w:eastAsia="宋体" w:cs="Times New Roman"/>
                      <w:b/>
                      <w:bCs/>
                      <w:color w:val="auto"/>
                      <w:highlight w:val="none"/>
                    </w:rPr>
                    <w:t>样品类型</w:t>
                  </w:r>
                </w:p>
              </w:tc>
              <w:tc>
                <w:tcPr>
                  <w:tcW w:w="1250" w:type="pct"/>
                  <w:tcBorders>
                    <w:bottom w:val="single" w:color="auto" w:sz="12" w:space="0"/>
                  </w:tcBorders>
                  <w:shd w:val="clear" w:color="auto" w:fill="auto"/>
                  <w:vAlign w:val="center"/>
                </w:tcPr>
                <w:p w14:paraId="2306D63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highlight w:val="none"/>
                    </w:rPr>
                  </w:pPr>
                  <w:r>
                    <w:rPr>
                      <w:rFonts w:hint="eastAsia" w:ascii="Times New Roman" w:hAnsi="Times New Roman" w:eastAsia="宋体" w:cs="Times New Roman"/>
                      <w:b/>
                      <w:bCs/>
                      <w:color w:val="auto"/>
                      <w:highlight w:val="none"/>
                    </w:rPr>
                    <w:t>检测项目</w:t>
                  </w:r>
                </w:p>
              </w:tc>
              <w:tc>
                <w:tcPr>
                  <w:tcW w:w="1250" w:type="pct"/>
                  <w:tcBorders>
                    <w:bottom w:val="single" w:color="auto" w:sz="12" w:space="0"/>
                  </w:tcBorders>
                  <w:shd w:val="clear" w:color="auto" w:fill="auto"/>
                  <w:vAlign w:val="center"/>
                </w:tcPr>
                <w:p w14:paraId="700CA9B5">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highlight w:val="none"/>
                    </w:rPr>
                  </w:pPr>
                  <w:r>
                    <w:rPr>
                      <w:rFonts w:hint="eastAsia" w:ascii="Times New Roman" w:hAnsi="Times New Roman" w:eastAsia="宋体" w:cs="Times New Roman"/>
                      <w:b/>
                      <w:bCs/>
                      <w:color w:val="auto"/>
                      <w:highlight w:val="none"/>
                    </w:rPr>
                    <w:t>检测结果</w:t>
                  </w:r>
                </w:p>
              </w:tc>
              <w:tc>
                <w:tcPr>
                  <w:tcW w:w="1250" w:type="pct"/>
                  <w:tcBorders>
                    <w:bottom w:val="single" w:color="auto" w:sz="12" w:space="0"/>
                  </w:tcBorders>
                  <w:shd w:val="clear" w:color="auto" w:fill="auto"/>
                  <w:vAlign w:val="center"/>
                </w:tcPr>
                <w:p w14:paraId="2FFCF817">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highlight w:val="none"/>
                    </w:rPr>
                  </w:pPr>
                  <w:r>
                    <w:rPr>
                      <w:rFonts w:hint="eastAsia" w:ascii="Times New Roman" w:hAnsi="Times New Roman" w:eastAsia="宋体" w:cs="Times New Roman"/>
                      <w:b/>
                      <w:bCs/>
                      <w:color w:val="auto"/>
                      <w:highlight w:val="none"/>
                    </w:rPr>
                    <w:t>评价</w:t>
                  </w:r>
                </w:p>
              </w:tc>
            </w:tr>
            <w:tr w14:paraId="59CE3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Merge w:val="restart"/>
                  <w:tcBorders>
                    <w:top w:val="single" w:color="auto" w:sz="12" w:space="0"/>
                  </w:tcBorders>
                  <w:shd w:val="clear" w:color="auto" w:fill="auto"/>
                  <w:vAlign w:val="center"/>
                </w:tcPr>
                <w:p w14:paraId="24148D4F">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废水</w:t>
                  </w:r>
                </w:p>
              </w:tc>
              <w:tc>
                <w:tcPr>
                  <w:tcW w:w="1250" w:type="pct"/>
                  <w:tcBorders>
                    <w:top w:val="single" w:color="auto" w:sz="12" w:space="0"/>
                  </w:tcBorders>
                  <w:shd w:val="clear" w:color="auto" w:fill="auto"/>
                  <w:vAlign w:val="center"/>
                </w:tcPr>
                <w:p w14:paraId="64AA170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化学需氧量（mg/L）</w:t>
                  </w:r>
                </w:p>
              </w:tc>
              <w:tc>
                <w:tcPr>
                  <w:tcW w:w="1250" w:type="pct"/>
                  <w:tcBorders>
                    <w:top w:val="single" w:color="auto" w:sz="12" w:space="0"/>
                  </w:tcBorders>
                  <w:shd w:val="clear" w:color="auto" w:fill="auto"/>
                  <w:vAlign w:val="center"/>
                </w:tcPr>
                <w:p w14:paraId="1AAF10EC">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ND</w:t>
                  </w:r>
                </w:p>
              </w:tc>
              <w:tc>
                <w:tcPr>
                  <w:tcW w:w="1250" w:type="pct"/>
                  <w:tcBorders>
                    <w:top w:val="single" w:color="auto" w:sz="12" w:space="0"/>
                  </w:tcBorders>
                  <w:shd w:val="clear" w:color="auto" w:fill="auto"/>
                  <w:vAlign w:val="center"/>
                </w:tcPr>
                <w:p w14:paraId="0915D5BB">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3FC3CA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Merge w:val="continue"/>
                  <w:shd w:val="clear" w:color="auto" w:fill="auto"/>
                  <w:vAlign w:val="center"/>
                </w:tcPr>
                <w:p w14:paraId="5D517F5E">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p>
              </w:tc>
              <w:tc>
                <w:tcPr>
                  <w:tcW w:w="1250" w:type="pct"/>
                  <w:shd w:val="clear" w:color="auto" w:fill="auto"/>
                  <w:vAlign w:val="center"/>
                </w:tcPr>
                <w:p w14:paraId="1BCBFF2E">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氨氮（mg/L）</w:t>
                  </w:r>
                </w:p>
              </w:tc>
              <w:tc>
                <w:tcPr>
                  <w:tcW w:w="1250" w:type="pct"/>
                  <w:shd w:val="clear" w:color="auto" w:fill="auto"/>
                  <w:vAlign w:val="center"/>
                </w:tcPr>
                <w:p w14:paraId="78DFA4E4">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ND</w:t>
                  </w:r>
                </w:p>
              </w:tc>
              <w:tc>
                <w:tcPr>
                  <w:tcW w:w="1250" w:type="pct"/>
                  <w:shd w:val="clear" w:color="auto" w:fill="auto"/>
                  <w:vAlign w:val="center"/>
                </w:tcPr>
                <w:p w14:paraId="3642B18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5A5918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Merge w:val="continue"/>
                  <w:shd w:val="clear" w:color="auto" w:fill="auto"/>
                  <w:vAlign w:val="center"/>
                </w:tcPr>
                <w:p w14:paraId="0A44C50D">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p>
              </w:tc>
              <w:tc>
                <w:tcPr>
                  <w:tcW w:w="1250" w:type="pct"/>
                  <w:shd w:val="clear" w:color="auto" w:fill="auto"/>
                  <w:vAlign w:val="center"/>
                </w:tcPr>
                <w:p w14:paraId="65200194">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动植物油（mg/L）</w:t>
                  </w:r>
                </w:p>
              </w:tc>
              <w:tc>
                <w:tcPr>
                  <w:tcW w:w="1250" w:type="pct"/>
                  <w:shd w:val="clear" w:color="auto" w:fill="auto"/>
                  <w:vAlign w:val="center"/>
                </w:tcPr>
                <w:p w14:paraId="29C408B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ND</w:t>
                  </w:r>
                </w:p>
              </w:tc>
              <w:tc>
                <w:tcPr>
                  <w:tcW w:w="1250" w:type="pct"/>
                  <w:shd w:val="clear" w:color="auto" w:fill="auto"/>
                  <w:vAlign w:val="center"/>
                </w:tcPr>
                <w:p w14:paraId="5DA37D96">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42E900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Merge w:val="restart"/>
                  <w:vAlign w:val="center"/>
                </w:tcPr>
                <w:p w14:paraId="51EBBAE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有组织废气</w:t>
                  </w:r>
                </w:p>
              </w:tc>
              <w:tc>
                <w:tcPr>
                  <w:tcW w:w="1250" w:type="pct"/>
                  <w:vAlign w:val="center"/>
                </w:tcPr>
                <w:p w14:paraId="53929DFC">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颗粒物（mg/m</w:t>
                  </w:r>
                  <w:r>
                    <w:rPr>
                      <w:rFonts w:hint="eastAsia" w:ascii="Times New Roman" w:hAnsi="Times New Roman" w:eastAsia="宋体" w:cs="Times New Roman"/>
                      <w:color w:val="auto"/>
                      <w:highlight w:val="none"/>
                      <w:vertAlign w:val="superscript"/>
                    </w:rPr>
                    <w:t>3</w:t>
                  </w:r>
                  <w:r>
                    <w:rPr>
                      <w:rFonts w:hint="eastAsia" w:ascii="Times New Roman" w:hAnsi="Times New Roman" w:eastAsia="宋体" w:cs="Times New Roman"/>
                      <w:color w:val="auto"/>
                      <w:highlight w:val="none"/>
                    </w:rPr>
                    <w:t>）</w:t>
                  </w:r>
                </w:p>
              </w:tc>
              <w:tc>
                <w:tcPr>
                  <w:tcW w:w="1250" w:type="pct"/>
                  <w:vAlign w:val="center"/>
                </w:tcPr>
                <w:p w14:paraId="26996D7D">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ND</w:t>
                  </w:r>
                </w:p>
              </w:tc>
              <w:tc>
                <w:tcPr>
                  <w:tcW w:w="1250" w:type="pct"/>
                  <w:vAlign w:val="center"/>
                </w:tcPr>
                <w:p w14:paraId="21C8FA8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642AB4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Merge w:val="continue"/>
                  <w:vAlign w:val="center"/>
                </w:tcPr>
                <w:p w14:paraId="0BB1855A">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p>
              </w:tc>
              <w:tc>
                <w:tcPr>
                  <w:tcW w:w="1250" w:type="pct"/>
                  <w:vAlign w:val="center"/>
                </w:tcPr>
                <w:p w14:paraId="201D2E9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氨（mg/m</w:t>
                  </w:r>
                  <w:r>
                    <w:rPr>
                      <w:rFonts w:hint="eastAsia" w:ascii="Times New Roman" w:hAnsi="Times New Roman" w:eastAsia="宋体" w:cs="Times New Roman"/>
                      <w:color w:val="auto"/>
                      <w:highlight w:val="none"/>
                      <w:vertAlign w:val="superscript"/>
                    </w:rPr>
                    <w:t>3</w:t>
                  </w:r>
                  <w:r>
                    <w:rPr>
                      <w:rFonts w:hint="eastAsia" w:ascii="Times New Roman" w:hAnsi="Times New Roman" w:eastAsia="宋体" w:cs="Times New Roman"/>
                      <w:color w:val="auto"/>
                      <w:highlight w:val="none"/>
                    </w:rPr>
                    <w:t>）</w:t>
                  </w:r>
                </w:p>
              </w:tc>
              <w:tc>
                <w:tcPr>
                  <w:tcW w:w="1250" w:type="pct"/>
                  <w:vAlign w:val="center"/>
                </w:tcPr>
                <w:p w14:paraId="1733183A">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ND</w:t>
                  </w:r>
                </w:p>
              </w:tc>
              <w:tc>
                <w:tcPr>
                  <w:tcW w:w="1250" w:type="pct"/>
                  <w:vAlign w:val="center"/>
                </w:tcPr>
                <w:p w14:paraId="299F49F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0F674E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248" w:type="pct"/>
                  <w:vAlign w:val="center"/>
                </w:tcPr>
                <w:p w14:paraId="12DABA0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无组织废气</w:t>
                  </w:r>
                </w:p>
              </w:tc>
              <w:tc>
                <w:tcPr>
                  <w:tcW w:w="1250" w:type="pct"/>
                  <w:vAlign w:val="center"/>
                </w:tcPr>
                <w:p w14:paraId="143F21AA">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颗粒物（mg/m</w:t>
                  </w:r>
                  <w:r>
                    <w:rPr>
                      <w:rFonts w:hint="eastAsia" w:ascii="Times New Roman" w:hAnsi="Times New Roman" w:eastAsia="宋体" w:cs="Times New Roman"/>
                      <w:color w:val="auto"/>
                      <w:highlight w:val="none"/>
                      <w:vertAlign w:val="superscript"/>
                    </w:rPr>
                    <w:t>3</w:t>
                  </w:r>
                  <w:r>
                    <w:rPr>
                      <w:rFonts w:hint="eastAsia" w:ascii="Times New Roman" w:hAnsi="Times New Roman" w:eastAsia="宋体" w:cs="Times New Roman"/>
                      <w:color w:val="auto"/>
                      <w:highlight w:val="none"/>
                    </w:rPr>
                    <w:t>）</w:t>
                  </w:r>
                </w:p>
              </w:tc>
              <w:tc>
                <w:tcPr>
                  <w:tcW w:w="1250" w:type="pct"/>
                  <w:vAlign w:val="center"/>
                </w:tcPr>
                <w:p w14:paraId="66FFF41F">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ND</w:t>
                  </w:r>
                </w:p>
              </w:tc>
              <w:tc>
                <w:tcPr>
                  <w:tcW w:w="1250" w:type="pct"/>
                  <w:vAlign w:val="center"/>
                </w:tcPr>
                <w:p w14:paraId="3E2360C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bl>
          <w:p w14:paraId="57606463">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平行样检测结果统计表</w:t>
            </w:r>
          </w:p>
          <w:tbl>
            <w:tblPr>
              <w:tblStyle w:val="29"/>
              <w:tblW w:w="499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925"/>
              <w:gridCol w:w="1675"/>
              <w:gridCol w:w="1733"/>
              <w:gridCol w:w="950"/>
              <w:gridCol w:w="950"/>
              <w:gridCol w:w="1111"/>
              <w:gridCol w:w="1001"/>
              <w:gridCol w:w="709"/>
            </w:tblGrid>
            <w:tr w14:paraId="27653A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511" w:type="pct"/>
                  <w:tcBorders>
                    <w:bottom w:val="single" w:color="auto" w:sz="12" w:space="0"/>
                  </w:tcBorders>
                  <w:shd w:val="clear" w:color="auto" w:fill="auto"/>
                  <w:vAlign w:val="center"/>
                </w:tcPr>
                <w:p w14:paraId="0ABD84CF">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样品类型</w:t>
                  </w:r>
                </w:p>
              </w:tc>
              <w:tc>
                <w:tcPr>
                  <w:tcW w:w="924" w:type="pct"/>
                  <w:tcBorders>
                    <w:bottom w:val="single" w:color="auto" w:sz="12" w:space="0"/>
                  </w:tcBorders>
                  <w:shd w:val="clear" w:color="auto" w:fill="auto"/>
                  <w:vAlign w:val="center"/>
                </w:tcPr>
                <w:p w14:paraId="0702D893">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检测项目</w:t>
                  </w:r>
                </w:p>
              </w:tc>
              <w:tc>
                <w:tcPr>
                  <w:tcW w:w="956" w:type="pct"/>
                  <w:tcBorders>
                    <w:bottom w:val="single" w:color="auto" w:sz="12" w:space="0"/>
                  </w:tcBorders>
                  <w:shd w:val="clear" w:color="auto" w:fill="auto"/>
                  <w:vAlign w:val="center"/>
                </w:tcPr>
                <w:p w14:paraId="3EC49F3A">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实验室编号</w:t>
                  </w:r>
                </w:p>
              </w:tc>
              <w:tc>
                <w:tcPr>
                  <w:tcW w:w="524" w:type="pct"/>
                  <w:tcBorders>
                    <w:bottom w:val="single" w:color="auto" w:sz="12" w:space="0"/>
                  </w:tcBorders>
                  <w:shd w:val="clear" w:color="auto" w:fill="auto"/>
                  <w:vAlign w:val="center"/>
                </w:tcPr>
                <w:p w14:paraId="5D3D7907">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样品结果</w:t>
                  </w:r>
                </w:p>
              </w:tc>
              <w:tc>
                <w:tcPr>
                  <w:tcW w:w="524" w:type="pct"/>
                  <w:tcBorders>
                    <w:bottom w:val="single" w:color="auto" w:sz="12" w:space="0"/>
                  </w:tcBorders>
                  <w:shd w:val="clear" w:color="auto" w:fill="auto"/>
                  <w:vAlign w:val="center"/>
                </w:tcPr>
                <w:p w14:paraId="595B10C8">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平行结果</w:t>
                  </w:r>
                </w:p>
              </w:tc>
              <w:tc>
                <w:tcPr>
                  <w:tcW w:w="613" w:type="pct"/>
                  <w:tcBorders>
                    <w:bottom w:val="single" w:color="auto" w:sz="12" w:space="0"/>
                  </w:tcBorders>
                  <w:shd w:val="clear" w:color="auto" w:fill="auto"/>
                  <w:vAlign w:val="center"/>
                </w:tcPr>
                <w:p w14:paraId="267E68E1">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样品相对偏差（%）</w:t>
                  </w:r>
                </w:p>
              </w:tc>
              <w:tc>
                <w:tcPr>
                  <w:tcW w:w="552" w:type="pct"/>
                  <w:tcBorders>
                    <w:bottom w:val="single" w:color="auto" w:sz="12" w:space="0"/>
                  </w:tcBorders>
                  <w:shd w:val="clear" w:color="auto" w:fill="auto"/>
                  <w:vAlign w:val="center"/>
                </w:tcPr>
                <w:p w14:paraId="2168897B">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允许相对偏差（%）</w:t>
                  </w:r>
                </w:p>
              </w:tc>
              <w:tc>
                <w:tcPr>
                  <w:tcW w:w="391" w:type="pct"/>
                  <w:tcBorders>
                    <w:bottom w:val="single" w:color="auto" w:sz="12" w:space="0"/>
                  </w:tcBorders>
                  <w:shd w:val="clear" w:color="auto" w:fill="auto"/>
                  <w:vAlign w:val="center"/>
                </w:tcPr>
                <w:p w14:paraId="571BCBB2">
                  <w:pPr>
                    <w:pStyle w:val="129"/>
                    <w:keepNext w:val="0"/>
                    <w:keepLines w:val="0"/>
                    <w:pageBreakBefore w:val="0"/>
                    <w:widowControl w:val="0"/>
                    <w:kinsoku/>
                    <w:wordWrap/>
                    <w:overflowPunct/>
                    <w:topLinePunct w:val="0"/>
                    <w:autoSpaceDE/>
                    <w:autoSpaceDN/>
                    <w:bidi w:val="0"/>
                    <w:adjustRightInd/>
                    <w:snapToGrid/>
                    <w:jc w:val="center"/>
                    <w:textAlignment w:val="auto"/>
                    <w:rPr>
                      <w:rFonts w:hint="eastAsia" w:eastAsia="宋体"/>
                      <w:b/>
                      <w:bCs/>
                      <w:color w:val="auto"/>
                      <w:highlight w:val="none"/>
                    </w:rPr>
                  </w:pPr>
                  <w:r>
                    <w:rPr>
                      <w:rFonts w:hint="eastAsia" w:eastAsia="宋体"/>
                      <w:b/>
                      <w:bCs/>
                      <w:color w:val="auto"/>
                      <w:highlight w:val="none"/>
                    </w:rPr>
                    <w:t>评价</w:t>
                  </w:r>
                </w:p>
              </w:tc>
            </w:tr>
            <w:tr w14:paraId="5E3180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11" w:type="pct"/>
                  <w:vMerge w:val="restart"/>
                  <w:shd w:val="clear" w:color="auto" w:fill="auto"/>
                  <w:vAlign w:val="center"/>
                </w:tcPr>
                <w:p w14:paraId="31B7C02F">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sz w:val="18"/>
                      <w:szCs w:val="18"/>
                    </w:rPr>
                    <w:t>废水</w:t>
                  </w:r>
                </w:p>
              </w:tc>
              <w:tc>
                <w:tcPr>
                  <w:tcW w:w="924" w:type="pct"/>
                  <w:shd w:val="clear" w:color="auto" w:fill="auto"/>
                  <w:vAlign w:val="center"/>
                </w:tcPr>
                <w:p w14:paraId="436E616A">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氨氮（mg/L）</w:t>
                  </w:r>
                </w:p>
              </w:tc>
              <w:tc>
                <w:tcPr>
                  <w:tcW w:w="956" w:type="pct"/>
                  <w:shd w:val="clear" w:color="auto" w:fill="auto"/>
                  <w:vAlign w:val="center"/>
                </w:tcPr>
                <w:p w14:paraId="6494DA2A">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B-241210FS0010101</w:t>
                  </w:r>
                </w:p>
              </w:tc>
              <w:tc>
                <w:tcPr>
                  <w:tcW w:w="524" w:type="pct"/>
                  <w:shd w:val="clear" w:color="auto" w:fill="auto"/>
                  <w:vAlign w:val="center"/>
                </w:tcPr>
                <w:p w14:paraId="608EDBB0">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0.041</w:t>
                  </w:r>
                </w:p>
              </w:tc>
              <w:tc>
                <w:tcPr>
                  <w:tcW w:w="524" w:type="pct"/>
                  <w:shd w:val="clear" w:color="auto" w:fill="auto"/>
                  <w:vAlign w:val="center"/>
                </w:tcPr>
                <w:p w14:paraId="4C4B690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0.039</w:t>
                  </w:r>
                </w:p>
              </w:tc>
              <w:tc>
                <w:tcPr>
                  <w:tcW w:w="613" w:type="pct"/>
                  <w:shd w:val="clear" w:color="auto" w:fill="auto"/>
                  <w:vAlign w:val="center"/>
                </w:tcPr>
                <w:p w14:paraId="1C9AEE7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2.5</w:t>
                  </w:r>
                </w:p>
              </w:tc>
              <w:tc>
                <w:tcPr>
                  <w:tcW w:w="552" w:type="pct"/>
                  <w:shd w:val="clear" w:color="auto" w:fill="auto"/>
                  <w:vAlign w:val="center"/>
                </w:tcPr>
                <w:p w14:paraId="5649C06E">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w:t>
                  </w:r>
                </w:p>
              </w:tc>
              <w:tc>
                <w:tcPr>
                  <w:tcW w:w="391" w:type="pct"/>
                  <w:shd w:val="clear" w:color="auto" w:fill="auto"/>
                  <w:vAlign w:val="center"/>
                </w:tcPr>
                <w:p w14:paraId="29A95500">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r w14:paraId="4F4ED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11" w:type="pct"/>
                  <w:vMerge w:val="continue"/>
                  <w:shd w:val="clear" w:color="auto" w:fill="auto"/>
                  <w:vAlign w:val="center"/>
                </w:tcPr>
                <w:p w14:paraId="3C02F30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kern w:val="2"/>
                      <w:sz w:val="18"/>
                      <w:szCs w:val="18"/>
                      <w:lang w:val="en-US" w:eastAsia="zh-CN" w:bidi="ar-SA"/>
                    </w:rPr>
                  </w:pPr>
                </w:p>
              </w:tc>
              <w:tc>
                <w:tcPr>
                  <w:tcW w:w="924" w:type="pct"/>
                  <w:shd w:val="clear" w:color="auto" w:fill="auto"/>
                  <w:vAlign w:val="center"/>
                </w:tcPr>
                <w:p w14:paraId="5367A3A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五日生化需氧量（mg/L）</w:t>
                  </w:r>
                </w:p>
              </w:tc>
              <w:tc>
                <w:tcPr>
                  <w:tcW w:w="956" w:type="pct"/>
                  <w:shd w:val="clear" w:color="auto" w:fill="auto"/>
                  <w:vAlign w:val="center"/>
                </w:tcPr>
                <w:p w14:paraId="27C47E7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B-241210FS0010402</w:t>
                  </w:r>
                </w:p>
              </w:tc>
              <w:tc>
                <w:tcPr>
                  <w:tcW w:w="524" w:type="pct"/>
                  <w:shd w:val="clear" w:color="auto" w:fill="auto"/>
                  <w:vAlign w:val="center"/>
                </w:tcPr>
                <w:p w14:paraId="41366C80">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2.8</w:t>
                  </w:r>
                </w:p>
              </w:tc>
              <w:tc>
                <w:tcPr>
                  <w:tcW w:w="524" w:type="pct"/>
                  <w:shd w:val="clear" w:color="auto" w:fill="auto"/>
                  <w:vAlign w:val="center"/>
                </w:tcPr>
                <w:p w14:paraId="1A1A424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2.5</w:t>
                  </w:r>
                </w:p>
              </w:tc>
              <w:tc>
                <w:tcPr>
                  <w:tcW w:w="613" w:type="pct"/>
                  <w:shd w:val="clear" w:color="auto" w:fill="auto"/>
                  <w:vAlign w:val="center"/>
                </w:tcPr>
                <w:p w14:paraId="2DB516E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w:t>
                  </w:r>
                </w:p>
              </w:tc>
              <w:tc>
                <w:tcPr>
                  <w:tcW w:w="552" w:type="pct"/>
                  <w:shd w:val="clear" w:color="auto" w:fill="auto"/>
                  <w:vAlign w:val="center"/>
                </w:tcPr>
                <w:p w14:paraId="44781599">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w:t>
                  </w:r>
                </w:p>
              </w:tc>
              <w:tc>
                <w:tcPr>
                  <w:tcW w:w="391" w:type="pct"/>
                  <w:shd w:val="clear" w:color="auto" w:fill="auto"/>
                  <w:vAlign w:val="center"/>
                </w:tcPr>
                <w:p w14:paraId="67DD5CC5">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r w14:paraId="1D3E9B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11" w:type="pct"/>
                  <w:vMerge w:val="continue"/>
                  <w:shd w:val="clear" w:color="auto" w:fill="auto"/>
                  <w:vAlign w:val="center"/>
                </w:tcPr>
                <w:p w14:paraId="261F16BE">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kern w:val="2"/>
                      <w:sz w:val="18"/>
                      <w:szCs w:val="18"/>
                      <w:lang w:val="en-US" w:eastAsia="zh-CN" w:bidi="ar-SA"/>
                    </w:rPr>
                  </w:pPr>
                </w:p>
              </w:tc>
              <w:tc>
                <w:tcPr>
                  <w:tcW w:w="924" w:type="pct"/>
                  <w:shd w:val="clear" w:color="auto" w:fill="auto"/>
                  <w:vAlign w:val="center"/>
                </w:tcPr>
                <w:p w14:paraId="275E5998">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化学需氧量</w:t>
                  </w:r>
                </w:p>
                <w:p w14:paraId="7918F54C">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（mg/L）</w:t>
                  </w:r>
                </w:p>
              </w:tc>
              <w:tc>
                <w:tcPr>
                  <w:tcW w:w="956" w:type="pct"/>
                  <w:shd w:val="clear" w:color="auto" w:fill="auto"/>
                  <w:vAlign w:val="center"/>
                </w:tcPr>
                <w:p w14:paraId="469A9C54">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B-241210FS0010101</w:t>
                  </w:r>
                </w:p>
              </w:tc>
              <w:tc>
                <w:tcPr>
                  <w:tcW w:w="524" w:type="pct"/>
                  <w:shd w:val="clear" w:color="auto" w:fill="auto"/>
                  <w:vAlign w:val="center"/>
                </w:tcPr>
                <w:p w14:paraId="1D58471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w:t>
                  </w:r>
                </w:p>
              </w:tc>
              <w:tc>
                <w:tcPr>
                  <w:tcW w:w="524" w:type="pct"/>
                  <w:shd w:val="clear" w:color="auto" w:fill="auto"/>
                  <w:vAlign w:val="center"/>
                </w:tcPr>
                <w:p w14:paraId="3E73532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w:t>
                  </w:r>
                </w:p>
              </w:tc>
              <w:tc>
                <w:tcPr>
                  <w:tcW w:w="613" w:type="pct"/>
                  <w:shd w:val="clear" w:color="auto" w:fill="auto"/>
                  <w:vAlign w:val="center"/>
                </w:tcPr>
                <w:p w14:paraId="4A365D64">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0.0</w:t>
                  </w:r>
                </w:p>
              </w:tc>
              <w:tc>
                <w:tcPr>
                  <w:tcW w:w="552" w:type="pct"/>
                  <w:shd w:val="clear" w:color="auto" w:fill="auto"/>
                  <w:vAlign w:val="center"/>
                </w:tcPr>
                <w:p w14:paraId="7FCDD000">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391" w:type="pct"/>
                  <w:shd w:val="clear" w:color="auto" w:fill="auto"/>
                  <w:vAlign w:val="center"/>
                </w:tcPr>
                <w:p w14:paraId="782F9A6F">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bl>
          <w:p w14:paraId="7EF0BC7E">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有证标准样品分析检测结果统计表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49"/>
              <w:gridCol w:w="1908"/>
              <w:gridCol w:w="2087"/>
              <w:gridCol w:w="1221"/>
              <w:gridCol w:w="1612"/>
              <w:gridCol w:w="893"/>
            </w:tblGrid>
            <w:tr w14:paraId="0B93FA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743" w:type="pct"/>
                  <w:tcBorders>
                    <w:bottom w:val="single" w:color="auto" w:sz="12" w:space="0"/>
                  </w:tcBorders>
                  <w:shd w:val="clear" w:color="auto" w:fill="auto"/>
                  <w:vAlign w:val="center"/>
                </w:tcPr>
                <w:p w14:paraId="7A12A8E2">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样品类型</w:t>
                  </w:r>
                </w:p>
              </w:tc>
              <w:tc>
                <w:tcPr>
                  <w:tcW w:w="1051" w:type="pct"/>
                  <w:tcBorders>
                    <w:bottom w:val="single" w:color="auto" w:sz="12" w:space="0"/>
                  </w:tcBorders>
                  <w:shd w:val="clear" w:color="auto" w:fill="auto"/>
                  <w:vAlign w:val="center"/>
                </w:tcPr>
                <w:p w14:paraId="0B2CE19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检</w:t>
                  </w:r>
                  <w:r>
                    <w:rPr>
                      <w:rFonts w:hint="default" w:ascii="Times New Roman" w:hAnsi="Times New Roman" w:eastAsia="宋体" w:cs="Times New Roman"/>
                      <w:b/>
                      <w:bCs/>
                      <w:sz w:val="18"/>
                      <w:szCs w:val="18"/>
                    </w:rPr>
                    <w:t>测项目</w:t>
                  </w:r>
                </w:p>
              </w:tc>
              <w:tc>
                <w:tcPr>
                  <w:tcW w:w="1150" w:type="pct"/>
                  <w:tcBorders>
                    <w:bottom w:val="single" w:color="auto" w:sz="12" w:space="0"/>
                  </w:tcBorders>
                  <w:shd w:val="clear" w:color="auto" w:fill="auto"/>
                  <w:vAlign w:val="center"/>
                </w:tcPr>
                <w:p w14:paraId="55420A7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标样</w:t>
                  </w:r>
                  <w:r>
                    <w:rPr>
                      <w:rFonts w:hint="default" w:ascii="Times New Roman" w:hAnsi="Times New Roman" w:eastAsia="宋体" w:cs="Times New Roman"/>
                      <w:b/>
                      <w:bCs/>
                      <w:sz w:val="18"/>
                      <w:szCs w:val="18"/>
                    </w:rPr>
                    <w:t>编号</w:t>
                  </w:r>
                </w:p>
              </w:tc>
              <w:tc>
                <w:tcPr>
                  <w:tcW w:w="673" w:type="pct"/>
                  <w:tcBorders>
                    <w:bottom w:val="single" w:color="auto" w:sz="12" w:space="0"/>
                  </w:tcBorders>
                  <w:shd w:val="clear" w:color="auto" w:fill="auto"/>
                  <w:vAlign w:val="center"/>
                </w:tcPr>
                <w:p w14:paraId="4C0DBF4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检</w:t>
                  </w:r>
                  <w:r>
                    <w:rPr>
                      <w:rFonts w:hint="default" w:ascii="Times New Roman" w:hAnsi="Times New Roman" w:eastAsia="宋体" w:cs="Times New Roman"/>
                      <w:b/>
                      <w:bCs/>
                      <w:sz w:val="18"/>
                      <w:szCs w:val="18"/>
                    </w:rPr>
                    <w:t>测结果</w:t>
                  </w:r>
                </w:p>
              </w:tc>
              <w:tc>
                <w:tcPr>
                  <w:tcW w:w="888" w:type="pct"/>
                  <w:tcBorders>
                    <w:bottom w:val="single" w:color="auto" w:sz="12" w:space="0"/>
                  </w:tcBorders>
                  <w:shd w:val="clear" w:color="auto" w:fill="auto"/>
                  <w:vAlign w:val="center"/>
                </w:tcPr>
                <w:p w14:paraId="48BD36E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标准值</w:t>
                  </w:r>
                </w:p>
              </w:tc>
              <w:tc>
                <w:tcPr>
                  <w:tcW w:w="492" w:type="pct"/>
                  <w:tcBorders>
                    <w:bottom w:val="single" w:color="auto" w:sz="12" w:space="0"/>
                  </w:tcBorders>
                  <w:shd w:val="clear" w:color="auto" w:fill="auto"/>
                  <w:vAlign w:val="center"/>
                </w:tcPr>
                <w:p w14:paraId="5900E184">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评价</w:t>
                  </w:r>
                </w:p>
              </w:tc>
            </w:tr>
            <w:tr w14:paraId="17315E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743" w:type="pct"/>
                  <w:vMerge w:val="restart"/>
                  <w:tcBorders>
                    <w:top w:val="single" w:color="auto" w:sz="12" w:space="0"/>
                    <w:tl2br w:val="nil"/>
                    <w:tr2bl w:val="nil"/>
                  </w:tcBorders>
                  <w:shd w:val="clear" w:color="auto" w:fill="auto"/>
                  <w:vAlign w:val="center"/>
                </w:tcPr>
                <w:p w14:paraId="1E363C4D">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rPr>
                    <w:t>废水</w:t>
                  </w:r>
                </w:p>
              </w:tc>
              <w:tc>
                <w:tcPr>
                  <w:tcW w:w="1051" w:type="pct"/>
                  <w:tcBorders>
                    <w:top w:val="single" w:color="auto" w:sz="12" w:space="0"/>
                    <w:tl2br w:val="nil"/>
                    <w:tr2bl w:val="nil"/>
                  </w:tcBorders>
                  <w:shd w:val="clear" w:color="auto" w:fill="auto"/>
                  <w:vAlign w:val="center"/>
                </w:tcPr>
                <w:p w14:paraId="00F480D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动植物油（mg/L）</w:t>
                  </w:r>
                </w:p>
              </w:tc>
              <w:tc>
                <w:tcPr>
                  <w:tcW w:w="1150" w:type="pct"/>
                  <w:tcBorders>
                    <w:top w:val="single" w:color="auto" w:sz="12" w:space="0"/>
                    <w:tl2br w:val="nil"/>
                    <w:tr2bl w:val="nil"/>
                  </w:tcBorders>
                  <w:shd w:val="clear" w:color="auto" w:fill="auto"/>
                  <w:vAlign w:val="center"/>
                </w:tcPr>
                <w:p w14:paraId="530EABC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337210</w:t>
                  </w:r>
                </w:p>
              </w:tc>
              <w:tc>
                <w:tcPr>
                  <w:tcW w:w="673" w:type="pct"/>
                  <w:tcBorders>
                    <w:top w:val="single" w:color="auto" w:sz="12" w:space="0"/>
                    <w:tl2br w:val="nil"/>
                    <w:tr2bl w:val="nil"/>
                  </w:tcBorders>
                  <w:shd w:val="clear" w:color="auto" w:fill="auto"/>
                  <w:vAlign w:val="center"/>
                </w:tcPr>
                <w:p w14:paraId="40EA2C9F">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34.1</w:t>
                  </w:r>
                </w:p>
              </w:tc>
              <w:tc>
                <w:tcPr>
                  <w:tcW w:w="888" w:type="pct"/>
                  <w:tcBorders>
                    <w:top w:val="single" w:color="auto" w:sz="12" w:space="0"/>
                  </w:tcBorders>
                  <w:shd w:val="clear" w:color="auto" w:fill="auto"/>
                  <w:vAlign w:val="center"/>
                </w:tcPr>
                <w:p w14:paraId="7EBE988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34.7±2.5</w:t>
                  </w:r>
                </w:p>
              </w:tc>
              <w:tc>
                <w:tcPr>
                  <w:tcW w:w="492" w:type="pct"/>
                  <w:tcBorders>
                    <w:top w:val="single" w:color="auto" w:sz="12" w:space="0"/>
                    <w:tl2br w:val="nil"/>
                    <w:tr2bl w:val="nil"/>
                  </w:tcBorders>
                  <w:shd w:val="clear" w:color="auto" w:fill="auto"/>
                  <w:vAlign w:val="center"/>
                </w:tcPr>
                <w:p w14:paraId="2F47247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628BF6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743" w:type="pct"/>
                  <w:vMerge w:val="continue"/>
                  <w:tcBorders>
                    <w:tl2br w:val="nil"/>
                    <w:tr2bl w:val="nil"/>
                  </w:tcBorders>
                  <w:shd w:val="clear" w:color="auto" w:fill="auto"/>
                  <w:vAlign w:val="center"/>
                </w:tcPr>
                <w:p w14:paraId="621EFDD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lang w:val="en-US" w:eastAsia="zh-CN"/>
                    </w:rPr>
                  </w:pPr>
                </w:p>
              </w:tc>
              <w:tc>
                <w:tcPr>
                  <w:tcW w:w="1051" w:type="pct"/>
                  <w:tcBorders>
                    <w:tl2br w:val="nil"/>
                    <w:tr2bl w:val="nil"/>
                  </w:tcBorders>
                  <w:shd w:val="clear" w:color="auto" w:fill="auto"/>
                  <w:vAlign w:val="center"/>
                </w:tcPr>
                <w:p w14:paraId="21F3A7ED">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氨氮（mg/L）</w:t>
                  </w:r>
                </w:p>
              </w:tc>
              <w:tc>
                <w:tcPr>
                  <w:tcW w:w="1150" w:type="pct"/>
                  <w:tcBorders>
                    <w:tl2br w:val="nil"/>
                    <w:tr2bl w:val="nil"/>
                  </w:tcBorders>
                  <w:shd w:val="clear" w:color="auto" w:fill="auto"/>
                  <w:vAlign w:val="center"/>
                </w:tcPr>
                <w:p w14:paraId="0338521E">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2005197</w:t>
                  </w:r>
                </w:p>
              </w:tc>
              <w:tc>
                <w:tcPr>
                  <w:tcW w:w="673" w:type="pct"/>
                  <w:tcBorders>
                    <w:tl2br w:val="nil"/>
                    <w:tr2bl w:val="nil"/>
                  </w:tcBorders>
                  <w:shd w:val="clear" w:color="auto" w:fill="auto"/>
                  <w:vAlign w:val="center"/>
                </w:tcPr>
                <w:p w14:paraId="5F9048D7">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0.853</w:t>
                  </w:r>
                </w:p>
              </w:tc>
              <w:tc>
                <w:tcPr>
                  <w:tcW w:w="888" w:type="pct"/>
                  <w:shd w:val="clear" w:color="auto" w:fill="auto"/>
                  <w:vAlign w:val="center"/>
                </w:tcPr>
                <w:p w14:paraId="114535E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0.868±0.035</w:t>
                  </w:r>
                </w:p>
              </w:tc>
              <w:tc>
                <w:tcPr>
                  <w:tcW w:w="492" w:type="pct"/>
                  <w:tcBorders>
                    <w:tl2br w:val="nil"/>
                    <w:tr2bl w:val="nil"/>
                  </w:tcBorders>
                  <w:shd w:val="clear" w:color="auto" w:fill="auto"/>
                  <w:vAlign w:val="center"/>
                </w:tcPr>
                <w:p w14:paraId="7CC59E67">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5EFC6E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743" w:type="pct"/>
                  <w:vMerge w:val="continue"/>
                  <w:tcBorders>
                    <w:tl2br w:val="nil"/>
                    <w:tr2bl w:val="nil"/>
                  </w:tcBorders>
                  <w:shd w:val="clear" w:color="auto" w:fill="auto"/>
                  <w:vAlign w:val="center"/>
                </w:tcPr>
                <w:p w14:paraId="1BF1191E">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lang w:val="en-US" w:eastAsia="zh-CN"/>
                    </w:rPr>
                  </w:pPr>
                </w:p>
              </w:tc>
              <w:tc>
                <w:tcPr>
                  <w:tcW w:w="1051" w:type="pct"/>
                  <w:tcBorders>
                    <w:tl2br w:val="nil"/>
                    <w:tr2bl w:val="nil"/>
                  </w:tcBorders>
                  <w:shd w:val="clear" w:color="auto" w:fill="auto"/>
                  <w:vAlign w:val="center"/>
                </w:tcPr>
                <w:p w14:paraId="2B62B339">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化学需氧量（mg/L）</w:t>
                  </w:r>
                </w:p>
              </w:tc>
              <w:tc>
                <w:tcPr>
                  <w:tcW w:w="1150" w:type="pct"/>
                  <w:tcBorders>
                    <w:tl2br w:val="nil"/>
                    <w:tr2bl w:val="nil"/>
                  </w:tcBorders>
                  <w:shd w:val="clear" w:color="auto" w:fill="auto"/>
                  <w:vAlign w:val="center"/>
                </w:tcPr>
                <w:p w14:paraId="59F83186">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2001181</w:t>
                  </w:r>
                </w:p>
              </w:tc>
              <w:tc>
                <w:tcPr>
                  <w:tcW w:w="673" w:type="pct"/>
                  <w:tcBorders>
                    <w:tl2br w:val="nil"/>
                    <w:tr2bl w:val="nil"/>
                  </w:tcBorders>
                  <w:shd w:val="clear" w:color="auto" w:fill="auto"/>
                  <w:vAlign w:val="center"/>
                </w:tcPr>
                <w:p w14:paraId="2173F5C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28.6</w:t>
                  </w:r>
                </w:p>
              </w:tc>
              <w:tc>
                <w:tcPr>
                  <w:tcW w:w="888" w:type="pct"/>
                  <w:shd w:val="clear" w:color="auto" w:fill="auto"/>
                  <w:vAlign w:val="center"/>
                </w:tcPr>
                <w:p w14:paraId="6437AD4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28.2±2.7</w:t>
                  </w:r>
                </w:p>
              </w:tc>
              <w:tc>
                <w:tcPr>
                  <w:tcW w:w="492" w:type="pct"/>
                  <w:tcBorders>
                    <w:tl2br w:val="nil"/>
                    <w:tr2bl w:val="nil"/>
                  </w:tcBorders>
                  <w:shd w:val="clear" w:color="auto" w:fill="auto"/>
                  <w:vAlign w:val="center"/>
                </w:tcPr>
                <w:p w14:paraId="7C8A653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r w14:paraId="12F551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743" w:type="pct"/>
                  <w:tcBorders>
                    <w:tl2br w:val="nil"/>
                    <w:tr2bl w:val="nil"/>
                  </w:tcBorders>
                  <w:shd w:val="clear" w:color="auto" w:fill="auto"/>
                  <w:vAlign w:val="center"/>
                </w:tcPr>
                <w:p w14:paraId="79FCF08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rPr>
                  </w:pPr>
                  <w:r>
                    <w:rPr>
                      <w:rFonts w:hint="eastAsia" w:ascii="Times New Roman" w:hAnsi="Times New Roman" w:eastAsia="宋体" w:cs="Times New Roman"/>
                      <w:sz w:val="18"/>
                      <w:szCs w:val="18"/>
                    </w:rPr>
                    <w:t>有组织废气</w:t>
                  </w:r>
                </w:p>
              </w:tc>
              <w:tc>
                <w:tcPr>
                  <w:tcW w:w="1051" w:type="pct"/>
                  <w:tcBorders>
                    <w:tl2br w:val="nil"/>
                    <w:tr2bl w:val="nil"/>
                  </w:tcBorders>
                  <w:shd w:val="clear" w:color="auto" w:fill="auto"/>
                  <w:vAlign w:val="center"/>
                </w:tcPr>
                <w:p w14:paraId="65CD28A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氨（mg/m</w:t>
                  </w:r>
                  <w:r>
                    <w:rPr>
                      <w:rFonts w:hint="eastAsia" w:ascii="Times New Roman" w:hAnsi="Times New Roman" w:eastAsia="宋体" w:cs="Times New Roman"/>
                      <w:color w:val="auto"/>
                      <w:highlight w:val="none"/>
                      <w:vertAlign w:val="superscript"/>
                      <w:lang w:val="en-US" w:eastAsia="zh-CN"/>
                    </w:rPr>
                    <w:t>3</w:t>
                  </w:r>
                  <w:r>
                    <w:rPr>
                      <w:rFonts w:hint="eastAsia" w:ascii="Times New Roman" w:hAnsi="Times New Roman" w:eastAsia="宋体" w:cs="Times New Roman"/>
                      <w:color w:val="auto"/>
                      <w:highlight w:val="none"/>
                      <w:lang w:val="en-US" w:eastAsia="zh-CN"/>
                    </w:rPr>
                    <w:t>）</w:t>
                  </w:r>
                </w:p>
              </w:tc>
              <w:tc>
                <w:tcPr>
                  <w:tcW w:w="1150" w:type="pct"/>
                  <w:tcBorders>
                    <w:tl2br w:val="nil"/>
                    <w:tr2bl w:val="nil"/>
                  </w:tcBorders>
                  <w:shd w:val="clear" w:color="auto" w:fill="auto"/>
                  <w:vAlign w:val="center"/>
                </w:tcPr>
                <w:p w14:paraId="4814B6C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206916</w:t>
                  </w:r>
                </w:p>
              </w:tc>
              <w:tc>
                <w:tcPr>
                  <w:tcW w:w="673" w:type="pct"/>
                  <w:tcBorders>
                    <w:tl2br w:val="nil"/>
                    <w:tr2bl w:val="nil"/>
                  </w:tcBorders>
                  <w:shd w:val="clear" w:color="auto" w:fill="auto"/>
                  <w:vAlign w:val="center"/>
                </w:tcPr>
                <w:p w14:paraId="4E34469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1.63</w:t>
                  </w:r>
                </w:p>
              </w:tc>
              <w:tc>
                <w:tcPr>
                  <w:tcW w:w="888" w:type="pct"/>
                  <w:shd w:val="clear" w:color="auto" w:fill="auto"/>
                  <w:vAlign w:val="center"/>
                </w:tcPr>
                <w:p w14:paraId="425EC8A9">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1.58±0.12</w:t>
                  </w:r>
                </w:p>
              </w:tc>
              <w:tc>
                <w:tcPr>
                  <w:tcW w:w="492" w:type="pct"/>
                  <w:tcBorders>
                    <w:tl2br w:val="nil"/>
                    <w:tr2bl w:val="nil"/>
                  </w:tcBorders>
                  <w:shd w:val="clear" w:color="auto" w:fill="auto"/>
                  <w:vAlign w:val="center"/>
                </w:tcPr>
                <w:p w14:paraId="6F4730B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eastAsia="宋体"/>
                      <w:color w:val="auto"/>
                      <w:highlight w:val="none"/>
                      <w:lang w:eastAsia="zh-CN"/>
                    </w:rPr>
                    <w:t>合格</w:t>
                  </w:r>
                </w:p>
              </w:tc>
            </w:tr>
          </w:tbl>
          <w:p w14:paraId="1D1B2DEB">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标准曲线验证结果统计表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1756"/>
              <w:gridCol w:w="2373"/>
              <w:gridCol w:w="1916"/>
              <w:gridCol w:w="1290"/>
            </w:tblGrid>
            <w:tr w14:paraId="08A5B0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954" w:type="pct"/>
                  <w:tcBorders>
                    <w:bottom w:val="single" w:color="auto" w:sz="12" w:space="0"/>
                  </w:tcBorders>
                  <w:shd w:val="clear" w:color="auto" w:fill="auto"/>
                  <w:vAlign w:val="center"/>
                </w:tcPr>
                <w:p w14:paraId="27C172B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样品类型</w:t>
                  </w:r>
                </w:p>
              </w:tc>
              <w:tc>
                <w:tcPr>
                  <w:tcW w:w="968" w:type="pct"/>
                  <w:tcBorders>
                    <w:bottom w:val="single" w:color="auto" w:sz="12" w:space="0"/>
                  </w:tcBorders>
                  <w:shd w:val="clear" w:color="auto" w:fill="auto"/>
                  <w:vAlign w:val="center"/>
                </w:tcPr>
                <w:p w14:paraId="0162AA6F">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检测项目</w:t>
                  </w:r>
                </w:p>
              </w:tc>
              <w:tc>
                <w:tcPr>
                  <w:tcW w:w="1308" w:type="pct"/>
                  <w:tcBorders>
                    <w:bottom w:val="single" w:color="auto" w:sz="12" w:space="0"/>
                  </w:tcBorders>
                  <w:shd w:val="clear" w:color="auto" w:fill="auto"/>
                  <w:vAlign w:val="center"/>
                </w:tcPr>
                <w:p w14:paraId="72BA4E8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标准曲线中间点浓度相对误差（%）</w:t>
                  </w:r>
                </w:p>
              </w:tc>
              <w:tc>
                <w:tcPr>
                  <w:tcW w:w="1056" w:type="pct"/>
                  <w:tcBorders>
                    <w:bottom w:val="single" w:color="auto" w:sz="12" w:space="0"/>
                  </w:tcBorders>
                  <w:shd w:val="clear" w:color="auto" w:fill="auto"/>
                  <w:vAlign w:val="center"/>
                </w:tcPr>
                <w:p w14:paraId="7FE9113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允许相对误差（%）</w:t>
                  </w:r>
                </w:p>
              </w:tc>
              <w:tc>
                <w:tcPr>
                  <w:tcW w:w="711" w:type="pct"/>
                  <w:tcBorders>
                    <w:bottom w:val="single" w:color="auto" w:sz="12" w:space="0"/>
                  </w:tcBorders>
                  <w:shd w:val="clear" w:color="auto" w:fill="auto"/>
                  <w:vAlign w:val="center"/>
                </w:tcPr>
                <w:p w14:paraId="29302535">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rPr>
                  </w:pPr>
                  <w:r>
                    <w:rPr>
                      <w:rFonts w:hint="eastAsia" w:ascii="Times New Roman" w:hAnsi="Times New Roman" w:eastAsia="宋体" w:cs="Times New Roman"/>
                      <w:b/>
                      <w:bCs/>
                      <w:sz w:val="18"/>
                      <w:szCs w:val="18"/>
                    </w:rPr>
                    <w:t>评价</w:t>
                  </w:r>
                </w:p>
              </w:tc>
            </w:tr>
            <w:tr w14:paraId="6056BC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54" w:type="pct"/>
                  <w:vMerge w:val="restart"/>
                  <w:tcBorders>
                    <w:top w:val="single" w:color="auto" w:sz="12" w:space="0"/>
                  </w:tcBorders>
                  <w:shd w:val="clear" w:color="auto" w:fill="auto"/>
                  <w:vAlign w:val="center"/>
                </w:tcPr>
                <w:p w14:paraId="60AF6E6C">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rPr>
                  </w:pPr>
                  <w:r>
                    <w:rPr>
                      <w:rFonts w:hint="eastAsia" w:ascii="Times New Roman" w:hAnsi="Times New Roman" w:eastAsia="宋体" w:cs="Times New Roman"/>
                      <w:sz w:val="18"/>
                      <w:szCs w:val="18"/>
                    </w:rPr>
                    <w:t>废水</w:t>
                  </w:r>
                </w:p>
              </w:tc>
              <w:tc>
                <w:tcPr>
                  <w:tcW w:w="968" w:type="pct"/>
                  <w:tcBorders>
                    <w:top w:val="single" w:color="auto" w:sz="12" w:space="0"/>
                  </w:tcBorders>
                  <w:shd w:val="clear" w:color="auto" w:fill="auto"/>
                  <w:vAlign w:val="center"/>
                </w:tcPr>
                <w:p w14:paraId="0678E84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动植物油</w:t>
                  </w:r>
                </w:p>
              </w:tc>
              <w:tc>
                <w:tcPr>
                  <w:tcW w:w="1308" w:type="pct"/>
                  <w:tcBorders>
                    <w:top w:val="single" w:color="auto" w:sz="12" w:space="0"/>
                  </w:tcBorders>
                  <w:shd w:val="clear" w:color="auto" w:fill="auto"/>
                  <w:vAlign w:val="center"/>
                </w:tcPr>
                <w:p w14:paraId="78956F99">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4.0</w:t>
                  </w:r>
                </w:p>
              </w:tc>
              <w:tc>
                <w:tcPr>
                  <w:tcW w:w="1056" w:type="pct"/>
                  <w:tcBorders>
                    <w:top w:val="single" w:color="auto" w:sz="12" w:space="0"/>
                  </w:tcBorders>
                  <w:shd w:val="clear" w:color="auto" w:fill="auto"/>
                  <w:vAlign w:val="center"/>
                </w:tcPr>
                <w:p w14:paraId="7BBB581D">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711" w:type="pct"/>
                  <w:tcBorders>
                    <w:top w:val="single" w:color="auto" w:sz="12" w:space="0"/>
                  </w:tcBorders>
                  <w:shd w:val="clear" w:color="auto" w:fill="auto"/>
                  <w:vAlign w:val="center"/>
                </w:tcPr>
                <w:p w14:paraId="4322C465">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r w14:paraId="043740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54" w:type="pct"/>
                  <w:vMerge w:val="continue"/>
                  <w:shd w:val="clear" w:color="auto" w:fill="auto"/>
                  <w:vAlign w:val="center"/>
                </w:tcPr>
                <w:p w14:paraId="272C810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rPr>
                  </w:pPr>
                </w:p>
              </w:tc>
              <w:tc>
                <w:tcPr>
                  <w:tcW w:w="968" w:type="pct"/>
                  <w:shd w:val="clear" w:color="auto" w:fill="auto"/>
                  <w:vAlign w:val="center"/>
                </w:tcPr>
                <w:p w14:paraId="48659A96">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氨氮</w:t>
                  </w:r>
                </w:p>
              </w:tc>
              <w:tc>
                <w:tcPr>
                  <w:tcW w:w="1308" w:type="pct"/>
                  <w:shd w:val="clear" w:color="auto" w:fill="auto"/>
                  <w:vAlign w:val="center"/>
                </w:tcPr>
                <w:p w14:paraId="1859396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1056" w:type="pct"/>
                  <w:shd w:val="clear" w:color="auto" w:fill="auto"/>
                  <w:vAlign w:val="center"/>
                </w:tcPr>
                <w:p w14:paraId="19968671">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711" w:type="pct"/>
                  <w:shd w:val="clear" w:color="auto" w:fill="auto"/>
                  <w:vAlign w:val="center"/>
                </w:tcPr>
                <w:p w14:paraId="4FEEA70D">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r w14:paraId="4381D1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954" w:type="pct"/>
                  <w:shd w:val="clear" w:color="auto" w:fill="auto"/>
                  <w:vAlign w:val="center"/>
                </w:tcPr>
                <w:p w14:paraId="464AFBBF">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sz w:val="18"/>
                      <w:szCs w:val="18"/>
                    </w:rPr>
                  </w:pPr>
                  <w:r>
                    <w:rPr>
                      <w:rFonts w:hint="eastAsia" w:ascii="Times New Roman" w:hAnsi="Times New Roman" w:eastAsia="宋体" w:cs="Times New Roman"/>
                      <w:sz w:val="18"/>
                      <w:szCs w:val="18"/>
                    </w:rPr>
                    <w:t>有组织废气</w:t>
                  </w:r>
                </w:p>
              </w:tc>
              <w:tc>
                <w:tcPr>
                  <w:tcW w:w="968" w:type="pct"/>
                  <w:shd w:val="clear" w:color="auto" w:fill="auto"/>
                  <w:vAlign w:val="center"/>
                </w:tcPr>
                <w:p w14:paraId="51846A2B">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氨</w:t>
                  </w:r>
                </w:p>
              </w:tc>
              <w:tc>
                <w:tcPr>
                  <w:tcW w:w="1308" w:type="pct"/>
                  <w:shd w:val="clear" w:color="auto" w:fill="auto"/>
                  <w:vAlign w:val="center"/>
                </w:tcPr>
                <w:p w14:paraId="1DE9E8F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2.2</w:t>
                  </w:r>
                </w:p>
              </w:tc>
              <w:tc>
                <w:tcPr>
                  <w:tcW w:w="1056" w:type="pct"/>
                  <w:shd w:val="clear" w:color="auto" w:fill="auto"/>
                  <w:vAlign w:val="center"/>
                </w:tcPr>
                <w:p w14:paraId="281C2A82">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w:t>
                  </w:r>
                </w:p>
              </w:tc>
              <w:tc>
                <w:tcPr>
                  <w:tcW w:w="711" w:type="pct"/>
                  <w:shd w:val="clear" w:color="auto" w:fill="auto"/>
                  <w:vAlign w:val="center"/>
                </w:tcPr>
                <w:p w14:paraId="398F95E3">
                  <w:pPr>
                    <w:pStyle w:val="129"/>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highlight w:val="none"/>
                      <w:lang w:val="en-US" w:eastAsia="zh-CN"/>
                    </w:rPr>
                  </w:pPr>
                </w:p>
              </w:tc>
            </w:tr>
          </w:tbl>
          <w:p w14:paraId="343107FB">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仪器校准分析检测结果统计表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964"/>
              <w:gridCol w:w="762"/>
              <w:gridCol w:w="840"/>
              <w:gridCol w:w="840"/>
              <w:gridCol w:w="840"/>
              <w:gridCol w:w="849"/>
              <w:gridCol w:w="840"/>
              <w:gridCol w:w="840"/>
              <w:gridCol w:w="25"/>
              <w:gridCol w:w="755"/>
              <w:gridCol w:w="60"/>
              <w:gridCol w:w="847"/>
              <w:gridCol w:w="608"/>
            </w:tblGrid>
            <w:tr w14:paraId="0E1E14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952" w:type="pct"/>
                  <w:gridSpan w:val="2"/>
                  <w:shd w:val="clear" w:color="auto" w:fill="auto"/>
                  <w:vAlign w:val="center"/>
                </w:tcPr>
                <w:p w14:paraId="10EF8E3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仪器型号、名称及编号</w:t>
                  </w:r>
                </w:p>
              </w:tc>
              <w:tc>
                <w:tcPr>
                  <w:tcW w:w="2797" w:type="pct"/>
                  <w:gridSpan w:val="7"/>
                  <w:shd w:val="clear" w:color="auto" w:fill="auto"/>
                  <w:vAlign w:val="center"/>
                </w:tcPr>
                <w:p w14:paraId="1B74A3E4">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MH3300型烟气烟尘颗粒物浓度测试仪（YHJC-CY-055-03）</w:t>
                  </w:r>
                </w:p>
              </w:tc>
              <w:tc>
                <w:tcPr>
                  <w:tcW w:w="416" w:type="pct"/>
                  <w:shd w:val="clear" w:color="auto" w:fill="auto"/>
                  <w:vAlign w:val="center"/>
                </w:tcPr>
                <w:p w14:paraId="626F97C7">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日期</w:t>
                  </w:r>
                </w:p>
              </w:tc>
              <w:tc>
                <w:tcPr>
                  <w:tcW w:w="834" w:type="pct"/>
                  <w:gridSpan w:val="3"/>
                  <w:shd w:val="clear" w:color="auto" w:fill="auto"/>
                  <w:vAlign w:val="center"/>
                </w:tcPr>
                <w:p w14:paraId="05204063">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eastAsia="宋体"/>
                      <w:b/>
                      <w:bCs w:val="0"/>
                      <w:szCs w:val="22"/>
                      <w:lang w:val="en-US" w:eastAsia="zh-CN"/>
                    </w:rPr>
                  </w:pPr>
                  <w:r>
                    <w:rPr>
                      <w:rFonts w:hint="default" w:eastAsia="宋体"/>
                      <w:b/>
                      <w:bCs w:val="0"/>
                      <w:szCs w:val="22"/>
                      <w:lang w:val="en-US" w:eastAsia="zh-CN"/>
                    </w:rPr>
                    <w:t>2024.12.10</w:t>
                  </w:r>
                </w:p>
              </w:tc>
            </w:tr>
            <w:tr w14:paraId="205B34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532" w:type="pct"/>
                  <w:vMerge w:val="restart"/>
                  <w:shd w:val="clear" w:color="auto" w:fill="auto"/>
                  <w:vAlign w:val="center"/>
                </w:tcPr>
                <w:p w14:paraId="538AD34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校准项目</w:t>
                  </w:r>
                </w:p>
              </w:tc>
              <w:tc>
                <w:tcPr>
                  <w:tcW w:w="420" w:type="pct"/>
                  <w:vMerge w:val="restart"/>
                  <w:shd w:val="clear" w:color="auto" w:fill="auto"/>
                  <w:vAlign w:val="center"/>
                </w:tcPr>
                <w:p w14:paraId="18738BF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浓度值</w:t>
                  </w:r>
                </w:p>
              </w:tc>
              <w:tc>
                <w:tcPr>
                  <w:tcW w:w="1857" w:type="pct"/>
                  <w:gridSpan w:val="4"/>
                  <w:shd w:val="clear" w:color="auto" w:fill="auto"/>
                  <w:vAlign w:val="center"/>
                </w:tcPr>
                <w:p w14:paraId="4DCC3ABE">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测定前</w:t>
                  </w:r>
                </w:p>
              </w:tc>
              <w:tc>
                <w:tcPr>
                  <w:tcW w:w="1856" w:type="pct"/>
                  <w:gridSpan w:val="6"/>
                  <w:shd w:val="clear" w:color="auto" w:fill="auto"/>
                  <w:vAlign w:val="center"/>
                </w:tcPr>
                <w:p w14:paraId="03F12E7B">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测定后</w:t>
                  </w:r>
                </w:p>
              </w:tc>
              <w:tc>
                <w:tcPr>
                  <w:tcW w:w="334" w:type="pct"/>
                  <w:vMerge w:val="restart"/>
                  <w:shd w:val="clear" w:color="auto" w:fill="auto"/>
                  <w:vAlign w:val="center"/>
                </w:tcPr>
                <w:p w14:paraId="3298C32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评价</w:t>
                  </w:r>
                </w:p>
              </w:tc>
            </w:tr>
            <w:tr w14:paraId="4E8001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532" w:type="pct"/>
                  <w:vMerge w:val="continue"/>
                  <w:tcBorders>
                    <w:bottom w:val="single" w:color="auto" w:sz="12" w:space="0"/>
                  </w:tcBorders>
                  <w:shd w:val="clear" w:color="auto" w:fill="auto"/>
                  <w:vAlign w:val="center"/>
                </w:tcPr>
                <w:p w14:paraId="188C14A9">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p>
              </w:tc>
              <w:tc>
                <w:tcPr>
                  <w:tcW w:w="420" w:type="pct"/>
                  <w:vMerge w:val="continue"/>
                  <w:tcBorders>
                    <w:bottom w:val="single" w:color="auto" w:sz="12" w:space="0"/>
                  </w:tcBorders>
                  <w:shd w:val="clear" w:color="auto" w:fill="auto"/>
                  <w:vAlign w:val="center"/>
                </w:tcPr>
                <w:p w14:paraId="15D2E14E">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p>
              </w:tc>
              <w:tc>
                <w:tcPr>
                  <w:tcW w:w="463" w:type="pct"/>
                  <w:tcBorders>
                    <w:bottom w:val="single" w:color="auto" w:sz="12" w:space="0"/>
                  </w:tcBorders>
                  <w:shd w:val="clear" w:color="auto" w:fill="auto"/>
                  <w:vAlign w:val="center"/>
                </w:tcPr>
                <w:p w14:paraId="3E143FA4">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测定值A</w:t>
                  </w:r>
                </w:p>
              </w:tc>
              <w:tc>
                <w:tcPr>
                  <w:tcW w:w="463" w:type="pct"/>
                  <w:tcBorders>
                    <w:bottom w:val="single" w:color="auto" w:sz="12" w:space="0"/>
                  </w:tcBorders>
                  <w:shd w:val="clear" w:color="auto" w:fill="auto"/>
                  <w:vAlign w:val="center"/>
                </w:tcPr>
                <w:p w14:paraId="5ACD1F91">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示值</w:t>
                  </w:r>
                </w:p>
                <w:p w14:paraId="7D2DA6E9">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误差</w:t>
                  </w:r>
                </w:p>
              </w:tc>
              <w:tc>
                <w:tcPr>
                  <w:tcW w:w="463" w:type="pct"/>
                  <w:tcBorders>
                    <w:bottom w:val="single" w:color="auto" w:sz="12" w:space="0"/>
                  </w:tcBorders>
                  <w:shd w:val="clear" w:color="auto" w:fill="auto"/>
                  <w:vAlign w:val="center"/>
                </w:tcPr>
                <w:p w14:paraId="1B2753D5">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测定值B</w:t>
                  </w:r>
                </w:p>
              </w:tc>
              <w:tc>
                <w:tcPr>
                  <w:tcW w:w="468" w:type="pct"/>
                  <w:tcBorders>
                    <w:bottom w:val="single" w:color="auto" w:sz="12" w:space="0"/>
                  </w:tcBorders>
                  <w:shd w:val="clear" w:color="auto" w:fill="auto"/>
                  <w:vAlign w:val="center"/>
                </w:tcPr>
                <w:p w14:paraId="2E6FE44B">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系统偏差（%）</w:t>
                  </w:r>
                </w:p>
              </w:tc>
              <w:tc>
                <w:tcPr>
                  <w:tcW w:w="463" w:type="pct"/>
                  <w:tcBorders>
                    <w:bottom w:val="single" w:color="auto" w:sz="12" w:space="0"/>
                  </w:tcBorders>
                  <w:shd w:val="clear" w:color="auto" w:fill="auto"/>
                  <w:vAlign w:val="center"/>
                </w:tcPr>
                <w:p w14:paraId="2CA5947B">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测定值A</w:t>
                  </w:r>
                </w:p>
              </w:tc>
              <w:tc>
                <w:tcPr>
                  <w:tcW w:w="463" w:type="pct"/>
                  <w:tcBorders>
                    <w:bottom w:val="single" w:color="auto" w:sz="12" w:space="0"/>
                  </w:tcBorders>
                  <w:shd w:val="clear" w:color="auto" w:fill="auto"/>
                  <w:vAlign w:val="center"/>
                </w:tcPr>
                <w:p w14:paraId="45F6438A">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示值</w:t>
                  </w:r>
                </w:p>
                <w:p w14:paraId="25FDCA2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误差</w:t>
                  </w:r>
                </w:p>
              </w:tc>
              <w:tc>
                <w:tcPr>
                  <w:tcW w:w="463" w:type="pct"/>
                  <w:gridSpan w:val="3"/>
                  <w:tcBorders>
                    <w:bottom w:val="single" w:color="auto" w:sz="12" w:space="0"/>
                  </w:tcBorders>
                  <w:shd w:val="clear" w:color="auto" w:fill="auto"/>
                  <w:vAlign w:val="center"/>
                </w:tcPr>
                <w:p w14:paraId="2A3AEEB4">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测定值B</w:t>
                  </w:r>
                </w:p>
              </w:tc>
              <w:tc>
                <w:tcPr>
                  <w:tcW w:w="466" w:type="pct"/>
                  <w:tcBorders>
                    <w:bottom w:val="single" w:color="auto" w:sz="12" w:space="0"/>
                  </w:tcBorders>
                  <w:shd w:val="clear" w:color="auto" w:fill="auto"/>
                  <w:vAlign w:val="center"/>
                </w:tcPr>
                <w:p w14:paraId="5B0935E0">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r>
                    <w:rPr>
                      <w:rFonts w:hint="eastAsia"/>
                      <w:b/>
                      <w:bCs w:val="0"/>
                      <w:szCs w:val="22"/>
                    </w:rPr>
                    <w:t>系统偏差（%）</w:t>
                  </w:r>
                </w:p>
              </w:tc>
              <w:tc>
                <w:tcPr>
                  <w:tcW w:w="334" w:type="pct"/>
                  <w:vMerge w:val="continue"/>
                  <w:tcBorders>
                    <w:bottom w:val="single" w:color="auto" w:sz="12" w:space="0"/>
                  </w:tcBorders>
                  <w:shd w:val="clear" w:color="auto" w:fill="auto"/>
                  <w:vAlign w:val="center"/>
                </w:tcPr>
                <w:p w14:paraId="69D0531B">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b/>
                      <w:bCs w:val="0"/>
                      <w:szCs w:val="22"/>
                    </w:rPr>
                  </w:pPr>
                </w:p>
              </w:tc>
            </w:tr>
            <w:tr w14:paraId="4232D3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tcBorders>
                    <w:top w:val="single" w:color="auto" w:sz="12" w:space="0"/>
                  </w:tcBorders>
                  <w:shd w:val="clear" w:color="auto" w:fill="auto"/>
                  <w:vAlign w:val="center"/>
                </w:tcPr>
                <w:p w14:paraId="33E47EE1">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二氧化硫（m</w:t>
                  </w:r>
                  <w:r>
                    <w:rPr>
                      <w:bCs/>
                      <w:szCs w:val="22"/>
                      <w:highlight w:val="none"/>
                    </w:rPr>
                    <w:t>g/m</w:t>
                  </w:r>
                  <w:r>
                    <w:rPr>
                      <w:bCs/>
                      <w:szCs w:val="22"/>
                      <w:highlight w:val="none"/>
                      <w:vertAlign w:val="superscript"/>
                    </w:rPr>
                    <w:t>3</w:t>
                  </w:r>
                  <w:r>
                    <w:rPr>
                      <w:rFonts w:hint="eastAsia"/>
                      <w:bCs/>
                      <w:szCs w:val="22"/>
                      <w:highlight w:val="none"/>
                    </w:rPr>
                    <w:t>）</w:t>
                  </w:r>
                </w:p>
              </w:tc>
              <w:tc>
                <w:tcPr>
                  <w:tcW w:w="420" w:type="pct"/>
                  <w:tcBorders>
                    <w:top w:val="single" w:color="auto" w:sz="12" w:space="0"/>
                  </w:tcBorders>
                  <w:shd w:val="clear" w:color="auto" w:fill="auto"/>
                  <w:vAlign w:val="center"/>
                </w:tcPr>
                <w:p w14:paraId="3F2D225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tcBorders>
                    <w:top w:val="single" w:color="auto" w:sz="12" w:space="0"/>
                  </w:tcBorders>
                  <w:shd w:val="clear" w:color="auto" w:fill="auto"/>
                  <w:vAlign w:val="center"/>
                </w:tcPr>
                <w:p w14:paraId="493D9FCC">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1403676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0C7E286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tcBorders>
                    <w:top w:val="single" w:color="auto" w:sz="12" w:space="0"/>
                  </w:tcBorders>
                  <w:shd w:val="clear" w:color="auto" w:fill="auto"/>
                  <w:vAlign w:val="center"/>
                </w:tcPr>
                <w:p w14:paraId="2F568BE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3C90BADC">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76B639B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tcBorders>
                    <w:top w:val="single" w:color="auto" w:sz="12" w:space="0"/>
                  </w:tcBorders>
                  <w:shd w:val="clear" w:color="auto" w:fill="auto"/>
                  <w:vAlign w:val="center"/>
                </w:tcPr>
                <w:p w14:paraId="38BB779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tcBorders>
                    <w:top w:val="single" w:color="auto" w:sz="12" w:space="0"/>
                  </w:tcBorders>
                  <w:shd w:val="clear" w:color="auto" w:fill="auto"/>
                  <w:vAlign w:val="center"/>
                </w:tcPr>
                <w:p w14:paraId="48E97A67">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tcBorders>
                    <w:top w:val="single" w:color="auto" w:sz="12" w:space="0"/>
                  </w:tcBorders>
                  <w:shd w:val="clear" w:color="auto" w:fill="auto"/>
                  <w:vAlign w:val="center"/>
                </w:tcPr>
                <w:p w14:paraId="1DC6B41C">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26C14A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shd w:val="clear" w:color="auto" w:fill="auto"/>
                  <w:vAlign w:val="center"/>
                </w:tcPr>
                <w:p w14:paraId="30CB834E">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34CB679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3CD4A31D">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3" w:type="pct"/>
                  <w:shd w:val="clear" w:color="auto" w:fill="auto"/>
                  <w:vAlign w:val="center"/>
                </w:tcPr>
                <w:p w14:paraId="5B96AB87">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w:t>
                  </w:r>
                </w:p>
              </w:tc>
              <w:tc>
                <w:tcPr>
                  <w:tcW w:w="463" w:type="pct"/>
                  <w:shd w:val="clear" w:color="auto" w:fill="auto"/>
                  <w:vAlign w:val="center"/>
                </w:tcPr>
                <w:p w14:paraId="0FFCBC1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8" w:type="pct"/>
                  <w:shd w:val="clear" w:color="auto" w:fill="auto"/>
                  <w:vAlign w:val="center"/>
                </w:tcPr>
                <w:p w14:paraId="33E1DA7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4D595447">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2C45F8A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6CCEDE3D">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6" w:type="pct"/>
                  <w:shd w:val="clear" w:color="auto" w:fill="auto"/>
                  <w:vAlign w:val="center"/>
                </w:tcPr>
                <w:p w14:paraId="22CB202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continue"/>
                  <w:shd w:val="clear" w:color="auto" w:fill="auto"/>
                  <w:vAlign w:val="center"/>
                </w:tcPr>
                <w:p w14:paraId="39F2A59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10A28F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shd w:val="clear" w:color="auto" w:fill="auto"/>
                  <w:vAlign w:val="center"/>
                </w:tcPr>
                <w:p w14:paraId="06E97317">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一氧化氮（m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7819BF8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7526B47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D78698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C91F74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5B5A627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7B50EB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286D3BB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2CFF099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4946DD9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shd w:val="clear" w:color="auto" w:fill="auto"/>
                  <w:vAlign w:val="center"/>
                </w:tcPr>
                <w:p w14:paraId="57D27C96">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2E90A2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shd w:val="clear" w:color="auto" w:fill="auto"/>
                  <w:vAlign w:val="center"/>
                </w:tcPr>
                <w:p w14:paraId="7AAB7720">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61C449A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15.4</w:t>
                  </w:r>
                </w:p>
              </w:tc>
              <w:tc>
                <w:tcPr>
                  <w:tcW w:w="463" w:type="pct"/>
                  <w:shd w:val="clear" w:color="auto" w:fill="auto"/>
                  <w:vAlign w:val="center"/>
                </w:tcPr>
                <w:p w14:paraId="290159B9">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365EA78C">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-0.4</w:t>
                  </w:r>
                </w:p>
              </w:tc>
              <w:tc>
                <w:tcPr>
                  <w:tcW w:w="463" w:type="pct"/>
                  <w:shd w:val="clear" w:color="auto" w:fill="auto"/>
                  <w:vAlign w:val="center"/>
                </w:tcPr>
                <w:p w14:paraId="7E6205F0">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8" w:type="pct"/>
                  <w:shd w:val="clear" w:color="auto" w:fill="auto"/>
                  <w:vAlign w:val="center"/>
                </w:tcPr>
                <w:p w14:paraId="1F46196E">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520AE4DF">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3" w:type="pct"/>
                  <w:shd w:val="clear" w:color="auto" w:fill="auto"/>
                  <w:vAlign w:val="center"/>
                </w:tcPr>
                <w:p w14:paraId="6867DB0C">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0.6</w:t>
                  </w:r>
                </w:p>
              </w:tc>
              <w:tc>
                <w:tcPr>
                  <w:tcW w:w="463" w:type="pct"/>
                  <w:gridSpan w:val="3"/>
                  <w:shd w:val="clear" w:color="auto" w:fill="auto"/>
                  <w:vAlign w:val="center"/>
                </w:tcPr>
                <w:p w14:paraId="220D5D27">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6" w:type="pct"/>
                  <w:shd w:val="clear" w:color="auto" w:fill="auto"/>
                  <w:vAlign w:val="center"/>
                </w:tcPr>
                <w:p w14:paraId="484C97B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continue"/>
                  <w:shd w:val="clear" w:color="auto" w:fill="auto"/>
                  <w:vAlign w:val="center"/>
                </w:tcPr>
                <w:p w14:paraId="00B0814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1FCB05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shd w:val="clear" w:color="auto" w:fill="auto"/>
                  <w:vAlign w:val="center"/>
                </w:tcPr>
                <w:p w14:paraId="33C11A69">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一氧化碳（m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0283D7B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70F6624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4C9774AC">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1E05D5D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2A5738E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2B96A7C7">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A43E4D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7022539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67FDC57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shd w:val="clear" w:color="auto" w:fill="auto"/>
                  <w:vAlign w:val="center"/>
                </w:tcPr>
                <w:p w14:paraId="550CDF62">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553F1C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shd w:val="clear" w:color="auto" w:fill="auto"/>
                  <w:vAlign w:val="center"/>
                </w:tcPr>
                <w:p w14:paraId="153E7A1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50C51D2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1875</w:t>
                  </w:r>
                </w:p>
              </w:tc>
              <w:tc>
                <w:tcPr>
                  <w:tcW w:w="463" w:type="pct"/>
                  <w:shd w:val="clear" w:color="auto" w:fill="auto"/>
                  <w:vAlign w:val="center"/>
                </w:tcPr>
                <w:p w14:paraId="5D699385">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1869</w:t>
                  </w:r>
                </w:p>
              </w:tc>
              <w:tc>
                <w:tcPr>
                  <w:tcW w:w="463" w:type="pct"/>
                  <w:shd w:val="clear" w:color="auto" w:fill="auto"/>
                  <w:vAlign w:val="center"/>
                </w:tcPr>
                <w:p w14:paraId="677F2BE9">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-0.3%</w:t>
                  </w:r>
                </w:p>
              </w:tc>
              <w:tc>
                <w:tcPr>
                  <w:tcW w:w="463" w:type="pct"/>
                  <w:shd w:val="clear" w:color="auto" w:fill="auto"/>
                  <w:vAlign w:val="center"/>
                </w:tcPr>
                <w:p w14:paraId="3F65B47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1872</w:t>
                  </w:r>
                </w:p>
              </w:tc>
              <w:tc>
                <w:tcPr>
                  <w:tcW w:w="468" w:type="pct"/>
                  <w:shd w:val="clear" w:color="auto" w:fill="auto"/>
                  <w:vAlign w:val="center"/>
                </w:tcPr>
                <w:p w14:paraId="05F80B5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0.2</w:t>
                  </w:r>
                </w:p>
              </w:tc>
              <w:tc>
                <w:tcPr>
                  <w:tcW w:w="463" w:type="pct"/>
                  <w:shd w:val="clear" w:color="auto" w:fill="auto"/>
                  <w:vAlign w:val="center"/>
                </w:tcPr>
                <w:p w14:paraId="555091D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1879</w:t>
                  </w:r>
                </w:p>
              </w:tc>
              <w:tc>
                <w:tcPr>
                  <w:tcW w:w="463" w:type="pct"/>
                  <w:shd w:val="clear" w:color="auto" w:fill="auto"/>
                  <w:vAlign w:val="center"/>
                </w:tcPr>
                <w:p w14:paraId="01646050">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0.2%</w:t>
                  </w:r>
                </w:p>
              </w:tc>
              <w:tc>
                <w:tcPr>
                  <w:tcW w:w="463" w:type="pct"/>
                  <w:gridSpan w:val="3"/>
                  <w:shd w:val="clear" w:color="auto" w:fill="auto"/>
                  <w:vAlign w:val="center"/>
                </w:tcPr>
                <w:p w14:paraId="6F1C62B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1864</w:t>
                  </w:r>
                </w:p>
              </w:tc>
              <w:tc>
                <w:tcPr>
                  <w:tcW w:w="466" w:type="pct"/>
                  <w:shd w:val="clear" w:color="auto" w:fill="auto"/>
                  <w:vAlign w:val="center"/>
                </w:tcPr>
                <w:p w14:paraId="3F07E966">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-0.8</w:t>
                  </w:r>
                </w:p>
              </w:tc>
              <w:tc>
                <w:tcPr>
                  <w:tcW w:w="334" w:type="pct"/>
                  <w:vMerge w:val="continue"/>
                  <w:shd w:val="clear" w:color="auto" w:fill="auto"/>
                  <w:vAlign w:val="center"/>
                </w:tcPr>
                <w:p w14:paraId="5B9A8AFC">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635523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shd w:val="clear" w:color="auto" w:fill="auto"/>
                  <w:vAlign w:val="center"/>
                </w:tcPr>
                <w:p w14:paraId="1BEA2B05">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二氧化氮（m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56980CB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3441243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1871257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B86CC4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35FBA33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DA1305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55957E3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48CEC09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3929C96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shd w:val="clear" w:color="auto" w:fill="auto"/>
                  <w:vAlign w:val="center"/>
                </w:tcPr>
                <w:p w14:paraId="2F668F01">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5FD45C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shd w:val="clear" w:color="auto" w:fill="auto"/>
                  <w:vAlign w:val="center"/>
                </w:tcPr>
                <w:p w14:paraId="3BB872F0">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4C7AF5A6">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1B69C8C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650FF14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E25EEB3">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8" w:type="pct"/>
                  <w:shd w:val="clear" w:color="auto" w:fill="auto"/>
                  <w:vAlign w:val="center"/>
                </w:tcPr>
                <w:p w14:paraId="085441A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00F8F355">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3" w:type="pct"/>
                  <w:shd w:val="clear" w:color="auto" w:fill="auto"/>
                  <w:vAlign w:val="center"/>
                </w:tcPr>
                <w:p w14:paraId="70C2F3F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w:t>
                  </w:r>
                </w:p>
              </w:tc>
              <w:tc>
                <w:tcPr>
                  <w:tcW w:w="463" w:type="pct"/>
                  <w:gridSpan w:val="3"/>
                  <w:shd w:val="clear" w:color="auto" w:fill="auto"/>
                  <w:vAlign w:val="center"/>
                </w:tcPr>
                <w:p w14:paraId="680646A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6" w:type="pct"/>
                  <w:shd w:val="clear" w:color="auto" w:fill="auto"/>
                  <w:vAlign w:val="center"/>
                </w:tcPr>
                <w:p w14:paraId="56660BA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continue"/>
                  <w:shd w:val="clear" w:color="auto" w:fill="auto"/>
                  <w:vAlign w:val="center"/>
                </w:tcPr>
                <w:p w14:paraId="54361A3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05B8EB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shd w:val="clear" w:color="auto" w:fill="auto"/>
                  <w:vAlign w:val="center"/>
                </w:tcPr>
                <w:p w14:paraId="2ED9739F">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氧气（</w:t>
                  </w:r>
                  <w:r>
                    <w:rPr>
                      <w:bCs/>
                      <w:szCs w:val="22"/>
                      <w:highlight w:val="none"/>
                    </w:rPr>
                    <w:t>%</w:t>
                  </w:r>
                  <w:r>
                    <w:rPr>
                      <w:rFonts w:hint="eastAsia"/>
                      <w:bCs/>
                      <w:szCs w:val="22"/>
                      <w:highlight w:val="none"/>
                    </w:rPr>
                    <w:t>）</w:t>
                  </w:r>
                </w:p>
              </w:tc>
              <w:tc>
                <w:tcPr>
                  <w:tcW w:w="420" w:type="pct"/>
                  <w:shd w:val="clear" w:color="auto" w:fill="auto"/>
                  <w:vAlign w:val="center"/>
                </w:tcPr>
                <w:p w14:paraId="475535E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6A2F19B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5321686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EBC66F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003FF57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DD644F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20BB4D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7B37CCE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5BA3A5E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shd w:val="clear" w:color="auto" w:fill="auto"/>
                  <w:vAlign w:val="center"/>
                </w:tcPr>
                <w:p w14:paraId="0910D95E">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sz w:val="18"/>
                      <w:szCs w:val="18"/>
                      <w:lang w:val="en-US" w:eastAsia="zh-CN"/>
                    </w:rPr>
                    <w:t>合格</w:t>
                  </w:r>
                </w:p>
              </w:tc>
            </w:tr>
            <w:tr w14:paraId="206454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shd w:val="clear" w:color="auto" w:fill="auto"/>
                  <w:vAlign w:val="center"/>
                </w:tcPr>
                <w:p w14:paraId="6D2AB57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54C75C6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57E5DED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67B2BD15">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714EAAF">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8" w:type="pct"/>
                  <w:shd w:val="clear" w:color="auto" w:fill="auto"/>
                  <w:vAlign w:val="center"/>
                </w:tcPr>
                <w:p w14:paraId="06542E4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A1E9E7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245397E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23584B79">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6" w:type="pct"/>
                  <w:shd w:val="clear" w:color="auto" w:fill="auto"/>
                  <w:vAlign w:val="center"/>
                </w:tcPr>
                <w:p w14:paraId="57AF9E2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continue"/>
                  <w:shd w:val="clear" w:color="auto" w:fill="auto"/>
                  <w:vAlign w:val="center"/>
                </w:tcPr>
                <w:p w14:paraId="424A6EB0">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65A717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restart"/>
                  <w:shd w:val="clear" w:color="auto" w:fill="auto"/>
                  <w:vAlign w:val="center"/>
                </w:tcPr>
                <w:p w14:paraId="1955AAB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一氧化氮（m</w:t>
                  </w:r>
                  <w:r>
                    <w:rPr>
                      <w:bCs/>
                      <w:szCs w:val="22"/>
                      <w:highlight w:val="none"/>
                    </w:rPr>
                    <w:t>g/m</w:t>
                  </w:r>
                  <w:r>
                    <w:rPr>
                      <w:bCs/>
                      <w:szCs w:val="22"/>
                      <w:highlight w:val="none"/>
                      <w:vertAlign w:val="superscript"/>
                    </w:rPr>
                    <w:t>3</w:t>
                  </w:r>
                  <w:r>
                    <w:rPr>
                      <w:rFonts w:hint="eastAsia"/>
                      <w:bCs/>
                      <w:szCs w:val="22"/>
                      <w:highlight w:val="none"/>
                    </w:rPr>
                    <w:t>）</w:t>
                  </w:r>
                </w:p>
              </w:tc>
              <w:tc>
                <w:tcPr>
                  <w:tcW w:w="0" w:type="auto"/>
                  <w:shd w:val="clear" w:color="auto" w:fill="auto"/>
                  <w:vAlign w:val="center"/>
                </w:tcPr>
                <w:p w14:paraId="170C553E">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零气</w:t>
                  </w:r>
                </w:p>
              </w:tc>
              <w:tc>
                <w:tcPr>
                  <w:tcW w:w="0" w:type="auto"/>
                  <w:shd w:val="clear" w:color="auto" w:fill="auto"/>
                  <w:vAlign w:val="center"/>
                </w:tcPr>
                <w:p w14:paraId="6ADBFF30">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05E85A1D">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27BB49C6">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19964E8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70F7818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6EACBFB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gridSpan w:val="3"/>
                  <w:shd w:val="clear" w:color="auto" w:fill="auto"/>
                  <w:vAlign w:val="center"/>
                </w:tcPr>
                <w:p w14:paraId="3E420FF5">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5FC34DE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restart"/>
                  <w:vAlign w:val="center"/>
                </w:tcPr>
                <w:p w14:paraId="698A6BF0">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r>
                    <w:rPr>
                      <w:rFonts w:hint="eastAsia" w:cs="Times New Roman"/>
                      <w:sz w:val="18"/>
                      <w:szCs w:val="18"/>
                      <w:lang w:val="en-US" w:eastAsia="zh-CN"/>
                    </w:rPr>
                    <w:t>合格</w:t>
                  </w:r>
                </w:p>
              </w:tc>
            </w:tr>
            <w:tr w14:paraId="1A7003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2" w:type="pct"/>
                  <w:vMerge w:val="continue"/>
                  <w:vAlign w:val="center"/>
                </w:tcPr>
                <w:p w14:paraId="641244F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0" w:type="auto"/>
                  <w:shd w:val="clear" w:color="auto" w:fill="auto"/>
                  <w:vAlign w:val="center"/>
                </w:tcPr>
                <w:p w14:paraId="7947ADDC">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73.8</w:t>
                  </w:r>
                </w:p>
              </w:tc>
              <w:tc>
                <w:tcPr>
                  <w:tcW w:w="0" w:type="auto"/>
                  <w:shd w:val="clear" w:color="auto" w:fill="auto"/>
                  <w:vAlign w:val="center"/>
                </w:tcPr>
                <w:p w14:paraId="581C198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74</w:t>
                  </w:r>
                </w:p>
              </w:tc>
              <w:tc>
                <w:tcPr>
                  <w:tcW w:w="0" w:type="auto"/>
                  <w:shd w:val="clear" w:color="auto" w:fill="auto"/>
                  <w:vAlign w:val="center"/>
                </w:tcPr>
                <w:p w14:paraId="29796CB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0.2</w:t>
                  </w:r>
                </w:p>
              </w:tc>
              <w:tc>
                <w:tcPr>
                  <w:tcW w:w="0" w:type="auto"/>
                  <w:shd w:val="clear" w:color="auto" w:fill="auto"/>
                  <w:vAlign w:val="center"/>
                </w:tcPr>
                <w:p w14:paraId="5D3911C3">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74</w:t>
                  </w:r>
                </w:p>
              </w:tc>
              <w:tc>
                <w:tcPr>
                  <w:tcW w:w="0" w:type="auto"/>
                  <w:shd w:val="clear" w:color="auto" w:fill="auto"/>
                  <w:vAlign w:val="center"/>
                </w:tcPr>
                <w:p w14:paraId="49CA426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6789C49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w:t>
                  </w:r>
                </w:p>
              </w:tc>
              <w:tc>
                <w:tcPr>
                  <w:tcW w:w="0" w:type="auto"/>
                  <w:shd w:val="clear" w:color="auto" w:fill="auto"/>
                  <w:vAlign w:val="center"/>
                </w:tcPr>
                <w:p w14:paraId="2FFA67E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-0.8</w:t>
                  </w:r>
                </w:p>
              </w:tc>
              <w:tc>
                <w:tcPr>
                  <w:tcW w:w="0" w:type="auto"/>
                  <w:gridSpan w:val="3"/>
                  <w:shd w:val="clear" w:color="auto" w:fill="auto"/>
                  <w:vAlign w:val="center"/>
                </w:tcPr>
                <w:p w14:paraId="1FEC45F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w:t>
                  </w:r>
                </w:p>
              </w:tc>
              <w:tc>
                <w:tcPr>
                  <w:tcW w:w="0" w:type="auto"/>
                  <w:shd w:val="clear" w:color="auto" w:fill="auto"/>
                  <w:vAlign w:val="center"/>
                </w:tcPr>
                <w:p w14:paraId="63F81FC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4" w:type="pct"/>
                  <w:vMerge w:val="continue"/>
                  <w:vAlign w:val="center"/>
                </w:tcPr>
                <w:p w14:paraId="4B9395E6">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bl>
          <w:p w14:paraId="310BBCD9">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仪器校准分析检测结果统计表</w:t>
            </w:r>
            <w:r>
              <w:rPr>
                <w:rFonts w:hint="eastAsia" w:ascii="Times New Roman" w:hAnsi="Times New Roman" w:cs="Times New Roman"/>
                <w:color w:val="auto"/>
                <w:sz w:val="21"/>
                <w:highlight w:val="none"/>
                <w:lang w:eastAsia="zh-CN"/>
              </w:rPr>
              <w:t>（续）</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967"/>
              <w:gridCol w:w="762"/>
              <w:gridCol w:w="840"/>
              <w:gridCol w:w="840"/>
              <w:gridCol w:w="840"/>
              <w:gridCol w:w="849"/>
              <w:gridCol w:w="840"/>
              <w:gridCol w:w="840"/>
              <w:gridCol w:w="25"/>
              <w:gridCol w:w="755"/>
              <w:gridCol w:w="60"/>
              <w:gridCol w:w="847"/>
              <w:gridCol w:w="605"/>
            </w:tblGrid>
            <w:tr w14:paraId="25F736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953" w:type="pct"/>
                  <w:gridSpan w:val="2"/>
                  <w:shd w:val="clear" w:color="auto" w:fill="auto"/>
                  <w:vAlign w:val="center"/>
                </w:tcPr>
                <w:p w14:paraId="5A9D971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仪器型号、名称及编号</w:t>
                  </w:r>
                </w:p>
              </w:tc>
              <w:tc>
                <w:tcPr>
                  <w:tcW w:w="2797" w:type="pct"/>
                  <w:gridSpan w:val="7"/>
                  <w:shd w:val="clear" w:color="auto" w:fill="auto"/>
                  <w:vAlign w:val="center"/>
                </w:tcPr>
                <w:p w14:paraId="070FC58C">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MH3300型烟气烟尘颗粒物浓度测试仪（YHJC-CY-055-03）</w:t>
                  </w:r>
                </w:p>
              </w:tc>
              <w:tc>
                <w:tcPr>
                  <w:tcW w:w="416" w:type="pct"/>
                  <w:shd w:val="clear" w:color="auto" w:fill="auto"/>
                  <w:vAlign w:val="center"/>
                </w:tcPr>
                <w:p w14:paraId="5135746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日期</w:t>
                  </w:r>
                </w:p>
              </w:tc>
              <w:tc>
                <w:tcPr>
                  <w:tcW w:w="832" w:type="pct"/>
                  <w:gridSpan w:val="3"/>
                  <w:shd w:val="clear" w:color="auto" w:fill="auto"/>
                  <w:vAlign w:val="center"/>
                </w:tcPr>
                <w:p w14:paraId="732CFDA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b/>
                      <w:bCs/>
                      <w:sz w:val="18"/>
                      <w:szCs w:val="18"/>
                      <w:lang w:val="en-US" w:eastAsia="zh-CN"/>
                    </w:rPr>
                  </w:pPr>
                  <w:r>
                    <w:rPr>
                      <w:rFonts w:hint="default" w:ascii="Times New Roman" w:hAnsi="Times New Roman" w:eastAsia="宋体" w:cs="Times New Roman"/>
                      <w:b/>
                      <w:bCs/>
                      <w:sz w:val="18"/>
                      <w:szCs w:val="18"/>
                      <w:lang w:val="en-US" w:eastAsia="zh-CN"/>
                    </w:rPr>
                    <w:t>2024.12.1</w:t>
                  </w:r>
                  <w:r>
                    <w:rPr>
                      <w:rFonts w:hint="eastAsia" w:cs="Times New Roman"/>
                      <w:b/>
                      <w:bCs/>
                      <w:sz w:val="18"/>
                      <w:szCs w:val="18"/>
                      <w:lang w:val="en-US" w:eastAsia="zh-CN"/>
                    </w:rPr>
                    <w:t>1</w:t>
                  </w:r>
                </w:p>
              </w:tc>
            </w:tr>
            <w:tr w14:paraId="08B870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533" w:type="pct"/>
                  <w:vMerge w:val="restart"/>
                  <w:shd w:val="clear" w:color="auto" w:fill="auto"/>
                  <w:vAlign w:val="center"/>
                </w:tcPr>
                <w:p w14:paraId="53CB7FE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校准项目</w:t>
                  </w:r>
                </w:p>
              </w:tc>
              <w:tc>
                <w:tcPr>
                  <w:tcW w:w="420" w:type="pct"/>
                  <w:vMerge w:val="restart"/>
                  <w:shd w:val="clear" w:color="auto" w:fill="auto"/>
                  <w:vAlign w:val="center"/>
                </w:tcPr>
                <w:p w14:paraId="754E68C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浓度值</w:t>
                  </w:r>
                </w:p>
              </w:tc>
              <w:tc>
                <w:tcPr>
                  <w:tcW w:w="1857" w:type="pct"/>
                  <w:gridSpan w:val="4"/>
                  <w:shd w:val="clear" w:color="auto" w:fill="auto"/>
                  <w:vAlign w:val="center"/>
                </w:tcPr>
                <w:p w14:paraId="629F74D1">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测定前</w:t>
                  </w:r>
                </w:p>
              </w:tc>
              <w:tc>
                <w:tcPr>
                  <w:tcW w:w="1856" w:type="pct"/>
                  <w:gridSpan w:val="6"/>
                  <w:shd w:val="clear" w:color="auto" w:fill="auto"/>
                  <w:vAlign w:val="center"/>
                </w:tcPr>
                <w:p w14:paraId="20D9E6AD">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测定后</w:t>
                  </w:r>
                </w:p>
              </w:tc>
              <w:tc>
                <w:tcPr>
                  <w:tcW w:w="332" w:type="pct"/>
                  <w:vMerge w:val="restart"/>
                  <w:shd w:val="clear" w:color="auto" w:fill="auto"/>
                  <w:vAlign w:val="center"/>
                </w:tcPr>
                <w:p w14:paraId="73F39835">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评价</w:t>
                  </w:r>
                </w:p>
              </w:tc>
            </w:tr>
            <w:tr w14:paraId="298E18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533" w:type="pct"/>
                  <w:vMerge w:val="continue"/>
                  <w:tcBorders>
                    <w:bottom w:val="single" w:color="auto" w:sz="12" w:space="0"/>
                  </w:tcBorders>
                  <w:shd w:val="clear" w:color="auto" w:fill="auto"/>
                  <w:vAlign w:val="center"/>
                </w:tcPr>
                <w:p w14:paraId="2F960D7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p>
              </w:tc>
              <w:tc>
                <w:tcPr>
                  <w:tcW w:w="420" w:type="pct"/>
                  <w:vMerge w:val="continue"/>
                  <w:tcBorders>
                    <w:bottom w:val="single" w:color="auto" w:sz="12" w:space="0"/>
                  </w:tcBorders>
                  <w:shd w:val="clear" w:color="auto" w:fill="auto"/>
                  <w:vAlign w:val="center"/>
                </w:tcPr>
                <w:p w14:paraId="2ADF45CD">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p>
              </w:tc>
              <w:tc>
                <w:tcPr>
                  <w:tcW w:w="463" w:type="pct"/>
                  <w:tcBorders>
                    <w:bottom w:val="single" w:color="auto" w:sz="12" w:space="0"/>
                  </w:tcBorders>
                  <w:shd w:val="clear" w:color="auto" w:fill="auto"/>
                  <w:vAlign w:val="center"/>
                </w:tcPr>
                <w:p w14:paraId="1233717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测定值A</w:t>
                  </w:r>
                </w:p>
              </w:tc>
              <w:tc>
                <w:tcPr>
                  <w:tcW w:w="463" w:type="pct"/>
                  <w:tcBorders>
                    <w:bottom w:val="single" w:color="auto" w:sz="12" w:space="0"/>
                  </w:tcBorders>
                  <w:shd w:val="clear" w:color="auto" w:fill="auto"/>
                  <w:vAlign w:val="center"/>
                </w:tcPr>
                <w:p w14:paraId="4C9D2D7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示值</w:t>
                  </w:r>
                </w:p>
                <w:p w14:paraId="2FB8FB4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误差</w:t>
                  </w:r>
                </w:p>
              </w:tc>
              <w:tc>
                <w:tcPr>
                  <w:tcW w:w="463" w:type="pct"/>
                  <w:tcBorders>
                    <w:bottom w:val="single" w:color="auto" w:sz="12" w:space="0"/>
                  </w:tcBorders>
                  <w:shd w:val="clear" w:color="auto" w:fill="auto"/>
                  <w:vAlign w:val="center"/>
                </w:tcPr>
                <w:p w14:paraId="2A11C6F4">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测定值B</w:t>
                  </w:r>
                </w:p>
              </w:tc>
              <w:tc>
                <w:tcPr>
                  <w:tcW w:w="468" w:type="pct"/>
                  <w:tcBorders>
                    <w:bottom w:val="single" w:color="auto" w:sz="12" w:space="0"/>
                  </w:tcBorders>
                  <w:shd w:val="clear" w:color="auto" w:fill="auto"/>
                  <w:vAlign w:val="center"/>
                </w:tcPr>
                <w:p w14:paraId="1C3370A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系统偏差（%）</w:t>
                  </w:r>
                </w:p>
              </w:tc>
              <w:tc>
                <w:tcPr>
                  <w:tcW w:w="463" w:type="pct"/>
                  <w:tcBorders>
                    <w:bottom w:val="single" w:color="auto" w:sz="12" w:space="0"/>
                  </w:tcBorders>
                  <w:shd w:val="clear" w:color="auto" w:fill="auto"/>
                  <w:vAlign w:val="center"/>
                </w:tcPr>
                <w:p w14:paraId="23D30091">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测定值A</w:t>
                  </w:r>
                </w:p>
              </w:tc>
              <w:tc>
                <w:tcPr>
                  <w:tcW w:w="463" w:type="pct"/>
                  <w:tcBorders>
                    <w:bottom w:val="single" w:color="auto" w:sz="12" w:space="0"/>
                  </w:tcBorders>
                  <w:shd w:val="clear" w:color="auto" w:fill="auto"/>
                  <w:vAlign w:val="center"/>
                </w:tcPr>
                <w:p w14:paraId="0C29600D">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示值</w:t>
                  </w:r>
                </w:p>
                <w:p w14:paraId="3E66A037">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误差</w:t>
                  </w:r>
                </w:p>
              </w:tc>
              <w:tc>
                <w:tcPr>
                  <w:tcW w:w="463" w:type="pct"/>
                  <w:gridSpan w:val="3"/>
                  <w:tcBorders>
                    <w:bottom w:val="single" w:color="auto" w:sz="12" w:space="0"/>
                  </w:tcBorders>
                  <w:shd w:val="clear" w:color="auto" w:fill="auto"/>
                  <w:vAlign w:val="center"/>
                </w:tcPr>
                <w:p w14:paraId="6885DDC2">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测定值B</w:t>
                  </w:r>
                </w:p>
              </w:tc>
              <w:tc>
                <w:tcPr>
                  <w:tcW w:w="466" w:type="pct"/>
                  <w:tcBorders>
                    <w:bottom w:val="single" w:color="auto" w:sz="12" w:space="0"/>
                  </w:tcBorders>
                  <w:shd w:val="clear" w:color="auto" w:fill="auto"/>
                  <w:vAlign w:val="center"/>
                </w:tcPr>
                <w:p w14:paraId="1B40EADB">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系统偏差（%）</w:t>
                  </w:r>
                </w:p>
              </w:tc>
              <w:tc>
                <w:tcPr>
                  <w:tcW w:w="332" w:type="pct"/>
                  <w:vMerge w:val="continue"/>
                  <w:tcBorders>
                    <w:bottom w:val="single" w:color="auto" w:sz="12" w:space="0"/>
                  </w:tcBorders>
                  <w:shd w:val="clear" w:color="auto" w:fill="auto"/>
                  <w:vAlign w:val="center"/>
                </w:tcPr>
                <w:p w14:paraId="2375A31E">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b/>
                      <w:bCs/>
                      <w:sz w:val="18"/>
                      <w:szCs w:val="18"/>
                      <w:lang w:val="en-US" w:eastAsia="zh-CN"/>
                    </w:rPr>
                  </w:pPr>
                </w:p>
              </w:tc>
            </w:tr>
            <w:tr w14:paraId="359DB5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tcBorders>
                    <w:top w:val="single" w:color="auto" w:sz="12" w:space="0"/>
                  </w:tcBorders>
                  <w:shd w:val="clear" w:color="auto" w:fill="auto"/>
                  <w:vAlign w:val="center"/>
                </w:tcPr>
                <w:p w14:paraId="721AEA50">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二氧化硫（m</w:t>
                  </w:r>
                  <w:r>
                    <w:rPr>
                      <w:bCs/>
                      <w:szCs w:val="22"/>
                      <w:highlight w:val="none"/>
                    </w:rPr>
                    <w:t>g/m</w:t>
                  </w:r>
                  <w:r>
                    <w:rPr>
                      <w:bCs/>
                      <w:szCs w:val="22"/>
                      <w:highlight w:val="none"/>
                      <w:vertAlign w:val="superscript"/>
                    </w:rPr>
                    <w:t>3</w:t>
                  </w:r>
                  <w:r>
                    <w:rPr>
                      <w:rFonts w:hint="eastAsia"/>
                      <w:bCs/>
                      <w:szCs w:val="22"/>
                      <w:highlight w:val="none"/>
                    </w:rPr>
                    <w:t>）</w:t>
                  </w:r>
                </w:p>
              </w:tc>
              <w:tc>
                <w:tcPr>
                  <w:tcW w:w="420" w:type="pct"/>
                  <w:tcBorders>
                    <w:top w:val="single" w:color="auto" w:sz="12" w:space="0"/>
                  </w:tcBorders>
                  <w:shd w:val="clear" w:color="auto" w:fill="auto"/>
                  <w:vAlign w:val="center"/>
                </w:tcPr>
                <w:p w14:paraId="134C039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tcBorders>
                    <w:top w:val="single" w:color="auto" w:sz="12" w:space="0"/>
                  </w:tcBorders>
                  <w:shd w:val="clear" w:color="auto" w:fill="auto"/>
                  <w:vAlign w:val="center"/>
                </w:tcPr>
                <w:p w14:paraId="7B84620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2AA0E7B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4499611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tcBorders>
                    <w:top w:val="single" w:color="auto" w:sz="12" w:space="0"/>
                  </w:tcBorders>
                  <w:shd w:val="clear" w:color="auto" w:fill="auto"/>
                  <w:vAlign w:val="center"/>
                </w:tcPr>
                <w:p w14:paraId="569BADB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0FB9A8D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tcBorders>
                    <w:top w:val="single" w:color="auto" w:sz="12" w:space="0"/>
                  </w:tcBorders>
                  <w:shd w:val="clear" w:color="auto" w:fill="auto"/>
                  <w:vAlign w:val="center"/>
                </w:tcPr>
                <w:p w14:paraId="6636E1D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tcBorders>
                    <w:top w:val="single" w:color="auto" w:sz="12" w:space="0"/>
                  </w:tcBorders>
                  <w:shd w:val="clear" w:color="auto" w:fill="auto"/>
                  <w:vAlign w:val="center"/>
                </w:tcPr>
                <w:p w14:paraId="62CD6A6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tcBorders>
                    <w:top w:val="single" w:color="auto" w:sz="12" w:space="0"/>
                  </w:tcBorders>
                  <w:shd w:val="clear" w:color="auto" w:fill="auto"/>
                  <w:vAlign w:val="center"/>
                </w:tcPr>
                <w:p w14:paraId="7A89FEE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tcBorders>
                    <w:top w:val="single" w:color="auto" w:sz="12" w:space="0"/>
                  </w:tcBorders>
                  <w:shd w:val="clear" w:color="auto" w:fill="auto"/>
                  <w:vAlign w:val="center"/>
                </w:tcPr>
                <w:p w14:paraId="0E16ACB3">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64F044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5822E260">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7051E69E">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15.0</w:t>
                  </w:r>
                </w:p>
              </w:tc>
              <w:tc>
                <w:tcPr>
                  <w:tcW w:w="463" w:type="pct"/>
                  <w:shd w:val="clear" w:color="auto" w:fill="auto"/>
                  <w:vAlign w:val="center"/>
                </w:tcPr>
                <w:p w14:paraId="5EA69FF3">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67F041F6">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DCD339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8" w:type="pct"/>
                  <w:shd w:val="clear" w:color="auto" w:fill="auto"/>
                  <w:vAlign w:val="center"/>
                </w:tcPr>
                <w:p w14:paraId="3F5C44D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089EB9E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7ECDE30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661E2793">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6" w:type="pct"/>
                  <w:shd w:val="clear" w:color="auto" w:fill="auto"/>
                  <w:vAlign w:val="center"/>
                </w:tcPr>
                <w:p w14:paraId="4B4A8A3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continue"/>
                  <w:shd w:val="clear" w:color="auto" w:fill="auto"/>
                  <w:vAlign w:val="center"/>
                </w:tcPr>
                <w:p w14:paraId="4251F97F">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08F716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shd w:val="clear" w:color="auto" w:fill="auto"/>
                  <w:vAlign w:val="center"/>
                </w:tcPr>
                <w:p w14:paraId="7D55BDC0">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一氧化氮（m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181FF5A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5765655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A48EEC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433CC54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29333D8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7163FD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BD9192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26B1143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7194C5C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shd w:val="clear" w:color="auto" w:fill="auto"/>
                  <w:vAlign w:val="center"/>
                </w:tcPr>
                <w:p w14:paraId="09D1553E">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680B06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06CF41AF">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39C4AA8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15.4</w:t>
                  </w:r>
                </w:p>
              </w:tc>
              <w:tc>
                <w:tcPr>
                  <w:tcW w:w="463" w:type="pct"/>
                  <w:shd w:val="clear" w:color="auto" w:fill="auto"/>
                  <w:vAlign w:val="center"/>
                </w:tcPr>
                <w:p w14:paraId="115DB8BE">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5568FC5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-0.4</w:t>
                  </w:r>
                </w:p>
              </w:tc>
              <w:tc>
                <w:tcPr>
                  <w:tcW w:w="463" w:type="pct"/>
                  <w:shd w:val="clear" w:color="auto" w:fill="auto"/>
                  <w:vAlign w:val="center"/>
                </w:tcPr>
                <w:p w14:paraId="656FB50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8" w:type="pct"/>
                  <w:shd w:val="clear" w:color="auto" w:fill="auto"/>
                  <w:vAlign w:val="center"/>
                </w:tcPr>
                <w:p w14:paraId="5039A855">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FAE531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40C9638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-0.4</w:t>
                  </w:r>
                </w:p>
              </w:tc>
              <w:tc>
                <w:tcPr>
                  <w:tcW w:w="463" w:type="pct"/>
                  <w:gridSpan w:val="3"/>
                  <w:shd w:val="clear" w:color="auto" w:fill="auto"/>
                  <w:vAlign w:val="center"/>
                </w:tcPr>
                <w:p w14:paraId="6DFF02DC">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6" w:type="pct"/>
                  <w:shd w:val="clear" w:color="auto" w:fill="auto"/>
                  <w:vAlign w:val="center"/>
                </w:tcPr>
                <w:p w14:paraId="1EFD04E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continue"/>
                  <w:shd w:val="clear" w:color="auto" w:fill="auto"/>
                  <w:vAlign w:val="center"/>
                </w:tcPr>
                <w:p w14:paraId="5B79E231">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15F996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shd w:val="clear" w:color="auto" w:fill="auto"/>
                  <w:vAlign w:val="center"/>
                </w:tcPr>
                <w:p w14:paraId="72A926EF">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一氧化碳（m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2B52852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6B98E5C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DE04E0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766D3D3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5B81849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2B410EE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2538160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70DFE5A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3BF1FF2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shd w:val="clear" w:color="auto" w:fill="auto"/>
                  <w:vAlign w:val="center"/>
                </w:tcPr>
                <w:p w14:paraId="5495FF7F">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5F9AA4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5E46BEDE">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3E85352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1875</w:t>
                  </w:r>
                </w:p>
              </w:tc>
              <w:tc>
                <w:tcPr>
                  <w:tcW w:w="463" w:type="pct"/>
                  <w:shd w:val="clear" w:color="auto" w:fill="auto"/>
                  <w:vAlign w:val="center"/>
                </w:tcPr>
                <w:p w14:paraId="04E8510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1870</w:t>
                  </w:r>
                </w:p>
              </w:tc>
              <w:tc>
                <w:tcPr>
                  <w:tcW w:w="463" w:type="pct"/>
                  <w:shd w:val="clear" w:color="auto" w:fill="auto"/>
                  <w:vAlign w:val="center"/>
                </w:tcPr>
                <w:p w14:paraId="061C1793">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-0.3</w:t>
                  </w:r>
                </w:p>
              </w:tc>
              <w:tc>
                <w:tcPr>
                  <w:tcW w:w="463" w:type="pct"/>
                  <w:shd w:val="clear" w:color="auto" w:fill="auto"/>
                  <w:vAlign w:val="center"/>
                </w:tcPr>
                <w:p w14:paraId="6CBD9754">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1862</w:t>
                  </w:r>
                </w:p>
              </w:tc>
              <w:tc>
                <w:tcPr>
                  <w:tcW w:w="468" w:type="pct"/>
                  <w:shd w:val="clear" w:color="auto" w:fill="auto"/>
                  <w:vAlign w:val="center"/>
                </w:tcPr>
                <w:p w14:paraId="3BAAFC4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-0.4</w:t>
                  </w:r>
                </w:p>
              </w:tc>
              <w:tc>
                <w:tcPr>
                  <w:tcW w:w="463" w:type="pct"/>
                  <w:shd w:val="clear" w:color="auto" w:fill="auto"/>
                  <w:vAlign w:val="center"/>
                </w:tcPr>
                <w:p w14:paraId="1860A84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1865</w:t>
                  </w:r>
                </w:p>
              </w:tc>
              <w:tc>
                <w:tcPr>
                  <w:tcW w:w="463" w:type="pct"/>
                  <w:shd w:val="clear" w:color="auto" w:fill="auto"/>
                  <w:vAlign w:val="center"/>
                </w:tcPr>
                <w:p w14:paraId="47E185E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-0.5</w:t>
                  </w:r>
                </w:p>
              </w:tc>
              <w:tc>
                <w:tcPr>
                  <w:tcW w:w="463" w:type="pct"/>
                  <w:gridSpan w:val="3"/>
                  <w:shd w:val="clear" w:color="auto" w:fill="auto"/>
                  <w:vAlign w:val="center"/>
                </w:tcPr>
                <w:p w14:paraId="77811702">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1869</w:t>
                  </w:r>
                </w:p>
              </w:tc>
              <w:tc>
                <w:tcPr>
                  <w:tcW w:w="466" w:type="pct"/>
                  <w:shd w:val="clear" w:color="auto" w:fill="auto"/>
                  <w:vAlign w:val="center"/>
                </w:tcPr>
                <w:p w14:paraId="7F0E57C8">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0.2</w:t>
                  </w:r>
                </w:p>
              </w:tc>
              <w:tc>
                <w:tcPr>
                  <w:tcW w:w="332" w:type="pct"/>
                  <w:vMerge w:val="continue"/>
                  <w:shd w:val="clear" w:color="auto" w:fill="auto"/>
                  <w:vAlign w:val="center"/>
                </w:tcPr>
                <w:p w14:paraId="049A00DE">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6D6E25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shd w:val="clear" w:color="auto" w:fill="auto"/>
                  <w:vAlign w:val="center"/>
                </w:tcPr>
                <w:p w14:paraId="5A776DE8">
                  <w:pPr>
                    <w:spacing w:line="0" w:lineRule="atLeast"/>
                    <w:jc w:val="center"/>
                    <w:rPr>
                      <w:rFonts w:hint="eastAsia" w:ascii="Times New Roman" w:hAnsi="Times New Roman" w:eastAsia="宋体" w:cs="Times New Roman"/>
                      <w:sz w:val="18"/>
                      <w:szCs w:val="18"/>
                      <w:lang w:val="en-US" w:eastAsia="zh-CN"/>
                    </w:rPr>
                  </w:pPr>
                  <w:r>
                    <w:rPr>
                      <w:rFonts w:hint="eastAsia"/>
                      <w:bCs/>
                      <w:szCs w:val="22"/>
                      <w:highlight w:val="none"/>
                    </w:rPr>
                    <w:t>二氧化氮（m</w:t>
                  </w:r>
                  <w:r>
                    <w:rPr>
                      <w:bCs/>
                      <w:szCs w:val="22"/>
                      <w:highlight w:val="none"/>
                    </w:rPr>
                    <w:t>g/m</w:t>
                  </w:r>
                  <w:r>
                    <w:rPr>
                      <w:bCs/>
                      <w:szCs w:val="22"/>
                      <w:highlight w:val="none"/>
                      <w:vertAlign w:val="superscript"/>
                    </w:rPr>
                    <w:t>3</w:t>
                  </w:r>
                  <w:r>
                    <w:rPr>
                      <w:rFonts w:hint="eastAsia"/>
                      <w:bCs/>
                      <w:szCs w:val="22"/>
                      <w:highlight w:val="none"/>
                    </w:rPr>
                    <w:t>）</w:t>
                  </w:r>
                </w:p>
              </w:tc>
              <w:tc>
                <w:tcPr>
                  <w:tcW w:w="420" w:type="pct"/>
                  <w:shd w:val="clear" w:color="auto" w:fill="auto"/>
                  <w:vAlign w:val="center"/>
                </w:tcPr>
                <w:p w14:paraId="6ECDECF7">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2F6C8EA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1A9823B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5B93327">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66DB449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10F813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05ECC1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3F06B0A9">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592098B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shd w:val="clear" w:color="auto" w:fill="auto"/>
                  <w:vAlign w:val="center"/>
                </w:tcPr>
                <w:p w14:paraId="19F93FE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022101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133B88D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7ADC7F3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3973090E">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3" w:type="pct"/>
                  <w:shd w:val="clear" w:color="auto" w:fill="auto"/>
                  <w:vAlign w:val="center"/>
                </w:tcPr>
                <w:p w14:paraId="1D5C3EE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w:t>
                  </w:r>
                </w:p>
              </w:tc>
              <w:tc>
                <w:tcPr>
                  <w:tcW w:w="463" w:type="pct"/>
                  <w:shd w:val="clear" w:color="auto" w:fill="auto"/>
                  <w:vAlign w:val="center"/>
                </w:tcPr>
                <w:p w14:paraId="449E6B1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16</w:t>
                  </w:r>
                </w:p>
              </w:tc>
              <w:tc>
                <w:tcPr>
                  <w:tcW w:w="468" w:type="pct"/>
                  <w:shd w:val="clear" w:color="auto" w:fill="auto"/>
                  <w:vAlign w:val="center"/>
                </w:tcPr>
                <w:p w14:paraId="4E403D5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005494E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3" w:type="pct"/>
                  <w:shd w:val="clear" w:color="auto" w:fill="auto"/>
                  <w:vAlign w:val="center"/>
                </w:tcPr>
                <w:p w14:paraId="67CF5DF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37E8AED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15</w:t>
                  </w:r>
                </w:p>
              </w:tc>
              <w:tc>
                <w:tcPr>
                  <w:tcW w:w="466" w:type="pct"/>
                  <w:shd w:val="clear" w:color="auto" w:fill="auto"/>
                  <w:vAlign w:val="center"/>
                </w:tcPr>
                <w:p w14:paraId="7A16928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continue"/>
                  <w:shd w:val="clear" w:color="auto" w:fill="auto"/>
                  <w:vAlign w:val="center"/>
                </w:tcPr>
                <w:p w14:paraId="506A1108">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10C14D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shd w:val="clear" w:color="auto" w:fill="auto"/>
                  <w:vAlign w:val="center"/>
                </w:tcPr>
                <w:p w14:paraId="17F84512">
                  <w:pPr>
                    <w:spacing w:line="0" w:lineRule="atLeast"/>
                    <w:jc w:val="center"/>
                    <w:rPr>
                      <w:rFonts w:hint="eastAsia" w:ascii="Times New Roman" w:hAnsi="Times New Roman" w:eastAsia="宋体" w:cs="Times New Roman"/>
                      <w:kern w:val="0"/>
                      <w:sz w:val="18"/>
                      <w:szCs w:val="18"/>
                      <w:lang w:val="en-US" w:eastAsia="zh-CN" w:bidi="ar-SA"/>
                    </w:rPr>
                  </w:pPr>
                  <w:r>
                    <w:rPr>
                      <w:rFonts w:hint="eastAsia"/>
                      <w:bCs/>
                      <w:szCs w:val="22"/>
                      <w:highlight w:val="none"/>
                    </w:rPr>
                    <w:t>氧气（</w:t>
                  </w:r>
                  <w:r>
                    <w:rPr>
                      <w:bCs/>
                      <w:szCs w:val="22"/>
                      <w:highlight w:val="none"/>
                    </w:rPr>
                    <w:t>%</w:t>
                  </w:r>
                  <w:r>
                    <w:rPr>
                      <w:rFonts w:hint="eastAsia"/>
                      <w:bCs/>
                      <w:szCs w:val="22"/>
                      <w:highlight w:val="none"/>
                    </w:rPr>
                    <w:t>）</w:t>
                  </w:r>
                </w:p>
              </w:tc>
              <w:tc>
                <w:tcPr>
                  <w:tcW w:w="420" w:type="pct"/>
                  <w:shd w:val="clear" w:color="auto" w:fill="auto"/>
                  <w:vAlign w:val="center"/>
                </w:tcPr>
                <w:p w14:paraId="78C687B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零气</w:t>
                  </w:r>
                </w:p>
              </w:tc>
              <w:tc>
                <w:tcPr>
                  <w:tcW w:w="463" w:type="pct"/>
                  <w:shd w:val="clear" w:color="auto" w:fill="auto"/>
                  <w:vAlign w:val="center"/>
                </w:tcPr>
                <w:p w14:paraId="602074F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6FC3A0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9256CD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8" w:type="pct"/>
                  <w:shd w:val="clear" w:color="auto" w:fill="auto"/>
                  <w:vAlign w:val="center"/>
                </w:tcPr>
                <w:p w14:paraId="56DB668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014265C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80072F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408BF5C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6" w:type="pct"/>
                  <w:shd w:val="clear" w:color="auto" w:fill="auto"/>
                  <w:vAlign w:val="center"/>
                </w:tcPr>
                <w:p w14:paraId="1F195AD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shd w:val="clear" w:color="auto" w:fill="auto"/>
                  <w:vAlign w:val="center"/>
                </w:tcPr>
                <w:p w14:paraId="627B861C">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sz w:val="18"/>
                      <w:szCs w:val="18"/>
                      <w:lang w:val="en-US" w:eastAsia="zh-CN"/>
                    </w:rPr>
                    <w:t>合格</w:t>
                  </w:r>
                </w:p>
              </w:tc>
            </w:tr>
            <w:tr w14:paraId="4B444F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3E1A1433">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c>
                <w:tcPr>
                  <w:tcW w:w="420" w:type="pct"/>
                  <w:shd w:val="clear" w:color="auto" w:fill="auto"/>
                  <w:vAlign w:val="center"/>
                </w:tcPr>
                <w:p w14:paraId="3BDF243A">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41C97DF1">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5464EFE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36365F7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8" w:type="pct"/>
                  <w:shd w:val="clear" w:color="auto" w:fill="auto"/>
                  <w:vAlign w:val="center"/>
                </w:tcPr>
                <w:p w14:paraId="7CB25C9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shd w:val="clear" w:color="auto" w:fill="auto"/>
                  <w:vAlign w:val="center"/>
                </w:tcPr>
                <w:p w14:paraId="6594F78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3" w:type="pct"/>
                  <w:shd w:val="clear" w:color="auto" w:fill="auto"/>
                  <w:vAlign w:val="center"/>
                </w:tcPr>
                <w:p w14:paraId="2F44DD1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463" w:type="pct"/>
                  <w:gridSpan w:val="3"/>
                  <w:shd w:val="clear" w:color="auto" w:fill="auto"/>
                  <w:vAlign w:val="center"/>
                </w:tcPr>
                <w:p w14:paraId="0AB2D9F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20.9</w:t>
                  </w:r>
                </w:p>
              </w:tc>
              <w:tc>
                <w:tcPr>
                  <w:tcW w:w="466" w:type="pct"/>
                  <w:shd w:val="clear" w:color="auto" w:fill="auto"/>
                  <w:vAlign w:val="center"/>
                </w:tcPr>
                <w:p w14:paraId="02974D2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continue"/>
                  <w:shd w:val="clear" w:color="auto" w:fill="auto"/>
                  <w:vAlign w:val="center"/>
                </w:tcPr>
                <w:p w14:paraId="099730CA">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r w14:paraId="273C0A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restart"/>
                  <w:shd w:val="clear" w:color="auto" w:fill="auto"/>
                  <w:vAlign w:val="center"/>
                </w:tcPr>
                <w:p w14:paraId="3E17BC4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一氧化氮（m</w:t>
                  </w:r>
                  <w:r>
                    <w:rPr>
                      <w:bCs/>
                      <w:szCs w:val="22"/>
                      <w:highlight w:val="none"/>
                    </w:rPr>
                    <w:t>g/m</w:t>
                  </w:r>
                  <w:r>
                    <w:rPr>
                      <w:bCs/>
                      <w:szCs w:val="22"/>
                      <w:highlight w:val="none"/>
                      <w:vertAlign w:val="superscript"/>
                    </w:rPr>
                    <w:t>3</w:t>
                  </w:r>
                  <w:r>
                    <w:rPr>
                      <w:rFonts w:hint="eastAsia"/>
                      <w:bCs/>
                      <w:szCs w:val="22"/>
                      <w:highlight w:val="none"/>
                    </w:rPr>
                    <w:t>）</w:t>
                  </w:r>
                </w:p>
              </w:tc>
              <w:tc>
                <w:tcPr>
                  <w:tcW w:w="0" w:type="auto"/>
                  <w:shd w:val="clear" w:color="auto" w:fill="auto"/>
                  <w:vAlign w:val="center"/>
                </w:tcPr>
                <w:p w14:paraId="34B0058C">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零气</w:t>
                  </w:r>
                </w:p>
              </w:tc>
              <w:tc>
                <w:tcPr>
                  <w:tcW w:w="0" w:type="auto"/>
                  <w:shd w:val="clear" w:color="auto" w:fill="auto"/>
                  <w:vAlign w:val="center"/>
                </w:tcPr>
                <w:p w14:paraId="375A64FD">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0C50A78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0F4F3B8A">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324ED4F6">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2885AD0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08BBE4B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gridSpan w:val="3"/>
                  <w:shd w:val="clear" w:color="auto" w:fill="auto"/>
                  <w:vAlign w:val="center"/>
                </w:tcPr>
                <w:p w14:paraId="0C66E4A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4CA5934D">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restart"/>
                  <w:vAlign w:val="center"/>
                </w:tcPr>
                <w:p w14:paraId="21CB1EE9">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合格</w:t>
                  </w:r>
                </w:p>
              </w:tc>
            </w:tr>
            <w:tr w14:paraId="0EDB98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33" w:type="pct"/>
                  <w:vMerge w:val="continue"/>
                  <w:shd w:val="clear" w:color="auto" w:fill="auto"/>
                  <w:vAlign w:val="center"/>
                </w:tcPr>
                <w:p w14:paraId="5E0A202A">
                  <w:pPr>
                    <w:spacing w:line="0" w:lineRule="atLeast"/>
                    <w:jc w:val="center"/>
                    <w:rPr>
                      <w:rFonts w:hint="eastAsia"/>
                      <w:bCs/>
                      <w:szCs w:val="22"/>
                      <w:highlight w:val="none"/>
                    </w:rPr>
                  </w:pPr>
                </w:p>
              </w:tc>
              <w:tc>
                <w:tcPr>
                  <w:tcW w:w="0" w:type="auto"/>
                  <w:shd w:val="clear" w:color="auto" w:fill="auto"/>
                  <w:vAlign w:val="center"/>
                </w:tcPr>
                <w:p w14:paraId="2B70B20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73.8</w:t>
                  </w:r>
                </w:p>
              </w:tc>
              <w:tc>
                <w:tcPr>
                  <w:tcW w:w="0" w:type="auto"/>
                  <w:shd w:val="clear" w:color="auto" w:fill="auto"/>
                  <w:vAlign w:val="center"/>
                </w:tcPr>
                <w:p w14:paraId="7A84318B">
                  <w:pPr>
                    <w:spacing w:line="0" w:lineRule="atLeast"/>
                    <w:jc w:val="center"/>
                    <w:rPr>
                      <w:rFonts w:hint="default"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w:t>
                  </w:r>
                </w:p>
              </w:tc>
              <w:tc>
                <w:tcPr>
                  <w:tcW w:w="0" w:type="auto"/>
                  <w:shd w:val="clear" w:color="auto" w:fill="auto"/>
                  <w:vAlign w:val="center"/>
                </w:tcPr>
                <w:p w14:paraId="3FA55CCF">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-0.8</w:t>
                  </w:r>
                </w:p>
              </w:tc>
              <w:tc>
                <w:tcPr>
                  <w:tcW w:w="0" w:type="auto"/>
                  <w:shd w:val="clear" w:color="auto" w:fill="auto"/>
                  <w:vAlign w:val="center"/>
                </w:tcPr>
                <w:p w14:paraId="4BD2B94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73</w:t>
                  </w:r>
                </w:p>
              </w:tc>
              <w:tc>
                <w:tcPr>
                  <w:tcW w:w="0" w:type="auto"/>
                  <w:shd w:val="clear" w:color="auto" w:fill="auto"/>
                  <w:vAlign w:val="center"/>
                </w:tcPr>
                <w:p w14:paraId="572CAEF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0" w:type="auto"/>
                  <w:shd w:val="clear" w:color="auto" w:fill="auto"/>
                  <w:vAlign w:val="center"/>
                </w:tcPr>
                <w:p w14:paraId="6F8CEA3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74</w:t>
                  </w:r>
                </w:p>
              </w:tc>
              <w:tc>
                <w:tcPr>
                  <w:tcW w:w="0" w:type="auto"/>
                  <w:shd w:val="clear" w:color="auto" w:fill="auto"/>
                  <w:vAlign w:val="center"/>
                </w:tcPr>
                <w:p w14:paraId="0B4A7E0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0.2</w:t>
                  </w:r>
                </w:p>
              </w:tc>
              <w:tc>
                <w:tcPr>
                  <w:tcW w:w="0" w:type="auto"/>
                  <w:gridSpan w:val="3"/>
                  <w:shd w:val="clear" w:color="auto" w:fill="auto"/>
                  <w:vAlign w:val="center"/>
                </w:tcPr>
                <w:p w14:paraId="106D5D0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74</w:t>
                  </w:r>
                </w:p>
              </w:tc>
              <w:tc>
                <w:tcPr>
                  <w:tcW w:w="0" w:type="auto"/>
                  <w:shd w:val="clear" w:color="auto" w:fill="auto"/>
                  <w:vAlign w:val="center"/>
                </w:tcPr>
                <w:p w14:paraId="25D920EB">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0</w:t>
                  </w:r>
                </w:p>
              </w:tc>
              <w:tc>
                <w:tcPr>
                  <w:tcW w:w="332" w:type="pct"/>
                  <w:vMerge w:val="continue"/>
                </w:tcPr>
                <w:p w14:paraId="43B10A6F">
                  <w:pPr>
                    <w:pStyle w:val="46"/>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Times New Roman" w:hAnsi="Times New Roman" w:eastAsia="宋体" w:cs="Times New Roman"/>
                      <w:sz w:val="18"/>
                      <w:szCs w:val="18"/>
                      <w:lang w:val="en-US" w:eastAsia="zh-CN"/>
                    </w:rPr>
                  </w:pPr>
                </w:p>
              </w:tc>
            </w:tr>
          </w:tbl>
          <w:p w14:paraId="6D708626">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声级计校准结果统计表</w:t>
            </w:r>
          </w:p>
          <w:tbl>
            <w:tblPr>
              <w:tblStyle w:val="29"/>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523"/>
              <w:gridCol w:w="1643"/>
              <w:gridCol w:w="1643"/>
              <w:gridCol w:w="1643"/>
              <w:gridCol w:w="1977"/>
              <w:gridCol w:w="634"/>
            </w:tblGrid>
            <w:tr w14:paraId="2C0AAB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40" w:type="pct"/>
                  <w:tcBorders>
                    <w:top w:val="single" w:color="auto" w:sz="12" w:space="0"/>
                    <w:bottom w:val="single" w:color="auto" w:sz="12" w:space="0"/>
                  </w:tcBorders>
                  <w:shd w:val="clear" w:color="auto" w:fill="auto"/>
                  <w:vAlign w:val="center"/>
                </w:tcPr>
                <w:p w14:paraId="51BE1ACC">
                  <w:pPr>
                    <w:pStyle w:val="129"/>
                    <w:jc w:val="center"/>
                    <w:rPr>
                      <w:rFonts w:hint="eastAsia" w:eastAsia="宋体"/>
                      <w:b/>
                      <w:bCs/>
                      <w:color w:val="auto"/>
                      <w:highlight w:val="none"/>
                    </w:rPr>
                  </w:pPr>
                  <w:r>
                    <w:rPr>
                      <w:rFonts w:hint="eastAsia" w:eastAsia="宋体"/>
                      <w:b/>
                      <w:bCs/>
                      <w:color w:val="auto"/>
                      <w:highlight w:val="none"/>
                    </w:rPr>
                    <w:t>检测日期</w:t>
                  </w:r>
                </w:p>
              </w:tc>
              <w:tc>
                <w:tcPr>
                  <w:tcW w:w="906" w:type="pct"/>
                  <w:tcBorders>
                    <w:top w:val="single" w:color="auto" w:sz="12" w:space="0"/>
                    <w:bottom w:val="single" w:color="auto" w:sz="12" w:space="0"/>
                  </w:tcBorders>
                  <w:shd w:val="clear" w:color="auto" w:fill="auto"/>
                  <w:vAlign w:val="center"/>
                </w:tcPr>
                <w:p w14:paraId="5039C585">
                  <w:pPr>
                    <w:pStyle w:val="129"/>
                    <w:jc w:val="center"/>
                    <w:rPr>
                      <w:rFonts w:hint="eastAsia" w:eastAsia="宋体"/>
                      <w:b/>
                      <w:bCs/>
                      <w:color w:val="auto"/>
                      <w:highlight w:val="none"/>
                    </w:rPr>
                  </w:pPr>
                  <w:r>
                    <w:rPr>
                      <w:rFonts w:hint="eastAsia" w:eastAsia="宋体"/>
                      <w:b/>
                      <w:bCs/>
                      <w:color w:val="auto"/>
                      <w:highlight w:val="none"/>
                    </w:rPr>
                    <w:t>检测前校准示值〔dB(A)〕</w:t>
                  </w:r>
                </w:p>
              </w:tc>
              <w:tc>
                <w:tcPr>
                  <w:tcW w:w="906" w:type="pct"/>
                  <w:tcBorders>
                    <w:top w:val="single" w:color="auto" w:sz="12" w:space="0"/>
                    <w:bottom w:val="single" w:color="auto" w:sz="12" w:space="0"/>
                  </w:tcBorders>
                  <w:shd w:val="clear" w:color="auto" w:fill="auto"/>
                  <w:vAlign w:val="center"/>
                </w:tcPr>
                <w:p w14:paraId="2DAE05FC">
                  <w:pPr>
                    <w:pStyle w:val="129"/>
                    <w:jc w:val="center"/>
                    <w:rPr>
                      <w:rFonts w:hint="eastAsia" w:eastAsia="宋体"/>
                      <w:b/>
                      <w:bCs/>
                      <w:color w:val="auto"/>
                      <w:highlight w:val="none"/>
                    </w:rPr>
                  </w:pPr>
                  <w:r>
                    <w:rPr>
                      <w:rFonts w:hint="eastAsia" w:eastAsia="宋体"/>
                      <w:b/>
                      <w:bCs/>
                      <w:color w:val="auto"/>
                      <w:highlight w:val="none"/>
                    </w:rPr>
                    <w:t>检测后校准示值〔dB(A)〕</w:t>
                  </w:r>
                </w:p>
              </w:tc>
              <w:tc>
                <w:tcPr>
                  <w:tcW w:w="906" w:type="pct"/>
                  <w:tcBorders>
                    <w:top w:val="single" w:color="auto" w:sz="12" w:space="0"/>
                    <w:bottom w:val="single" w:color="auto" w:sz="12" w:space="0"/>
                  </w:tcBorders>
                  <w:vAlign w:val="center"/>
                </w:tcPr>
                <w:p w14:paraId="444462C7">
                  <w:pPr>
                    <w:pStyle w:val="129"/>
                    <w:jc w:val="center"/>
                    <w:rPr>
                      <w:rFonts w:hint="eastAsia" w:eastAsia="宋体"/>
                      <w:b/>
                      <w:bCs/>
                      <w:color w:val="auto"/>
                      <w:highlight w:val="none"/>
                    </w:rPr>
                  </w:pPr>
                  <w:r>
                    <w:rPr>
                      <w:rFonts w:hint="eastAsia" w:eastAsia="宋体"/>
                      <w:b/>
                      <w:bCs/>
                      <w:color w:val="auto"/>
                      <w:highlight w:val="none"/>
                    </w:rPr>
                    <w:t>检测前后校准示值偏差〔dB(A)〕</w:t>
                  </w:r>
                </w:p>
              </w:tc>
              <w:tc>
                <w:tcPr>
                  <w:tcW w:w="1090" w:type="pct"/>
                  <w:tcBorders>
                    <w:top w:val="single" w:color="auto" w:sz="12" w:space="0"/>
                    <w:bottom w:val="single" w:color="auto" w:sz="12" w:space="0"/>
                  </w:tcBorders>
                  <w:shd w:val="clear" w:color="auto" w:fill="auto"/>
                  <w:vAlign w:val="center"/>
                </w:tcPr>
                <w:p w14:paraId="0341300F">
                  <w:pPr>
                    <w:pStyle w:val="129"/>
                    <w:jc w:val="center"/>
                    <w:rPr>
                      <w:rFonts w:hint="eastAsia" w:eastAsia="宋体"/>
                      <w:b/>
                      <w:bCs/>
                      <w:color w:val="auto"/>
                      <w:highlight w:val="none"/>
                    </w:rPr>
                  </w:pPr>
                  <w:r>
                    <w:rPr>
                      <w:rFonts w:hint="eastAsia" w:eastAsia="宋体"/>
                      <w:b/>
                      <w:bCs/>
                      <w:color w:val="auto"/>
                      <w:highlight w:val="none"/>
                    </w:rPr>
                    <w:t>检测前后校准示值偏差允许范围〔dB(A)〕</w:t>
                  </w:r>
                </w:p>
              </w:tc>
              <w:tc>
                <w:tcPr>
                  <w:tcW w:w="349" w:type="pct"/>
                  <w:tcBorders>
                    <w:top w:val="single" w:color="auto" w:sz="12" w:space="0"/>
                    <w:bottom w:val="single" w:color="auto" w:sz="12" w:space="0"/>
                  </w:tcBorders>
                  <w:shd w:val="clear" w:color="auto" w:fill="auto"/>
                  <w:vAlign w:val="center"/>
                </w:tcPr>
                <w:p w14:paraId="27CA4047">
                  <w:pPr>
                    <w:pStyle w:val="129"/>
                    <w:jc w:val="center"/>
                    <w:rPr>
                      <w:rFonts w:hint="eastAsia" w:eastAsia="宋体"/>
                      <w:b/>
                      <w:bCs/>
                      <w:color w:val="auto"/>
                      <w:highlight w:val="none"/>
                    </w:rPr>
                  </w:pPr>
                  <w:r>
                    <w:rPr>
                      <w:rFonts w:hint="eastAsia" w:eastAsia="宋体"/>
                      <w:b/>
                      <w:bCs/>
                      <w:color w:val="auto"/>
                      <w:highlight w:val="none"/>
                    </w:rPr>
                    <w:t>评价</w:t>
                  </w:r>
                </w:p>
              </w:tc>
            </w:tr>
            <w:tr w14:paraId="57DFFF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840" w:type="pct"/>
                  <w:tcBorders>
                    <w:tl2br w:val="nil"/>
                    <w:tr2bl w:val="nil"/>
                  </w:tcBorders>
                  <w:shd w:val="clear" w:color="auto" w:fill="auto"/>
                  <w:vAlign w:val="center"/>
                </w:tcPr>
                <w:p w14:paraId="5A2C5C79">
                  <w:pPr>
                    <w:spacing w:line="0" w:lineRule="atLeast"/>
                    <w:jc w:val="center"/>
                    <w:rPr>
                      <w:rFonts w:hint="eastAsia"/>
                      <w:bCs/>
                      <w:szCs w:val="22"/>
                      <w:highlight w:val="none"/>
                      <w:lang w:val="en-US" w:eastAsia="zh-CN"/>
                    </w:rPr>
                  </w:pPr>
                  <w:r>
                    <w:rPr>
                      <w:rFonts w:hint="eastAsia"/>
                      <w:bCs/>
                      <w:szCs w:val="22"/>
                      <w:highlight w:val="none"/>
                      <w:lang w:val="en-US" w:eastAsia="zh-CN"/>
                    </w:rPr>
                    <w:t>2024.12.10~</w:t>
                  </w:r>
                </w:p>
                <w:p w14:paraId="62535BB1">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2024.12.11</w:t>
                  </w:r>
                </w:p>
              </w:tc>
              <w:tc>
                <w:tcPr>
                  <w:tcW w:w="906" w:type="pct"/>
                  <w:tcBorders>
                    <w:tl2br w:val="nil"/>
                    <w:tr2bl w:val="nil"/>
                  </w:tcBorders>
                  <w:shd w:val="clear" w:color="auto" w:fill="auto"/>
                  <w:vAlign w:val="center"/>
                </w:tcPr>
                <w:p w14:paraId="6146E7B0">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93.</w:t>
                  </w:r>
                  <w:r>
                    <w:rPr>
                      <w:rFonts w:hint="eastAsia"/>
                      <w:bCs/>
                      <w:szCs w:val="22"/>
                      <w:highlight w:val="none"/>
                      <w:lang w:val="en-US" w:eastAsia="zh-CN"/>
                    </w:rPr>
                    <w:t>6</w:t>
                  </w:r>
                </w:p>
              </w:tc>
              <w:tc>
                <w:tcPr>
                  <w:tcW w:w="906" w:type="pct"/>
                  <w:tcBorders>
                    <w:tl2br w:val="nil"/>
                    <w:tr2bl w:val="nil"/>
                  </w:tcBorders>
                  <w:shd w:val="clear" w:color="auto" w:fill="auto"/>
                  <w:vAlign w:val="center"/>
                </w:tcPr>
                <w:p w14:paraId="14CA24AE">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93.8</w:t>
                  </w:r>
                </w:p>
              </w:tc>
              <w:tc>
                <w:tcPr>
                  <w:tcW w:w="906" w:type="pct"/>
                  <w:tcBorders>
                    <w:tl2br w:val="nil"/>
                    <w:tr2bl w:val="nil"/>
                  </w:tcBorders>
                  <w:shd w:val="clear" w:color="auto" w:fill="auto"/>
                  <w:vAlign w:val="center"/>
                </w:tcPr>
                <w:p w14:paraId="6535FF07">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0</w:t>
                  </w:r>
                  <w:r>
                    <w:rPr>
                      <w:bCs/>
                      <w:szCs w:val="22"/>
                      <w:highlight w:val="none"/>
                    </w:rPr>
                    <w:t>.</w:t>
                  </w:r>
                  <w:r>
                    <w:rPr>
                      <w:rFonts w:hint="eastAsia"/>
                      <w:bCs/>
                      <w:szCs w:val="22"/>
                      <w:highlight w:val="none"/>
                      <w:lang w:val="en-US" w:eastAsia="zh-CN"/>
                    </w:rPr>
                    <w:t>2</w:t>
                  </w:r>
                </w:p>
              </w:tc>
              <w:tc>
                <w:tcPr>
                  <w:tcW w:w="1090" w:type="pct"/>
                  <w:tcBorders>
                    <w:tl2br w:val="nil"/>
                    <w:tr2bl w:val="nil"/>
                  </w:tcBorders>
                  <w:shd w:val="clear" w:color="auto" w:fill="auto"/>
                  <w:vAlign w:val="center"/>
                </w:tcPr>
                <w:p w14:paraId="7605B548">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0.5</w:t>
                  </w:r>
                </w:p>
              </w:tc>
              <w:tc>
                <w:tcPr>
                  <w:tcW w:w="349" w:type="pct"/>
                  <w:tcBorders>
                    <w:tl2br w:val="nil"/>
                    <w:tr2bl w:val="nil"/>
                  </w:tcBorders>
                  <w:shd w:val="clear" w:color="auto" w:fill="auto"/>
                  <w:vAlign w:val="center"/>
                </w:tcPr>
                <w:p w14:paraId="3D45ECAF">
                  <w:pPr>
                    <w:pStyle w:val="95"/>
                    <w:numPr>
                      <w:ilvl w:val="0"/>
                      <w:numId w:val="6"/>
                    </w:numPr>
                    <w:ind w:left="0" w:leftChars="0" w:firstLine="227" w:firstLineChars="0"/>
                    <w:jc w:val="center"/>
                    <w:rPr>
                      <w:rFonts w:hint="eastAsia" w:ascii="Calibri" w:hAnsi="Calibri" w:eastAsia="宋体" w:cs="Times New Roman"/>
                      <w:kern w:val="2"/>
                      <w:sz w:val="18"/>
                      <w:szCs w:val="21"/>
                      <w:highlight w:val="none"/>
                      <w:lang w:val="en-US" w:eastAsia="zh-CN" w:bidi="ar-SA"/>
                    </w:rPr>
                  </w:pPr>
                </w:p>
              </w:tc>
            </w:tr>
            <w:tr w14:paraId="56E37E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840" w:type="pct"/>
                  <w:tcBorders>
                    <w:tl2br w:val="nil"/>
                    <w:tr2bl w:val="nil"/>
                  </w:tcBorders>
                  <w:shd w:val="clear" w:color="auto" w:fill="auto"/>
                  <w:vAlign w:val="center"/>
                </w:tcPr>
                <w:p w14:paraId="7D8CB562">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lang w:val="en-US" w:eastAsia="zh-CN"/>
                    </w:rPr>
                    <w:t>2024.12.11</w:t>
                  </w:r>
                </w:p>
              </w:tc>
              <w:tc>
                <w:tcPr>
                  <w:tcW w:w="906" w:type="pct"/>
                  <w:tcBorders>
                    <w:tl2br w:val="nil"/>
                    <w:tr2bl w:val="nil"/>
                  </w:tcBorders>
                  <w:shd w:val="clear" w:color="auto" w:fill="auto"/>
                  <w:vAlign w:val="center"/>
                </w:tcPr>
                <w:p w14:paraId="68191D44">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93.</w:t>
                  </w:r>
                  <w:r>
                    <w:rPr>
                      <w:rFonts w:hint="eastAsia"/>
                      <w:bCs/>
                      <w:szCs w:val="22"/>
                      <w:highlight w:val="none"/>
                      <w:lang w:val="en-US" w:eastAsia="zh-CN"/>
                    </w:rPr>
                    <w:t>7</w:t>
                  </w:r>
                </w:p>
              </w:tc>
              <w:tc>
                <w:tcPr>
                  <w:tcW w:w="906" w:type="pct"/>
                  <w:tcBorders>
                    <w:tl2br w:val="nil"/>
                    <w:tr2bl w:val="nil"/>
                  </w:tcBorders>
                  <w:shd w:val="clear" w:color="auto" w:fill="auto"/>
                  <w:vAlign w:val="center"/>
                </w:tcPr>
                <w:p w14:paraId="5649ADD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93.8</w:t>
                  </w:r>
                </w:p>
              </w:tc>
              <w:tc>
                <w:tcPr>
                  <w:tcW w:w="906" w:type="pct"/>
                  <w:tcBorders>
                    <w:tl2br w:val="nil"/>
                    <w:tr2bl w:val="nil"/>
                  </w:tcBorders>
                  <w:shd w:val="clear" w:color="auto" w:fill="auto"/>
                  <w:vAlign w:val="center"/>
                </w:tcPr>
                <w:p w14:paraId="0C1320A5">
                  <w:pPr>
                    <w:spacing w:line="0" w:lineRule="atLeast"/>
                    <w:jc w:val="center"/>
                    <w:rPr>
                      <w:rFonts w:hint="eastAsia" w:ascii="Times New Roman" w:hAnsi="Times New Roman" w:eastAsia="宋体" w:cs="Times New Roman"/>
                      <w:bCs/>
                      <w:kern w:val="2"/>
                      <w:sz w:val="18"/>
                      <w:szCs w:val="22"/>
                      <w:highlight w:val="none"/>
                      <w:lang w:val="en-US" w:eastAsia="zh-CN" w:bidi="ar-SA"/>
                    </w:rPr>
                  </w:pPr>
                  <w:r>
                    <w:rPr>
                      <w:rFonts w:hint="eastAsia"/>
                      <w:bCs/>
                      <w:szCs w:val="22"/>
                      <w:highlight w:val="none"/>
                    </w:rPr>
                    <w:t>0</w:t>
                  </w:r>
                  <w:r>
                    <w:rPr>
                      <w:bCs/>
                      <w:szCs w:val="22"/>
                      <w:highlight w:val="none"/>
                    </w:rPr>
                    <w:t>.</w:t>
                  </w:r>
                  <w:r>
                    <w:rPr>
                      <w:rFonts w:hint="eastAsia"/>
                      <w:bCs/>
                      <w:szCs w:val="22"/>
                      <w:highlight w:val="none"/>
                      <w:lang w:val="en-US" w:eastAsia="zh-CN"/>
                    </w:rPr>
                    <w:t>1</w:t>
                  </w:r>
                </w:p>
              </w:tc>
              <w:tc>
                <w:tcPr>
                  <w:tcW w:w="1090" w:type="pct"/>
                  <w:tcBorders>
                    <w:tl2br w:val="nil"/>
                    <w:tr2bl w:val="nil"/>
                  </w:tcBorders>
                  <w:shd w:val="clear" w:color="auto" w:fill="auto"/>
                  <w:vAlign w:val="center"/>
                </w:tcPr>
                <w:p w14:paraId="37E45703">
                  <w:pPr>
                    <w:spacing w:line="0" w:lineRule="atLeast"/>
                    <w:jc w:val="center"/>
                    <w:rPr>
                      <w:rFonts w:hint="eastAsia" w:ascii="Times New Roman" w:hAnsi="Times New Roman" w:eastAsia="宋体" w:cs="Times New Roman"/>
                      <w:bCs/>
                      <w:kern w:val="2"/>
                      <w:sz w:val="18"/>
                      <w:szCs w:val="22"/>
                      <w:highlight w:val="none"/>
                      <w:lang w:val="en-US" w:eastAsia="zh-CN" w:bidi="ar-SA"/>
                    </w:rPr>
                  </w:pPr>
                  <w:r>
                    <w:rPr>
                      <w:bCs/>
                      <w:szCs w:val="22"/>
                      <w:highlight w:val="none"/>
                    </w:rPr>
                    <w:t>0.5</w:t>
                  </w:r>
                </w:p>
              </w:tc>
              <w:tc>
                <w:tcPr>
                  <w:tcW w:w="349" w:type="pct"/>
                  <w:tcBorders>
                    <w:tl2br w:val="nil"/>
                    <w:tr2bl w:val="nil"/>
                  </w:tcBorders>
                  <w:shd w:val="clear" w:color="auto" w:fill="auto"/>
                  <w:vAlign w:val="center"/>
                </w:tcPr>
                <w:p w14:paraId="3DC5D6B9">
                  <w:pPr>
                    <w:pStyle w:val="95"/>
                    <w:numPr>
                      <w:ilvl w:val="0"/>
                      <w:numId w:val="6"/>
                    </w:numPr>
                    <w:ind w:left="0" w:leftChars="0" w:firstLine="227" w:firstLineChars="0"/>
                    <w:jc w:val="center"/>
                    <w:rPr>
                      <w:rFonts w:hint="eastAsia" w:ascii="Calibri" w:hAnsi="Calibri" w:eastAsia="宋体" w:cs="Times New Roman"/>
                      <w:kern w:val="2"/>
                      <w:sz w:val="18"/>
                      <w:szCs w:val="21"/>
                      <w:highlight w:val="none"/>
                      <w:lang w:val="en-US" w:eastAsia="zh-CN" w:bidi="ar-SA"/>
                    </w:rPr>
                  </w:pPr>
                </w:p>
              </w:tc>
            </w:tr>
          </w:tbl>
          <w:p w14:paraId="4BEBAF48">
            <w:pPr>
              <w:pStyle w:val="91"/>
              <w:adjustRightInd/>
              <w:snapToGrid/>
              <w:spacing w:line="360" w:lineRule="auto"/>
              <w:ind w:firstLine="0" w:firstLineChars="0"/>
              <w:rPr>
                <w:color w:val="auto"/>
                <w:sz w:val="10"/>
                <w:szCs w:val="10"/>
                <w:highlight w:val="none"/>
              </w:rPr>
            </w:pPr>
          </w:p>
        </w:tc>
      </w:tr>
    </w:tbl>
    <w:p w14:paraId="7233DFBC">
      <w:pPr>
        <w:pStyle w:val="4"/>
        <w:adjustRightInd/>
        <w:snapToGrid/>
        <w:rPr>
          <w:color w:val="auto"/>
          <w:highlight w:val="none"/>
        </w:rPr>
      </w:pPr>
      <w:bookmarkStart w:id="6" w:name="_Toc31668"/>
      <w:r>
        <w:rPr>
          <w:rFonts w:hint="eastAsia"/>
          <w:color w:val="auto"/>
          <w:highlight w:val="none"/>
        </w:rPr>
        <w:t>表六验收监测内容</w:t>
      </w:r>
      <w:bookmarkEnd w:id="6"/>
    </w:p>
    <w:tbl>
      <w:tblPr>
        <w:tblStyle w:val="2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25FD3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trPr>
        <w:tc>
          <w:tcPr>
            <w:tcW w:w="9286" w:type="dxa"/>
            <w:tcBorders>
              <w:top w:val="single" w:color="auto" w:sz="12" w:space="0"/>
              <w:left w:val="single" w:color="auto" w:sz="12" w:space="0"/>
              <w:bottom w:val="single" w:color="auto" w:sz="12" w:space="0"/>
              <w:right w:val="single" w:color="auto" w:sz="12" w:space="0"/>
            </w:tcBorders>
          </w:tcPr>
          <w:p w14:paraId="6F6E312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6.1验收监测内容</w:t>
            </w:r>
          </w:p>
          <w:p w14:paraId="0A2730B2">
            <w:pPr>
              <w:adjustRightInd/>
              <w:snapToGrid/>
              <w:spacing w:line="360" w:lineRule="auto"/>
              <w:ind w:firstLine="480"/>
              <w:rPr>
                <w:rFonts w:hint="default" w:eastAsiaTheme="minorEastAsia"/>
                <w:color w:val="auto"/>
                <w:sz w:val="24"/>
                <w:highlight w:val="red"/>
                <w:lang w:val="en-US" w:eastAsia="zh-CN"/>
              </w:rPr>
            </w:pPr>
            <w:r>
              <w:rPr>
                <w:color w:val="auto"/>
                <w:sz w:val="24"/>
                <w:highlight w:val="none"/>
              </w:rPr>
              <w:t>针对环评提出的</w:t>
            </w:r>
            <w:r>
              <w:rPr>
                <w:rFonts w:hint="eastAsia"/>
                <w:color w:val="auto"/>
                <w:sz w:val="24"/>
                <w:highlight w:val="none"/>
              </w:rPr>
              <w:t>“三同时”制度</w:t>
            </w:r>
            <w:r>
              <w:rPr>
                <w:color w:val="auto"/>
                <w:sz w:val="24"/>
                <w:highlight w:val="none"/>
              </w:rPr>
              <w:t>，在资料收集、实地踏勘论证的基础上，以建设项目环境影响报告表、批复要求为依据，</w:t>
            </w:r>
            <w:r>
              <w:rPr>
                <w:rFonts w:hint="eastAsia"/>
                <w:color w:val="auto"/>
                <w:sz w:val="24"/>
                <w:highlight w:val="none"/>
              </w:rPr>
              <w:t>对项目污染源及其环保设施进行检测、检查和验收</w:t>
            </w:r>
            <w:r>
              <w:rPr>
                <w:rFonts w:hint="eastAsia"/>
                <w:color w:val="auto"/>
                <w:sz w:val="24"/>
                <w:highlight w:val="none"/>
                <w:lang w:eastAsia="zh-CN"/>
              </w:rPr>
              <w:t>，</w:t>
            </w:r>
            <w:r>
              <w:rPr>
                <w:rFonts w:hint="eastAsia"/>
                <w:color w:val="auto"/>
                <w:sz w:val="24"/>
                <w:highlight w:val="none"/>
              </w:rPr>
              <w:t>验收监测数据报告见附件</w:t>
            </w:r>
            <w:r>
              <w:rPr>
                <w:rFonts w:hint="eastAsia"/>
                <w:color w:val="auto"/>
                <w:sz w:val="24"/>
                <w:highlight w:val="none"/>
                <w:lang w:val="en-US" w:eastAsia="zh-CN"/>
              </w:rPr>
              <w:t>9</w:t>
            </w:r>
            <w:r>
              <w:rPr>
                <w:rFonts w:hint="eastAsia"/>
                <w:color w:val="auto"/>
                <w:sz w:val="24"/>
                <w:highlight w:val="none"/>
              </w:rPr>
              <w:t>。</w:t>
            </w:r>
          </w:p>
          <w:p w14:paraId="225CE4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黑体"/>
                <w:bCs/>
                <w:color w:val="auto"/>
                <w:sz w:val="24"/>
                <w:szCs w:val="24"/>
                <w:highlight w:val="none"/>
              </w:rPr>
            </w:pPr>
            <w:r>
              <w:rPr>
                <w:rFonts w:hint="eastAsia" w:eastAsia="黑体"/>
                <w:bCs/>
                <w:color w:val="auto"/>
                <w:sz w:val="24"/>
                <w:szCs w:val="24"/>
                <w:highlight w:val="none"/>
              </w:rPr>
              <w:t>6.1.1废气</w:t>
            </w:r>
          </w:p>
          <w:p w14:paraId="552DBF1A">
            <w:pPr>
              <w:adjustRightInd/>
              <w:snapToGrid/>
              <w:spacing w:line="360" w:lineRule="auto"/>
              <w:ind w:firstLine="480" w:firstLineChars="200"/>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eastAsia="zh-CN"/>
              </w:rPr>
              <w:t>根据“关于发布《建设项目竣工环境保护验收技术指南污染影响类》的公告”（生态环境部公告公告2018年第9号）：</w:t>
            </w:r>
            <w:r>
              <w:rPr>
                <w:rFonts w:hint="eastAsia" w:ascii="Times New Roman" w:hAnsi="Times New Roman" w:eastAsia="宋体" w:cs="Times New Roman"/>
                <w:color w:val="auto"/>
                <w:sz w:val="24"/>
                <w:szCs w:val="24"/>
                <w:highlight w:val="none"/>
              </w:rPr>
              <w:t>对型号、功能相同的多个小型环境保护设施处理效率监测和污染物排放监测，可采用随机抽测方法进行。抽测的原则为：同样设施总数大于5个且小于20个的，随机抽测设施数量比例应不小于同样设施总数量的50％；同样设施总数大于20个的，随机抽测设施数量比例应不小于同样设施总数量的30％</w:t>
            </w:r>
            <w:r>
              <w:rPr>
                <w:rFonts w:hint="eastAsia" w:ascii="Times New Roman" w:hAnsi="Times New Roman" w:eastAsia="宋体" w:cs="Times New Roman"/>
                <w:color w:val="auto"/>
                <w:sz w:val="24"/>
                <w:szCs w:val="24"/>
                <w:highlight w:val="none"/>
                <w:lang w:eastAsia="zh-CN"/>
              </w:rPr>
              <w:t>。</w:t>
            </w:r>
          </w:p>
          <w:p w14:paraId="5E37B427">
            <w:pPr>
              <w:adjustRightInd/>
              <w:snapToGrid/>
              <w:spacing w:line="360" w:lineRule="auto"/>
              <w:ind w:firstLine="480"/>
              <w:rPr>
                <w:rFonts w:hint="eastAsia"/>
                <w:color w:val="auto"/>
                <w:sz w:val="24"/>
                <w:highlight w:val="none"/>
              </w:rPr>
            </w:pPr>
            <w:r>
              <w:rPr>
                <w:rFonts w:hint="eastAsia"/>
                <w:color w:val="auto"/>
                <w:sz w:val="24"/>
                <w:highlight w:val="none"/>
                <w:lang w:eastAsia="zh-CN"/>
              </w:rPr>
              <w:t>续建工程共设置</w:t>
            </w:r>
            <w:r>
              <w:rPr>
                <w:rFonts w:hint="eastAsia"/>
                <w:color w:val="auto"/>
                <w:sz w:val="24"/>
                <w:highlight w:val="none"/>
                <w:lang w:val="en-US" w:eastAsia="zh-CN"/>
              </w:rPr>
              <w:t>6个型号、功能相同的环境保护设施及废气排放口（DA005~DA010），属于“</w:t>
            </w:r>
            <w:r>
              <w:rPr>
                <w:rFonts w:hint="eastAsia" w:ascii="Times New Roman" w:hAnsi="Times New Roman" w:eastAsia="宋体" w:cs="Times New Roman"/>
                <w:color w:val="auto"/>
                <w:sz w:val="24"/>
                <w:szCs w:val="24"/>
                <w:highlight w:val="none"/>
              </w:rPr>
              <w:t>同样设施总数大于5个且小于20个的</w:t>
            </w:r>
            <w:r>
              <w:rPr>
                <w:rFonts w:hint="eastAsia"/>
                <w:color w:val="auto"/>
                <w:sz w:val="24"/>
                <w:highlight w:val="none"/>
                <w:lang w:val="en-US" w:eastAsia="zh-CN"/>
              </w:rPr>
              <w:t>”</w:t>
            </w:r>
            <w:r>
              <w:rPr>
                <w:rFonts w:hint="eastAsia" w:ascii="Times New Roman" w:hAnsi="Times New Roman" w:eastAsia="宋体" w:cs="Times New Roman"/>
                <w:color w:val="auto"/>
                <w:sz w:val="24"/>
                <w:szCs w:val="24"/>
                <w:highlight w:val="none"/>
              </w:rPr>
              <w:t>，随机抽测设施数量比例应不小于同样设施总数量的50％</w:t>
            </w:r>
            <w:r>
              <w:rPr>
                <w:rFonts w:hint="eastAsia" w:ascii="Times New Roman" w:hAnsi="Times New Roman" w:eastAsia="宋体" w:cs="Times New Roman"/>
                <w:color w:val="auto"/>
                <w:sz w:val="24"/>
                <w:szCs w:val="24"/>
                <w:highlight w:val="none"/>
                <w:lang w:eastAsia="zh-CN"/>
              </w:rPr>
              <w:t>。</w:t>
            </w:r>
          </w:p>
          <w:p w14:paraId="3E474A4D">
            <w:pPr>
              <w:adjustRightInd/>
              <w:snapToGrid/>
              <w:spacing w:line="360" w:lineRule="auto"/>
              <w:ind w:firstLine="480"/>
              <w:rPr>
                <w:color w:val="auto"/>
                <w:sz w:val="24"/>
                <w:highlight w:val="red"/>
              </w:rPr>
            </w:pPr>
            <w:r>
              <w:rPr>
                <w:rFonts w:hint="eastAsia"/>
                <w:color w:val="auto"/>
                <w:sz w:val="24"/>
                <w:highlight w:val="none"/>
              </w:rPr>
              <w:t>废气</w:t>
            </w:r>
            <w:r>
              <w:rPr>
                <w:color w:val="auto"/>
                <w:sz w:val="24"/>
                <w:highlight w:val="none"/>
              </w:rPr>
              <w:t>验收监测内容见</w:t>
            </w:r>
            <w:r>
              <w:rPr>
                <w:rFonts w:hint="eastAsia"/>
                <w:color w:val="auto"/>
                <w:sz w:val="24"/>
                <w:highlight w:val="none"/>
              </w:rPr>
              <w:t>下</w:t>
            </w:r>
            <w:r>
              <w:rPr>
                <w:color w:val="auto"/>
                <w:sz w:val="24"/>
                <w:highlight w:val="none"/>
              </w:rPr>
              <w:t>表，监测点位设置见</w:t>
            </w:r>
            <w:r>
              <w:rPr>
                <w:rFonts w:hint="eastAsia"/>
                <w:color w:val="auto"/>
                <w:sz w:val="24"/>
                <w:highlight w:val="none"/>
              </w:rPr>
              <w:t>附图</w:t>
            </w:r>
            <w:r>
              <w:rPr>
                <w:rFonts w:hint="eastAsia"/>
                <w:color w:val="auto"/>
                <w:sz w:val="24"/>
                <w:highlight w:val="none"/>
                <w:lang w:val="en-US" w:eastAsia="zh-CN"/>
              </w:rPr>
              <w:t>6</w:t>
            </w:r>
            <w:r>
              <w:rPr>
                <w:rFonts w:hint="eastAsia"/>
                <w:color w:val="auto"/>
                <w:sz w:val="24"/>
                <w:highlight w:val="none"/>
              </w:rPr>
              <w:t>。</w:t>
            </w:r>
          </w:p>
          <w:p w14:paraId="11B794F7">
            <w:pPr>
              <w:pStyle w:val="121"/>
              <w:adjustRightInd/>
              <w:snapToGrid/>
              <w:rPr>
                <w:color w:val="auto"/>
                <w:sz w:val="21"/>
                <w:highlight w:val="none"/>
              </w:rPr>
            </w:pPr>
            <w:r>
              <w:rPr>
                <w:rFonts w:hint="eastAsia"/>
                <w:color w:val="auto"/>
                <w:sz w:val="21"/>
                <w:highlight w:val="none"/>
              </w:rPr>
              <w:t>废气监测内容一览表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221"/>
              <w:gridCol w:w="2741"/>
              <w:gridCol w:w="3771"/>
              <w:gridCol w:w="1333"/>
            </w:tblGrid>
            <w:tr w14:paraId="0A8203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tblHeader/>
                <w:jc w:val="center"/>
              </w:trPr>
              <w:tc>
                <w:tcPr>
                  <w:tcW w:w="673" w:type="pct"/>
                  <w:tcBorders>
                    <w:tl2br w:val="nil"/>
                    <w:tr2bl w:val="nil"/>
                  </w:tcBorders>
                  <w:vAlign w:val="center"/>
                </w:tcPr>
                <w:p w14:paraId="2BB6821D">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检测类别</w:t>
                  </w:r>
                </w:p>
              </w:tc>
              <w:tc>
                <w:tcPr>
                  <w:tcW w:w="1511" w:type="pct"/>
                  <w:tcBorders>
                    <w:tl2br w:val="nil"/>
                    <w:tr2bl w:val="nil"/>
                  </w:tcBorders>
                  <w:vAlign w:val="center"/>
                </w:tcPr>
                <w:p w14:paraId="3794890D">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检测点位</w:t>
                  </w:r>
                </w:p>
              </w:tc>
              <w:tc>
                <w:tcPr>
                  <w:tcW w:w="2079" w:type="pct"/>
                  <w:tcBorders>
                    <w:tl2br w:val="nil"/>
                    <w:tr2bl w:val="nil"/>
                  </w:tcBorders>
                  <w:vAlign w:val="center"/>
                </w:tcPr>
                <w:p w14:paraId="387BE916">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检测项目</w:t>
                  </w:r>
                </w:p>
              </w:tc>
              <w:tc>
                <w:tcPr>
                  <w:tcW w:w="735" w:type="pct"/>
                  <w:tcBorders>
                    <w:tl2br w:val="nil"/>
                    <w:tr2bl w:val="nil"/>
                  </w:tcBorders>
                  <w:vAlign w:val="center"/>
                </w:tcPr>
                <w:p w14:paraId="03E8524A">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检测频次</w:t>
                  </w:r>
                </w:p>
              </w:tc>
            </w:tr>
            <w:tr w14:paraId="1BAEE8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restart"/>
                  <w:tcBorders>
                    <w:tl2br w:val="nil"/>
                    <w:tr2bl w:val="nil"/>
                  </w:tcBorders>
                  <w:vAlign w:val="center"/>
                </w:tcPr>
                <w:p w14:paraId="43F3C6AE">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有组织废气</w:t>
                  </w:r>
                </w:p>
              </w:tc>
              <w:tc>
                <w:tcPr>
                  <w:tcW w:w="1511" w:type="pct"/>
                  <w:vMerge w:val="restart"/>
                  <w:tcBorders>
                    <w:tl2br w:val="nil"/>
                    <w:tr2bl w:val="nil"/>
                  </w:tcBorders>
                  <w:vAlign w:val="center"/>
                </w:tcPr>
                <w:p w14:paraId="65D78317">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DA005</w:t>
                  </w:r>
                  <w:r>
                    <w:rPr>
                      <w:rFonts w:hint="eastAsia" w:ascii="Times New Roman" w:hAnsi="Times New Roman" w:eastAsia="宋体" w:cs="Times New Roman"/>
                      <w:color w:val="auto"/>
                      <w:sz w:val="18"/>
                      <w:szCs w:val="18"/>
                      <w:highlight w:val="none"/>
                      <w:lang w:eastAsia="zh-CN"/>
                    </w:rPr>
                    <w:t>废气排放口◎YQ1</w:t>
                  </w:r>
                </w:p>
              </w:tc>
              <w:tc>
                <w:tcPr>
                  <w:tcW w:w="2079" w:type="pct"/>
                  <w:tcBorders>
                    <w:tl2br w:val="nil"/>
                    <w:tr2bl w:val="nil"/>
                  </w:tcBorders>
                  <w:vAlign w:val="center"/>
                </w:tcPr>
                <w:p w14:paraId="4A074B98">
                  <w:pPr>
                    <w:adjustRightInd w:val="0"/>
                    <w:snapToGrid w:val="0"/>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eastAsia="zh-CN"/>
                    </w:rPr>
                    <w:t>颗粒物、二氧化硫、氮氧化物、</w:t>
                  </w:r>
                  <w:r>
                    <w:rPr>
                      <w:rFonts w:hint="eastAsia" w:ascii="Times New Roman" w:hAnsi="Times New Roman" w:eastAsia="宋体" w:cs="Times New Roman"/>
                      <w:color w:val="auto"/>
                      <w:sz w:val="18"/>
                      <w:szCs w:val="18"/>
                      <w:highlight w:val="none"/>
                      <w:lang w:val="en-US" w:eastAsia="zh-CN"/>
                    </w:rPr>
                    <w:t>氨</w:t>
                  </w:r>
                </w:p>
              </w:tc>
              <w:tc>
                <w:tcPr>
                  <w:tcW w:w="735" w:type="pct"/>
                  <w:tcBorders>
                    <w:tl2br w:val="nil"/>
                    <w:tr2bl w:val="nil"/>
                  </w:tcBorders>
                  <w:vAlign w:val="center"/>
                </w:tcPr>
                <w:p w14:paraId="6F55736A">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3</w:t>
                  </w:r>
                  <w:r>
                    <w:rPr>
                      <w:rFonts w:hint="eastAsia" w:ascii="Times New Roman" w:hAnsi="Times New Roman" w:eastAsia="宋体" w:cs="Times New Roman"/>
                      <w:color w:val="auto"/>
                      <w:sz w:val="18"/>
                      <w:szCs w:val="18"/>
                      <w:highlight w:val="none"/>
                      <w:lang w:eastAsia="zh-CN"/>
                    </w:rPr>
                    <w:t>次/天</w:t>
                  </w:r>
                </w:p>
                <w:p w14:paraId="1128BA43">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3FCF68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67761DD4">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vMerge w:val="continue"/>
                  <w:tcBorders>
                    <w:tl2br w:val="nil"/>
                    <w:tr2bl w:val="nil"/>
                  </w:tcBorders>
                  <w:vAlign w:val="center"/>
                </w:tcPr>
                <w:p w14:paraId="004FD8D9">
                  <w:pPr>
                    <w:adjustRightInd w:val="0"/>
                    <w:snapToGrid w:val="0"/>
                    <w:jc w:val="center"/>
                    <w:rPr>
                      <w:rFonts w:hint="eastAsia" w:ascii="Times New Roman" w:hAnsi="Times New Roman" w:eastAsia="宋体" w:cs="Times New Roman"/>
                      <w:color w:val="auto"/>
                      <w:sz w:val="18"/>
                      <w:szCs w:val="18"/>
                      <w:highlight w:val="none"/>
                      <w:lang w:val="en-US" w:eastAsia="zh-CN"/>
                    </w:rPr>
                  </w:pPr>
                </w:p>
              </w:tc>
              <w:tc>
                <w:tcPr>
                  <w:tcW w:w="2079" w:type="pct"/>
                  <w:tcBorders>
                    <w:tl2br w:val="nil"/>
                    <w:tr2bl w:val="nil"/>
                  </w:tcBorders>
                  <w:vAlign w:val="center"/>
                </w:tcPr>
                <w:p w14:paraId="4D7AEA8E">
                  <w:pPr>
                    <w:adjustRightInd w:val="0"/>
                    <w:snapToGrid w:val="0"/>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林格曼黑度</w:t>
                  </w:r>
                </w:p>
              </w:tc>
              <w:tc>
                <w:tcPr>
                  <w:tcW w:w="735" w:type="pct"/>
                  <w:tcBorders>
                    <w:tl2br w:val="nil"/>
                    <w:tr2bl w:val="nil"/>
                  </w:tcBorders>
                  <w:vAlign w:val="center"/>
                </w:tcPr>
                <w:p w14:paraId="76F8F509">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1</w:t>
                  </w:r>
                  <w:r>
                    <w:rPr>
                      <w:rFonts w:hint="eastAsia" w:ascii="Times New Roman" w:hAnsi="Times New Roman" w:eastAsia="宋体" w:cs="Times New Roman"/>
                      <w:color w:val="auto"/>
                      <w:sz w:val="18"/>
                      <w:szCs w:val="18"/>
                      <w:highlight w:val="none"/>
                      <w:lang w:eastAsia="zh-CN"/>
                    </w:rPr>
                    <w:t>次/天</w:t>
                  </w:r>
                </w:p>
                <w:p w14:paraId="26574D6D">
                  <w:pPr>
                    <w:adjustRightInd w:val="0"/>
                    <w:snapToGrid w:val="0"/>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eastAsia="zh-CN"/>
                    </w:rPr>
                    <w:t>检测2天</w:t>
                  </w:r>
                </w:p>
              </w:tc>
            </w:tr>
            <w:tr w14:paraId="60932E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17E179D6">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vMerge w:val="restart"/>
                  <w:tcBorders>
                    <w:tl2br w:val="nil"/>
                    <w:tr2bl w:val="nil"/>
                  </w:tcBorders>
                  <w:vAlign w:val="center"/>
                </w:tcPr>
                <w:p w14:paraId="60C5538B">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DA007</w:t>
                  </w:r>
                  <w:r>
                    <w:rPr>
                      <w:rFonts w:hint="eastAsia" w:ascii="Times New Roman" w:hAnsi="Times New Roman" w:eastAsia="宋体" w:cs="Times New Roman"/>
                      <w:color w:val="auto"/>
                      <w:sz w:val="18"/>
                      <w:szCs w:val="18"/>
                      <w:highlight w:val="none"/>
                      <w:lang w:eastAsia="zh-CN"/>
                    </w:rPr>
                    <w:t>废气排放口◎YQ2</w:t>
                  </w:r>
                </w:p>
              </w:tc>
              <w:tc>
                <w:tcPr>
                  <w:tcW w:w="2079" w:type="pct"/>
                  <w:tcBorders>
                    <w:tl2br w:val="nil"/>
                    <w:tr2bl w:val="nil"/>
                  </w:tcBorders>
                  <w:vAlign w:val="center"/>
                </w:tcPr>
                <w:p w14:paraId="6ADBD3F5">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颗粒物、二氧化硫、氮氧化物、</w:t>
                  </w:r>
                  <w:r>
                    <w:rPr>
                      <w:rFonts w:hint="eastAsia" w:ascii="Times New Roman" w:hAnsi="Times New Roman" w:eastAsia="宋体" w:cs="Times New Roman"/>
                      <w:color w:val="auto"/>
                      <w:sz w:val="18"/>
                      <w:szCs w:val="18"/>
                      <w:highlight w:val="none"/>
                      <w:lang w:val="en-US" w:eastAsia="zh-CN"/>
                    </w:rPr>
                    <w:t>氨</w:t>
                  </w:r>
                </w:p>
              </w:tc>
              <w:tc>
                <w:tcPr>
                  <w:tcW w:w="735" w:type="pct"/>
                  <w:tcBorders>
                    <w:tl2br w:val="nil"/>
                    <w:tr2bl w:val="nil"/>
                  </w:tcBorders>
                  <w:vAlign w:val="center"/>
                </w:tcPr>
                <w:p w14:paraId="7EE450FF">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3</w:t>
                  </w:r>
                  <w:r>
                    <w:rPr>
                      <w:rFonts w:hint="eastAsia" w:ascii="Times New Roman" w:hAnsi="Times New Roman" w:eastAsia="宋体" w:cs="Times New Roman"/>
                      <w:color w:val="auto"/>
                      <w:sz w:val="18"/>
                      <w:szCs w:val="18"/>
                      <w:highlight w:val="none"/>
                      <w:lang w:eastAsia="zh-CN"/>
                    </w:rPr>
                    <w:t>次/天</w:t>
                  </w:r>
                </w:p>
                <w:p w14:paraId="4CA6A175">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4163F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01A193D8">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vMerge w:val="continue"/>
                  <w:tcBorders>
                    <w:tl2br w:val="nil"/>
                    <w:tr2bl w:val="nil"/>
                  </w:tcBorders>
                  <w:vAlign w:val="center"/>
                </w:tcPr>
                <w:p w14:paraId="1E3BA7B6">
                  <w:pPr>
                    <w:adjustRightInd w:val="0"/>
                    <w:snapToGrid w:val="0"/>
                    <w:jc w:val="center"/>
                    <w:rPr>
                      <w:rFonts w:hint="eastAsia" w:ascii="Times New Roman" w:hAnsi="Times New Roman" w:eastAsia="宋体" w:cs="Times New Roman"/>
                      <w:color w:val="auto"/>
                      <w:sz w:val="18"/>
                      <w:szCs w:val="18"/>
                      <w:highlight w:val="none"/>
                      <w:lang w:val="en-US" w:eastAsia="zh-CN"/>
                    </w:rPr>
                  </w:pPr>
                </w:p>
              </w:tc>
              <w:tc>
                <w:tcPr>
                  <w:tcW w:w="2079" w:type="pct"/>
                  <w:tcBorders>
                    <w:tl2br w:val="nil"/>
                    <w:tr2bl w:val="nil"/>
                  </w:tcBorders>
                  <w:vAlign w:val="center"/>
                </w:tcPr>
                <w:p w14:paraId="34CE460A">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林格曼黑度</w:t>
                  </w:r>
                </w:p>
              </w:tc>
              <w:tc>
                <w:tcPr>
                  <w:tcW w:w="735" w:type="pct"/>
                  <w:tcBorders>
                    <w:tl2br w:val="nil"/>
                    <w:tr2bl w:val="nil"/>
                  </w:tcBorders>
                  <w:vAlign w:val="center"/>
                </w:tcPr>
                <w:p w14:paraId="60C5E249">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1</w:t>
                  </w:r>
                  <w:r>
                    <w:rPr>
                      <w:rFonts w:hint="eastAsia" w:ascii="Times New Roman" w:hAnsi="Times New Roman" w:eastAsia="宋体" w:cs="Times New Roman"/>
                      <w:color w:val="auto"/>
                      <w:sz w:val="18"/>
                      <w:szCs w:val="18"/>
                      <w:highlight w:val="none"/>
                      <w:lang w:eastAsia="zh-CN"/>
                    </w:rPr>
                    <w:t>次/天</w:t>
                  </w:r>
                </w:p>
                <w:p w14:paraId="32D5B17C">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2D7C67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447729A1">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vMerge w:val="restart"/>
                  <w:tcBorders>
                    <w:tl2br w:val="nil"/>
                    <w:tr2bl w:val="nil"/>
                  </w:tcBorders>
                  <w:vAlign w:val="center"/>
                </w:tcPr>
                <w:p w14:paraId="0F6C7C23">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DA010</w:t>
                  </w:r>
                  <w:r>
                    <w:rPr>
                      <w:rFonts w:hint="eastAsia" w:ascii="Times New Roman" w:hAnsi="Times New Roman" w:eastAsia="宋体" w:cs="Times New Roman"/>
                      <w:color w:val="auto"/>
                      <w:sz w:val="18"/>
                      <w:szCs w:val="18"/>
                      <w:highlight w:val="none"/>
                      <w:lang w:eastAsia="zh-CN"/>
                    </w:rPr>
                    <w:t>废气排放口◎YQ3</w:t>
                  </w:r>
                </w:p>
              </w:tc>
              <w:tc>
                <w:tcPr>
                  <w:tcW w:w="2079" w:type="pct"/>
                  <w:tcBorders>
                    <w:tl2br w:val="nil"/>
                    <w:tr2bl w:val="nil"/>
                  </w:tcBorders>
                  <w:vAlign w:val="center"/>
                </w:tcPr>
                <w:p w14:paraId="45C59760">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颗粒物、二氧化硫、氮氧化物、</w:t>
                  </w:r>
                  <w:r>
                    <w:rPr>
                      <w:rFonts w:hint="eastAsia" w:ascii="Times New Roman" w:hAnsi="Times New Roman" w:eastAsia="宋体" w:cs="Times New Roman"/>
                      <w:color w:val="auto"/>
                      <w:sz w:val="18"/>
                      <w:szCs w:val="18"/>
                      <w:highlight w:val="none"/>
                      <w:lang w:val="en-US" w:eastAsia="zh-CN"/>
                    </w:rPr>
                    <w:t>氨</w:t>
                  </w:r>
                </w:p>
              </w:tc>
              <w:tc>
                <w:tcPr>
                  <w:tcW w:w="735" w:type="pct"/>
                  <w:tcBorders>
                    <w:tl2br w:val="nil"/>
                    <w:tr2bl w:val="nil"/>
                  </w:tcBorders>
                  <w:vAlign w:val="center"/>
                </w:tcPr>
                <w:p w14:paraId="53D995A1">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3</w:t>
                  </w:r>
                  <w:r>
                    <w:rPr>
                      <w:rFonts w:hint="eastAsia" w:ascii="Times New Roman" w:hAnsi="Times New Roman" w:eastAsia="宋体" w:cs="Times New Roman"/>
                      <w:color w:val="auto"/>
                      <w:sz w:val="18"/>
                      <w:szCs w:val="18"/>
                      <w:highlight w:val="none"/>
                      <w:lang w:eastAsia="zh-CN"/>
                    </w:rPr>
                    <w:t>次/天</w:t>
                  </w:r>
                </w:p>
                <w:p w14:paraId="3963785E">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7EBF0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23E5E3A3">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vMerge w:val="continue"/>
                  <w:tcBorders>
                    <w:tl2br w:val="nil"/>
                    <w:tr2bl w:val="nil"/>
                  </w:tcBorders>
                  <w:vAlign w:val="center"/>
                </w:tcPr>
                <w:p w14:paraId="51C87B83">
                  <w:pPr>
                    <w:adjustRightInd w:val="0"/>
                    <w:snapToGrid w:val="0"/>
                    <w:jc w:val="center"/>
                    <w:rPr>
                      <w:rFonts w:hint="eastAsia" w:ascii="Times New Roman" w:hAnsi="Times New Roman" w:eastAsia="宋体" w:cs="Times New Roman"/>
                      <w:color w:val="auto"/>
                      <w:sz w:val="18"/>
                      <w:szCs w:val="18"/>
                      <w:highlight w:val="none"/>
                      <w:lang w:val="en-US" w:eastAsia="zh-CN"/>
                    </w:rPr>
                  </w:pPr>
                </w:p>
              </w:tc>
              <w:tc>
                <w:tcPr>
                  <w:tcW w:w="2079" w:type="pct"/>
                  <w:tcBorders>
                    <w:tl2br w:val="nil"/>
                    <w:tr2bl w:val="nil"/>
                  </w:tcBorders>
                  <w:vAlign w:val="center"/>
                </w:tcPr>
                <w:p w14:paraId="05E4ADA8">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林格曼黑度</w:t>
                  </w:r>
                </w:p>
              </w:tc>
              <w:tc>
                <w:tcPr>
                  <w:tcW w:w="735" w:type="pct"/>
                  <w:tcBorders>
                    <w:tl2br w:val="nil"/>
                    <w:tr2bl w:val="nil"/>
                  </w:tcBorders>
                  <w:vAlign w:val="center"/>
                </w:tcPr>
                <w:p w14:paraId="479DD321">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val="en-US" w:eastAsia="zh-CN"/>
                    </w:rPr>
                    <w:t>1</w:t>
                  </w:r>
                  <w:r>
                    <w:rPr>
                      <w:rFonts w:hint="eastAsia" w:ascii="Times New Roman" w:hAnsi="Times New Roman" w:eastAsia="宋体" w:cs="Times New Roman"/>
                      <w:color w:val="auto"/>
                      <w:sz w:val="18"/>
                      <w:szCs w:val="18"/>
                      <w:highlight w:val="none"/>
                      <w:lang w:eastAsia="zh-CN"/>
                    </w:rPr>
                    <w:t>次/天</w:t>
                  </w:r>
                </w:p>
                <w:p w14:paraId="7FF964BD">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390605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restart"/>
                  <w:tcBorders>
                    <w:tl2br w:val="nil"/>
                    <w:tr2bl w:val="nil"/>
                  </w:tcBorders>
                  <w:vAlign w:val="center"/>
                </w:tcPr>
                <w:p w14:paraId="438D86F1">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无组织废气</w:t>
                  </w:r>
                </w:p>
              </w:tc>
              <w:tc>
                <w:tcPr>
                  <w:tcW w:w="1511" w:type="pct"/>
                  <w:tcBorders>
                    <w:tl2br w:val="nil"/>
                    <w:tr2bl w:val="nil"/>
                  </w:tcBorders>
                  <w:vAlign w:val="center"/>
                </w:tcPr>
                <w:p w14:paraId="7D06745C">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厂界上风向</w:t>
                  </w:r>
                  <w:r>
                    <w:rPr>
                      <w:rFonts w:hint="eastAsia" w:ascii="Times New Roman" w:hAnsi="Times New Roman" w:eastAsia="宋体" w:cs="Times New Roman"/>
                      <w:color w:val="auto"/>
                      <w:sz w:val="18"/>
                      <w:szCs w:val="18"/>
                      <w:highlight w:val="none"/>
                      <w:lang w:val="en-US" w:eastAsia="zh-CN"/>
                    </w:rPr>
                    <w:t>01#</w:t>
                  </w:r>
                  <w:r>
                    <w:rPr>
                      <w:rFonts w:hint="eastAsia" w:ascii="Times New Roman" w:hAnsi="Times New Roman" w:eastAsia="宋体" w:cs="Times New Roman"/>
                      <w:color w:val="auto"/>
                      <w:sz w:val="18"/>
                      <w:szCs w:val="18"/>
                      <w:highlight w:val="none"/>
                      <w:lang w:eastAsia="zh-CN"/>
                    </w:rPr>
                    <w:t>〇WQ1</w:t>
                  </w:r>
                </w:p>
              </w:tc>
              <w:tc>
                <w:tcPr>
                  <w:tcW w:w="2079" w:type="pct"/>
                  <w:vMerge w:val="restart"/>
                  <w:tcBorders>
                    <w:tl2br w:val="nil"/>
                    <w:tr2bl w:val="nil"/>
                  </w:tcBorders>
                  <w:vAlign w:val="center"/>
                </w:tcPr>
                <w:p w14:paraId="66B2B00F">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颗粒物</w:t>
                  </w:r>
                </w:p>
              </w:tc>
              <w:tc>
                <w:tcPr>
                  <w:tcW w:w="735" w:type="pct"/>
                  <w:vMerge w:val="restart"/>
                  <w:tcBorders>
                    <w:tl2br w:val="nil"/>
                    <w:tr2bl w:val="nil"/>
                  </w:tcBorders>
                  <w:vAlign w:val="center"/>
                </w:tcPr>
                <w:p w14:paraId="01C146BE">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4次/天</w:t>
                  </w:r>
                </w:p>
                <w:p w14:paraId="7A58480D">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检测2天</w:t>
                  </w:r>
                </w:p>
              </w:tc>
            </w:tr>
            <w:tr w14:paraId="5AD5F3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796D31D5">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tcBorders>
                    <w:tl2br w:val="nil"/>
                    <w:tr2bl w:val="nil"/>
                  </w:tcBorders>
                  <w:vAlign w:val="center"/>
                </w:tcPr>
                <w:p w14:paraId="2B4C8B1F">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厂界下风向</w:t>
                  </w:r>
                  <w:r>
                    <w:rPr>
                      <w:rFonts w:hint="eastAsia" w:ascii="Times New Roman" w:hAnsi="Times New Roman" w:eastAsia="宋体" w:cs="Times New Roman"/>
                      <w:color w:val="auto"/>
                      <w:sz w:val="18"/>
                      <w:szCs w:val="18"/>
                      <w:highlight w:val="none"/>
                      <w:lang w:val="en-US" w:eastAsia="zh-CN"/>
                    </w:rPr>
                    <w:t>02#</w:t>
                  </w:r>
                  <w:r>
                    <w:rPr>
                      <w:rFonts w:hint="eastAsia" w:ascii="Times New Roman" w:hAnsi="Times New Roman" w:eastAsia="宋体" w:cs="Times New Roman"/>
                      <w:color w:val="auto"/>
                      <w:sz w:val="18"/>
                      <w:szCs w:val="18"/>
                      <w:highlight w:val="none"/>
                      <w:lang w:eastAsia="zh-CN"/>
                    </w:rPr>
                    <w:t>〇WQ2</w:t>
                  </w:r>
                </w:p>
              </w:tc>
              <w:tc>
                <w:tcPr>
                  <w:tcW w:w="2079" w:type="pct"/>
                  <w:vMerge w:val="continue"/>
                  <w:tcBorders>
                    <w:tl2br w:val="nil"/>
                    <w:tr2bl w:val="nil"/>
                  </w:tcBorders>
                  <w:vAlign w:val="center"/>
                </w:tcPr>
                <w:p w14:paraId="19DE427C">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735" w:type="pct"/>
                  <w:vMerge w:val="continue"/>
                  <w:tcBorders>
                    <w:tl2br w:val="nil"/>
                    <w:tr2bl w:val="nil"/>
                  </w:tcBorders>
                  <w:vAlign w:val="center"/>
                </w:tcPr>
                <w:p w14:paraId="2ECEBFBD">
                  <w:pPr>
                    <w:adjustRightInd w:val="0"/>
                    <w:snapToGrid w:val="0"/>
                    <w:jc w:val="center"/>
                    <w:rPr>
                      <w:rFonts w:hint="eastAsia" w:ascii="Times New Roman" w:hAnsi="Times New Roman" w:eastAsia="宋体" w:cs="Times New Roman"/>
                      <w:color w:val="auto"/>
                      <w:sz w:val="18"/>
                      <w:szCs w:val="18"/>
                      <w:highlight w:val="none"/>
                      <w:lang w:eastAsia="zh-CN"/>
                    </w:rPr>
                  </w:pPr>
                </w:p>
              </w:tc>
            </w:tr>
            <w:tr w14:paraId="40151B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767DF98C">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tcBorders>
                    <w:tl2br w:val="nil"/>
                    <w:tr2bl w:val="nil"/>
                  </w:tcBorders>
                  <w:vAlign w:val="center"/>
                </w:tcPr>
                <w:p w14:paraId="743E13E4">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厂界下风向</w:t>
                  </w:r>
                  <w:r>
                    <w:rPr>
                      <w:rFonts w:hint="eastAsia" w:ascii="Times New Roman" w:hAnsi="Times New Roman" w:eastAsia="宋体" w:cs="Times New Roman"/>
                      <w:color w:val="auto"/>
                      <w:sz w:val="18"/>
                      <w:szCs w:val="18"/>
                      <w:highlight w:val="none"/>
                      <w:lang w:val="en-US" w:eastAsia="zh-CN"/>
                    </w:rPr>
                    <w:t>03#</w:t>
                  </w:r>
                  <w:r>
                    <w:rPr>
                      <w:rFonts w:hint="eastAsia" w:ascii="Times New Roman" w:hAnsi="Times New Roman" w:eastAsia="宋体" w:cs="Times New Roman"/>
                      <w:color w:val="auto"/>
                      <w:sz w:val="18"/>
                      <w:szCs w:val="18"/>
                      <w:highlight w:val="none"/>
                      <w:lang w:eastAsia="zh-CN"/>
                    </w:rPr>
                    <w:t>〇WQ3</w:t>
                  </w:r>
                </w:p>
              </w:tc>
              <w:tc>
                <w:tcPr>
                  <w:tcW w:w="2079" w:type="pct"/>
                  <w:vMerge w:val="continue"/>
                  <w:tcBorders>
                    <w:tl2br w:val="nil"/>
                    <w:tr2bl w:val="nil"/>
                  </w:tcBorders>
                  <w:vAlign w:val="center"/>
                </w:tcPr>
                <w:p w14:paraId="0EDD5EA9">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735" w:type="pct"/>
                  <w:vMerge w:val="continue"/>
                  <w:tcBorders>
                    <w:tl2br w:val="nil"/>
                    <w:tr2bl w:val="nil"/>
                  </w:tcBorders>
                  <w:vAlign w:val="center"/>
                </w:tcPr>
                <w:p w14:paraId="01F369E0">
                  <w:pPr>
                    <w:adjustRightInd w:val="0"/>
                    <w:snapToGrid w:val="0"/>
                    <w:jc w:val="center"/>
                    <w:rPr>
                      <w:rFonts w:hint="eastAsia" w:ascii="Times New Roman" w:hAnsi="Times New Roman" w:eastAsia="宋体" w:cs="Times New Roman"/>
                      <w:color w:val="auto"/>
                      <w:sz w:val="18"/>
                      <w:szCs w:val="18"/>
                      <w:highlight w:val="none"/>
                      <w:lang w:eastAsia="zh-CN"/>
                    </w:rPr>
                  </w:pPr>
                </w:p>
              </w:tc>
            </w:tr>
            <w:tr w14:paraId="13331B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3" w:hRule="atLeast"/>
                <w:jc w:val="center"/>
              </w:trPr>
              <w:tc>
                <w:tcPr>
                  <w:tcW w:w="673" w:type="pct"/>
                  <w:vMerge w:val="continue"/>
                  <w:tcBorders>
                    <w:tl2br w:val="nil"/>
                    <w:tr2bl w:val="nil"/>
                  </w:tcBorders>
                  <w:vAlign w:val="center"/>
                </w:tcPr>
                <w:p w14:paraId="23D87FFF">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1511" w:type="pct"/>
                  <w:tcBorders>
                    <w:tl2br w:val="nil"/>
                    <w:tr2bl w:val="nil"/>
                  </w:tcBorders>
                  <w:vAlign w:val="center"/>
                </w:tcPr>
                <w:p w14:paraId="619CF91B">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厂界下风向</w:t>
                  </w:r>
                  <w:r>
                    <w:rPr>
                      <w:rFonts w:hint="eastAsia" w:ascii="Times New Roman" w:hAnsi="Times New Roman" w:eastAsia="宋体" w:cs="Times New Roman"/>
                      <w:color w:val="auto"/>
                      <w:sz w:val="18"/>
                      <w:szCs w:val="18"/>
                      <w:highlight w:val="none"/>
                      <w:lang w:val="en-US" w:eastAsia="zh-CN"/>
                    </w:rPr>
                    <w:t>04#</w:t>
                  </w:r>
                  <w:r>
                    <w:rPr>
                      <w:rFonts w:hint="eastAsia" w:ascii="Times New Roman" w:hAnsi="Times New Roman" w:eastAsia="宋体" w:cs="Times New Roman"/>
                      <w:color w:val="auto"/>
                      <w:sz w:val="18"/>
                      <w:szCs w:val="18"/>
                      <w:highlight w:val="none"/>
                      <w:lang w:eastAsia="zh-CN"/>
                    </w:rPr>
                    <w:t>〇WQ4</w:t>
                  </w:r>
                </w:p>
              </w:tc>
              <w:tc>
                <w:tcPr>
                  <w:tcW w:w="2079" w:type="pct"/>
                  <w:vMerge w:val="continue"/>
                  <w:tcBorders>
                    <w:tl2br w:val="nil"/>
                    <w:tr2bl w:val="nil"/>
                  </w:tcBorders>
                  <w:vAlign w:val="center"/>
                </w:tcPr>
                <w:p w14:paraId="61E3642C">
                  <w:pPr>
                    <w:adjustRightInd w:val="0"/>
                    <w:snapToGrid w:val="0"/>
                    <w:jc w:val="center"/>
                    <w:rPr>
                      <w:rFonts w:hint="eastAsia" w:ascii="Times New Roman" w:hAnsi="Times New Roman" w:eastAsia="宋体" w:cs="Times New Roman"/>
                      <w:color w:val="auto"/>
                      <w:sz w:val="18"/>
                      <w:szCs w:val="18"/>
                      <w:highlight w:val="none"/>
                      <w:lang w:eastAsia="zh-CN"/>
                    </w:rPr>
                  </w:pPr>
                </w:p>
              </w:tc>
              <w:tc>
                <w:tcPr>
                  <w:tcW w:w="735" w:type="pct"/>
                  <w:vMerge w:val="continue"/>
                  <w:tcBorders>
                    <w:tl2br w:val="nil"/>
                    <w:tr2bl w:val="nil"/>
                  </w:tcBorders>
                  <w:vAlign w:val="center"/>
                </w:tcPr>
                <w:p w14:paraId="0C6DFDDD">
                  <w:pPr>
                    <w:adjustRightInd w:val="0"/>
                    <w:snapToGrid w:val="0"/>
                    <w:jc w:val="center"/>
                    <w:rPr>
                      <w:rFonts w:hint="eastAsia" w:ascii="Times New Roman" w:hAnsi="Times New Roman" w:eastAsia="宋体" w:cs="Times New Roman"/>
                      <w:color w:val="auto"/>
                      <w:sz w:val="18"/>
                      <w:szCs w:val="18"/>
                      <w:highlight w:val="none"/>
                      <w:lang w:eastAsia="zh-CN"/>
                    </w:rPr>
                  </w:pPr>
                </w:p>
              </w:tc>
            </w:tr>
          </w:tbl>
          <w:p w14:paraId="0E5F03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6.1.2废水</w:t>
            </w:r>
          </w:p>
          <w:p w14:paraId="560364F4">
            <w:pPr>
              <w:adjustRightInd/>
              <w:snapToGrid/>
              <w:spacing w:line="360" w:lineRule="auto"/>
              <w:ind w:firstLine="480"/>
              <w:rPr>
                <w:rFonts w:hint="eastAsia"/>
                <w:color w:val="auto"/>
                <w:sz w:val="24"/>
                <w:highlight w:val="none"/>
              </w:rPr>
            </w:pPr>
            <w:r>
              <w:rPr>
                <w:rFonts w:hint="eastAsia"/>
                <w:color w:val="auto"/>
                <w:sz w:val="24"/>
                <w:highlight w:val="none"/>
              </w:rPr>
              <w:t>废水验收监测内容见下表，监测点位见</w:t>
            </w:r>
            <w:r>
              <w:rPr>
                <w:rFonts w:hint="eastAsia"/>
                <w:color w:val="auto"/>
                <w:sz w:val="24"/>
                <w:highlight w:val="none"/>
                <w:lang w:val="en-US" w:eastAsia="zh-CN"/>
              </w:rPr>
              <w:t>附图7</w:t>
            </w:r>
            <w:r>
              <w:rPr>
                <w:rFonts w:hint="eastAsia"/>
                <w:color w:val="auto"/>
                <w:sz w:val="24"/>
                <w:highlight w:val="none"/>
              </w:rPr>
              <w:t>。</w:t>
            </w:r>
          </w:p>
          <w:p w14:paraId="510ED200">
            <w:pPr>
              <w:pStyle w:val="121"/>
              <w:adjustRightInd/>
              <w:snapToGrid/>
              <w:rPr>
                <w:color w:val="auto"/>
                <w:sz w:val="21"/>
                <w:highlight w:val="none"/>
              </w:rPr>
            </w:pPr>
            <w:r>
              <w:rPr>
                <w:rFonts w:hint="eastAsia"/>
                <w:color w:val="auto"/>
                <w:sz w:val="21"/>
                <w:highlight w:val="none"/>
              </w:rPr>
              <w:t>废水监测内容一览表</w:t>
            </w:r>
          </w:p>
          <w:tbl>
            <w:tblPr>
              <w:tblStyle w:val="29"/>
              <w:tblW w:w="498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6"/>
              <w:gridCol w:w="1704"/>
              <w:gridCol w:w="971"/>
              <w:gridCol w:w="3632"/>
              <w:gridCol w:w="2044"/>
            </w:tblGrid>
            <w:tr w14:paraId="7A149D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9" w:type="pct"/>
                  <w:tcBorders>
                    <w:bottom w:val="single" w:color="auto" w:sz="12" w:space="0"/>
                  </w:tcBorders>
                  <w:vAlign w:val="center"/>
                </w:tcPr>
                <w:p w14:paraId="7C36841D">
                  <w:pPr>
                    <w:pStyle w:val="46"/>
                    <w:spacing w:line="240" w:lineRule="auto"/>
                    <w:ind w:firstLine="0"/>
                    <w:rPr>
                      <w:b/>
                      <w:bCs/>
                      <w:color w:val="auto"/>
                      <w:sz w:val="18"/>
                      <w:szCs w:val="18"/>
                      <w:highlight w:val="none"/>
                    </w:rPr>
                  </w:pPr>
                  <w:r>
                    <w:rPr>
                      <w:b/>
                      <w:bCs/>
                      <w:color w:val="auto"/>
                      <w:sz w:val="18"/>
                      <w:szCs w:val="18"/>
                      <w:highlight w:val="none"/>
                    </w:rPr>
                    <w:t>类别</w:t>
                  </w:r>
                </w:p>
              </w:tc>
              <w:tc>
                <w:tcPr>
                  <w:tcW w:w="942" w:type="pct"/>
                  <w:tcBorders>
                    <w:bottom w:val="single" w:color="auto" w:sz="12" w:space="0"/>
                  </w:tcBorders>
                  <w:vAlign w:val="center"/>
                </w:tcPr>
                <w:p w14:paraId="3CE37C58">
                  <w:pPr>
                    <w:pStyle w:val="46"/>
                    <w:spacing w:line="240" w:lineRule="auto"/>
                    <w:ind w:firstLine="0"/>
                    <w:rPr>
                      <w:b/>
                      <w:bCs/>
                      <w:color w:val="auto"/>
                      <w:sz w:val="18"/>
                      <w:szCs w:val="18"/>
                      <w:highlight w:val="none"/>
                    </w:rPr>
                  </w:pPr>
                  <w:r>
                    <w:rPr>
                      <w:b/>
                      <w:bCs/>
                      <w:color w:val="auto"/>
                      <w:sz w:val="18"/>
                      <w:szCs w:val="18"/>
                      <w:highlight w:val="none"/>
                    </w:rPr>
                    <w:t>污染源及监测点位</w:t>
                  </w:r>
                </w:p>
              </w:tc>
              <w:tc>
                <w:tcPr>
                  <w:tcW w:w="537" w:type="pct"/>
                  <w:tcBorders>
                    <w:bottom w:val="single" w:color="auto" w:sz="12" w:space="0"/>
                  </w:tcBorders>
                  <w:vAlign w:val="center"/>
                </w:tcPr>
                <w:p w14:paraId="2C1D757E">
                  <w:pPr>
                    <w:pStyle w:val="72"/>
                    <w:rPr>
                      <w:rFonts w:hint="eastAsia" w:ascii="Times New Roman" w:hAnsi="Times New Roman" w:eastAsia="宋体" w:cs="Times New Roman"/>
                      <w:b/>
                      <w:bCs/>
                      <w:color w:val="auto"/>
                      <w:kern w:val="2"/>
                      <w:sz w:val="18"/>
                      <w:szCs w:val="18"/>
                      <w:highlight w:val="none"/>
                      <w:lang w:val="en-US" w:eastAsia="zh-CN" w:bidi="ar-SA"/>
                    </w:rPr>
                  </w:pPr>
                  <w:r>
                    <w:rPr>
                      <w:rFonts w:hint="eastAsia" w:ascii="Times New Roman" w:hAnsi="Times New Roman" w:eastAsia="宋体"/>
                      <w:b/>
                      <w:bCs/>
                      <w:color w:val="auto"/>
                      <w:sz w:val="18"/>
                      <w:highlight w:val="none"/>
                      <w:lang w:eastAsia="zh-CN"/>
                    </w:rPr>
                    <w:t>编号</w:t>
                  </w:r>
                </w:p>
              </w:tc>
              <w:tc>
                <w:tcPr>
                  <w:tcW w:w="2009" w:type="pct"/>
                  <w:tcBorders>
                    <w:bottom w:val="single" w:color="auto" w:sz="12" w:space="0"/>
                  </w:tcBorders>
                  <w:vAlign w:val="center"/>
                </w:tcPr>
                <w:p w14:paraId="54A8DA48">
                  <w:pPr>
                    <w:pStyle w:val="46"/>
                    <w:spacing w:line="240" w:lineRule="auto"/>
                    <w:ind w:firstLine="0"/>
                    <w:rPr>
                      <w:b/>
                      <w:bCs/>
                      <w:color w:val="auto"/>
                      <w:sz w:val="18"/>
                      <w:szCs w:val="18"/>
                      <w:highlight w:val="none"/>
                    </w:rPr>
                  </w:pPr>
                  <w:r>
                    <w:rPr>
                      <w:b/>
                      <w:bCs/>
                      <w:color w:val="auto"/>
                      <w:sz w:val="18"/>
                      <w:szCs w:val="18"/>
                      <w:highlight w:val="none"/>
                    </w:rPr>
                    <w:t>监测因子</w:t>
                  </w:r>
                </w:p>
              </w:tc>
              <w:tc>
                <w:tcPr>
                  <w:tcW w:w="1130" w:type="pct"/>
                  <w:tcBorders>
                    <w:bottom w:val="single" w:color="auto" w:sz="12" w:space="0"/>
                  </w:tcBorders>
                  <w:vAlign w:val="center"/>
                </w:tcPr>
                <w:p w14:paraId="51586502">
                  <w:pPr>
                    <w:pStyle w:val="46"/>
                    <w:spacing w:line="240" w:lineRule="auto"/>
                    <w:ind w:firstLine="0"/>
                    <w:rPr>
                      <w:b/>
                      <w:bCs/>
                      <w:color w:val="auto"/>
                      <w:sz w:val="18"/>
                      <w:szCs w:val="18"/>
                      <w:highlight w:val="none"/>
                    </w:rPr>
                  </w:pPr>
                  <w:r>
                    <w:rPr>
                      <w:b/>
                      <w:bCs/>
                      <w:color w:val="auto"/>
                      <w:sz w:val="18"/>
                      <w:szCs w:val="18"/>
                      <w:highlight w:val="none"/>
                    </w:rPr>
                    <w:t>监测频次</w:t>
                  </w:r>
                </w:p>
              </w:tc>
            </w:tr>
            <w:tr w14:paraId="00C889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9" w:type="pct"/>
                  <w:tcBorders>
                    <w:top w:val="single" w:color="auto" w:sz="12" w:space="0"/>
                  </w:tcBorders>
                  <w:vAlign w:val="center"/>
                </w:tcPr>
                <w:p w14:paraId="1EE8DC14">
                  <w:pPr>
                    <w:pStyle w:val="46"/>
                    <w:spacing w:line="240" w:lineRule="auto"/>
                    <w:ind w:firstLine="0"/>
                    <w:rPr>
                      <w:color w:val="auto"/>
                      <w:sz w:val="18"/>
                      <w:szCs w:val="18"/>
                      <w:highlight w:val="none"/>
                    </w:rPr>
                  </w:pPr>
                  <w:r>
                    <w:rPr>
                      <w:color w:val="auto"/>
                      <w:sz w:val="18"/>
                      <w:szCs w:val="18"/>
                      <w:highlight w:val="none"/>
                    </w:rPr>
                    <w:t>废水</w:t>
                  </w:r>
                </w:p>
              </w:tc>
              <w:tc>
                <w:tcPr>
                  <w:tcW w:w="942" w:type="pct"/>
                  <w:tcBorders>
                    <w:top w:val="single" w:color="auto" w:sz="12" w:space="0"/>
                  </w:tcBorders>
                  <w:vAlign w:val="center"/>
                </w:tcPr>
                <w:p w14:paraId="3068A564">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宋体" w:hAnsi="宋体" w:cs="Segoe UI Symbol"/>
                      <w:color w:val="auto"/>
                      <w:highlight w:val="none"/>
                      <w:lang w:val="en-US" w:eastAsia="zh-CN"/>
                    </w:rPr>
                    <w:t>长山口填埋场渗滤液污水处理站排口</w:t>
                  </w:r>
                </w:p>
              </w:tc>
              <w:tc>
                <w:tcPr>
                  <w:tcW w:w="537" w:type="pct"/>
                  <w:tcBorders>
                    <w:top w:val="single" w:color="auto" w:sz="12" w:space="0"/>
                  </w:tcBorders>
                  <w:vAlign w:val="center"/>
                </w:tcPr>
                <w:p w14:paraId="600C1B71">
                  <w:pPr>
                    <w:pStyle w:val="72"/>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olor w:val="auto"/>
                      <w:sz w:val="18"/>
                      <w:highlight w:val="none"/>
                      <w:lang w:val="en-US" w:eastAsia="zh-CN"/>
                    </w:rPr>
                    <w:t>DW001</w:t>
                  </w:r>
                </w:p>
              </w:tc>
              <w:tc>
                <w:tcPr>
                  <w:tcW w:w="2009" w:type="pct"/>
                  <w:tcBorders>
                    <w:top w:val="single" w:color="auto" w:sz="12" w:space="0"/>
                  </w:tcBorders>
                  <w:vAlign w:val="center"/>
                </w:tcPr>
                <w:p w14:paraId="04A4F928">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pH、化学需氧量、五日生化需氧量、氨氮、悬浮物、动植物油</w:t>
                  </w:r>
                </w:p>
              </w:tc>
              <w:tc>
                <w:tcPr>
                  <w:tcW w:w="1130" w:type="pct"/>
                  <w:tcBorders>
                    <w:top w:val="single" w:color="auto" w:sz="12" w:space="0"/>
                  </w:tcBorders>
                  <w:vAlign w:val="center"/>
                </w:tcPr>
                <w:p w14:paraId="62F7B757">
                  <w:pPr>
                    <w:adjustRightInd w:val="0"/>
                    <w:snapToGrid w:val="0"/>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4次/天、监测2天</w:t>
                  </w:r>
                </w:p>
              </w:tc>
            </w:tr>
          </w:tbl>
          <w:p w14:paraId="3F3379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6.1.3噪声</w:t>
            </w:r>
          </w:p>
          <w:p w14:paraId="7E9467CB">
            <w:pPr>
              <w:adjustRightInd/>
              <w:snapToGrid/>
              <w:spacing w:line="360" w:lineRule="auto"/>
              <w:ind w:firstLine="480"/>
              <w:rPr>
                <w:color w:val="auto"/>
                <w:sz w:val="24"/>
                <w:highlight w:val="none"/>
              </w:rPr>
            </w:pPr>
            <w:r>
              <w:rPr>
                <w:rFonts w:hint="eastAsia"/>
                <w:color w:val="auto"/>
                <w:sz w:val="24"/>
                <w:highlight w:val="none"/>
              </w:rPr>
              <w:t>噪声验收监测内容见下表，监测点位见附图</w:t>
            </w:r>
            <w:r>
              <w:rPr>
                <w:rFonts w:hint="eastAsia"/>
                <w:color w:val="auto"/>
                <w:sz w:val="24"/>
                <w:highlight w:val="none"/>
                <w:lang w:val="en-US" w:eastAsia="zh-CN"/>
              </w:rPr>
              <w:t>6</w:t>
            </w:r>
            <w:r>
              <w:rPr>
                <w:rFonts w:hint="eastAsia"/>
                <w:color w:val="auto"/>
                <w:sz w:val="24"/>
                <w:highlight w:val="none"/>
              </w:rPr>
              <w:t>。</w:t>
            </w:r>
          </w:p>
          <w:p w14:paraId="67B862DF">
            <w:pPr>
              <w:pStyle w:val="121"/>
              <w:adjustRightInd/>
              <w:snapToGrid/>
              <w:rPr>
                <w:color w:val="auto"/>
                <w:sz w:val="21"/>
                <w:highlight w:val="none"/>
              </w:rPr>
            </w:pPr>
            <w:r>
              <w:rPr>
                <w:rFonts w:hint="eastAsia"/>
                <w:color w:val="auto"/>
                <w:sz w:val="21"/>
                <w:highlight w:val="none"/>
              </w:rPr>
              <w:t>厂界噪声监测内容一览表</w:t>
            </w:r>
          </w:p>
          <w:tbl>
            <w:tblPr>
              <w:tblStyle w:val="29"/>
              <w:tblW w:w="909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0"/>
              <w:gridCol w:w="3580"/>
              <w:gridCol w:w="828"/>
              <w:gridCol w:w="1717"/>
              <w:gridCol w:w="2273"/>
            </w:tblGrid>
            <w:tr w14:paraId="7B2DF1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dxa"/>
                  <w:tcBorders>
                    <w:bottom w:val="single" w:color="auto" w:sz="12" w:space="0"/>
                  </w:tcBorders>
                  <w:vAlign w:val="center"/>
                </w:tcPr>
                <w:p w14:paraId="099B1555">
                  <w:pPr>
                    <w:pStyle w:val="72"/>
                    <w:rPr>
                      <w:rFonts w:ascii="Times New Roman" w:hAnsi="Times New Roman" w:eastAsia="宋体"/>
                      <w:b/>
                      <w:bCs/>
                      <w:color w:val="auto"/>
                      <w:sz w:val="18"/>
                      <w:highlight w:val="none"/>
                    </w:rPr>
                  </w:pPr>
                  <w:r>
                    <w:rPr>
                      <w:rFonts w:ascii="Times New Roman" w:hAnsi="Times New Roman" w:eastAsia="宋体"/>
                      <w:b/>
                      <w:bCs/>
                      <w:color w:val="auto"/>
                      <w:sz w:val="18"/>
                      <w:highlight w:val="none"/>
                    </w:rPr>
                    <w:t>类型</w:t>
                  </w:r>
                </w:p>
              </w:tc>
              <w:tc>
                <w:tcPr>
                  <w:tcW w:w="3580" w:type="dxa"/>
                  <w:tcBorders>
                    <w:bottom w:val="single" w:color="auto" w:sz="12" w:space="0"/>
                  </w:tcBorders>
                  <w:vAlign w:val="center"/>
                </w:tcPr>
                <w:p w14:paraId="3ACFE691">
                  <w:pPr>
                    <w:pStyle w:val="72"/>
                    <w:rPr>
                      <w:rFonts w:ascii="Times New Roman" w:hAnsi="Times New Roman" w:eastAsia="宋体"/>
                      <w:b/>
                      <w:bCs/>
                      <w:color w:val="auto"/>
                      <w:sz w:val="18"/>
                      <w:highlight w:val="none"/>
                    </w:rPr>
                  </w:pPr>
                  <w:r>
                    <w:rPr>
                      <w:rFonts w:ascii="Times New Roman" w:hAnsi="Times New Roman" w:eastAsia="宋体"/>
                      <w:b/>
                      <w:bCs/>
                      <w:color w:val="auto"/>
                      <w:sz w:val="18"/>
                      <w:highlight w:val="none"/>
                    </w:rPr>
                    <w:t>监测点位</w:t>
                  </w:r>
                </w:p>
              </w:tc>
              <w:tc>
                <w:tcPr>
                  <w:tcW w:w="828" w:type="dxa"/>
                  <w:tcBorders>
                    <w:bottom w:val="single" w:color="auto" w:sz="12" w:space="0"/>
                  </w:tcBorders>
                  <w:vAlign w:val="center"/>
                </w:tcPr>
                <w:p w14:paraId="5F6687FF">
                  <w:pPr>
                    <w:pStyle w:val="72"/>
                    <w:rPr>
                      <w:rFonts w:hint="eastAsia" w:ascii="Times New Roman" w:hAnsi="Times New Roman" w:eastAsia="宋体"/>
                      <w:b/>
                      <w:bCs/>
                      <w:color w:val="auto"/>
                      <w:sz w:val="18"/>
                      <w:highlight w:val="none"/>
                      <w:lang w:eastAsia="zh-CN"/>
                    </w:rPr>
                  </w:pPr>
                  <w:r>
                    <w:rPr>
                      <w:rFonts w:hint="eastAsia" w:ascii="Times New Roman" w:hAnsi="Times New Roman" w:eastAsia="宋体"/>
                      <w:b/>
                      <w:bCs/>
                      <w:color w:val="auto"/>
                      <w:sz w:val="18"/>
                      <w:highlight w:val="none"/>
                      <w:lang w:eastAsia="zh-CN"/>
                    </w:rPr>
                    <w:t>编号</w:t>
                  </w:r>
                </w:p>
              </w:tc>
              <w:tc>
                <w:tcPr>
                  <w:tcW w:w="1717" w:type="dxa"/>
                  <w:tcBorders>
                    <w:bottom w:val="single" w:color="auto" w:sz="12" w:space="0"/>
                  </w:tcBorders>
                  <w:vAlign w:val="center"/>
                </w:tcPr>
                <w:p w14:paraId="3D39AA9E">
                  <w:pPr>
                    <w:pStyle w:val="72"/>
                    <w:rPr>
                      <w:rFonts w:ascii="Times New Roman" w:hAnsi="Times New Roman" w:eastAsia="宋体"/>
                      <w:b/>
                      <w:bCs/>
                      <w:color w:val="auto"/>
                      <w:sz w:val="18"/>
                      <w:highlight w:val="none"/>
                    </w:rPr>
                  </w:pPr>
                  <w:r>
                    <w:rPr>
                      <w:rFonts w:ascii="Times New Roman" w:hAnsi="Times New Roman" w:eastAsia="宋体"/>
                      <w:b/>
                      <w:bCs/>
                      <w:color w:val="auto"/>
                      <w:sz w:val="18"/>
                      <w:highlight w:val="none"/>
                    </w:rPr>
                    <w:t>监测项目</w:t>
                  </w:r>
                </w:p>
              </w:tc>
              <w:tc>
                <w:tcPr>
                  <w:tcW w:w="2273" w:type="dxa"/>
                  <w:tcBorders>
                    <w:bottom w:val="single" w:color="auto" w:sz="12" w:space="0"/>
                  </w:tcBorders>
                  <w:vAlign w:val="center"/>
                </w:tcPr>
                <w:p w14:paraId="392AC0C5">
                  <w:pPr>
                    <w:pStyle w:val="72"/>
                    <w:rPr>
                      <w:rFonts w:ascii="Times New Roman" w:hAnsi="Times New Roman" w:eastAsia="宋体"/>
                      <w:b/>
                      <w:bCs/>
                      <w:color w:val="auto"/>
                      <w:sz w:val="18"/>
                      <w:highlight w:val="none"/>
                    </w:rPr>
                  </w:pPr>
                  <w:r>
                    <w:rPr>
                      <w:rFonts w:ascii="Times New Roman" w:hAnsi="Times New Roman" w:eastAsia="宋体"/>
                      <w:b/>
                      <w:bCs/>
                      <w:color w:val="auto"/>
                      <w:sz w:val="18"/>
                      <w:highlight w:val="none"/>
                    </w:rPr>
                    <w:t>频次</w:t>
                  </w:r>
                </w:p>
              </w:tc>
            </w:tr>
            <w:tr w14:paraId="114C2E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dxa"/>
                  <w:vMerge w:val="restart"/>
                  <w:tcBorders>
                    <w:top w:val="single" w:color="auto" w:sz="12" w:space="0"/>
                    <w:tl2br w:val="nil"/>
                    <w:tr2bl w:val="nil"/>
                  </w:tcBorders>
                  <w:vAlign w:val="center"/>
                </w:tcPr>
                <w:p w14:paraId="0B9E4F35">
                  <w:pPr>
                    <w:pStyle w:val="72"/>
                    <w:rPr>
                      <w:rFonts w:ascii="Times New Roman" w:hAnsi="Times New Roman" w:eastAsia="宋体"/>
                      <w:color w:val="auto"/>
                      <w:sz w:val="18"/>
                      <w:highlight w:val="none"/>
                    </w:rPr>
                  </w:pPr>
                  <w:r>
                    <w:rPr>
                      <w:rFonts w:ascii="Times New Roman" w:hAnsi="Times New Roman" w:eastAsia="宋体"/>
                      <w:color w:val="auto"/>
                      <w:sz w:val="18"/>
                      <w:highlight w:val="none"/>
                    </w:rPr>
                    <w:t>噪声</w:t>
                  </w:r>
                </w:p>
              </w:tc>
              <w:tc>
                <w:tcPr>
                  <w:tcW w:w="3580" w:type="dxa"/>
                  <w:tcBorders>
                    <w:top w:val="single" w:color="auto" w:sz="12" w:space="0"/>
                    <w:tl2br w:val="nil"/>
                    <w:tr2bl w:val="nil"/>
                  </w:tcBorders>
                  <w:vAlign w:val="center"/>
                </w:tcPr>
                <w:p w14:paraId="696BE8D4">
                  <w:pPr>
                    <w:adjustRightInd w:val="0"/>
                    <w:snapToGrid w:val="0"/>
                    <w:jc w:val="center"/>
                    <w:rPr>
                      <w:rFonts w:hint="default" w:ascii="Times New Roman" w:hAnsi="Times New Roman" w:cs="Times New Roman"/>
                      <w:color w:val="auto"/>
                      <w:sz w:val="18"/>
                      <w:szCs w:val="18"/>
                      <w:highlight w:val="none"/>
                      <w:lang w:val="en-US" w:eastAsia="zh-CN"/>
                    </w:rPr>
                  </w:pPr>
                  <w:r>
                    <w:rPr>
                      <w:rFonts w:hint="default" w:ascii="Times New Roman" w:hAnsi="Times New Roman" w:cs="Times New Roman"/>
                      <w:color w:val="auto"/>
                      <w:sz w:val="18"/>
                      <w:szCs w:val="18"/>
                      <w:highlight w:val="none"/>
                      <w:lang w:eastAsia="zh-CN"/>
                    </w:rPr>
                    <w:t>厂界东外1m处▲1</w:t>
                  </w:r>
                </w:p>
              </w:tc>
              <w:tc>
                <w:tcPr>
                  <w:tcW w:w="828" w:type="dxa"/>
                  <w:tcBorders>
                    <w:top w:val="single" w:color="auto" w:sz="12" w:space="0"/>
                    <w:tl2br w:val="nil"/>
                    <w:tr2bl w:val="nil"/>
                  </w:tcBorders>
                  <w:vAlign w:val="center"/>
                </w:tcPr>
                <w:p w14:paraId="78DB239B">
                  <w:pPr>
                    <w:pStyle w:val="72"/>
                    <w:rPr>
                      <w:rFonts w:hint="default" w:ascii="Times New Roman" w:hAnsi="Times New Roman" w:eastAsia="宋体"/>
                      <w:color w:val="auto"/>
                      <w:sz w:val="18"/>
                      <w:highlight w:val="none"/>
                      <w:lang w:val="en-US" w:eastAsia="zh-CN"/>
                    </w:rPr>
                  </w:pPr>
                  <w:r>
                    <w:rPr>
                      <w:rFonts w:hint="eastAsia" w:ascii="Times New Roman" w:hAnsi="Times New Roman" w:eastAsia="宋体"/>
                      <w:color w:val="auto"/>
                      <w:sz w:val="18"/>
                      <w:highlight w:val="none"/>
                      <w:lang w:val="en-US" w:eastAsia="zh-CN"/>
                    </w:rPr>
                    <w:t>PN01</w:t>
                  </w:r>
                </w:p>
              </w:tc>
              <w:tc>
                <w:tcPr>
                  <w:tcW w:w="1717" w:type="dxa"/>
                  <w:vMerge w:val="restart"/>
                  <w:tcBorders>
                    <w:top w:val="single" w:color="auto" w:sz="12" w:space="0"/>
                    <w:tl2br w:val="nil"/>
                    <w:tr2bl w:val="nil"/>
                  </w:tcBorders>
                  <w:vAlign w:val="center"/>
                </w:tcPr>
                <w:p w14:paraId="3C985ABF">
                  <w:pPr>
                    <w:pStyle w:val="72"/>
                    <w:rPr>
                      <w:rFonts w:hint="eastAsia" w:ascii="Times New Roman" w:hAnsi="Times New Roman" w:eastAsia="宋体"/>
                      <w:color w:val="auto"/>
                      <w:sz w:val="18"/>
                      <w:highlight w:val="none"/>
                    </w:rPr>
                  </w:pPr>
                </w:p>
                <w:p w14:paraId="4705B824">
                  <w:pPr>
                    <w:pStyle w:val="72"/>
                    <w:rPr>
                      <w:rFonts w:ascii="Times New Roman" w:hAnsi="Times New Roman" w:eastAsia="宋体"/>
                      <w:color w:val="auto"/>
                      <w:sz w:val="18"/>
                      <w:highlight w:val="none"/>
                    </w:rPr>
                  </w:pPr>
                  <w:r>
                    <w:rPr>
                      <w:rFonts w:hint="eastAsia" w:ascii="Times New Roman" w:hAnsi="Times New Roman" w:eastAsia="宋体"/>
                      <w:color w:val="auto"/>
                      <w:sz w:val="18"/>
                      <w:highlight w:val="none"/>
                    </w:rPr>
                    <w:t>等效连续A声级</w:t>
                  </w:r>
                </w:p>
              </w:tc>
              <w:tc>
                <w:tcPr>
                  <w:tcW w:w="2273" w:type="dxa"/>
                  <w:vMerge w:val="restart"/>
                  <w:tcBorders>
                    <w:top w:val="single" w:color="auto" w:sz="12" w:space="0"/>
                    <w:tl2br w:val="nil"/>
                    <w:tr2bl w:val="nil"/>
                  </w:tcBorders>
                  <w:vAlign w:val="center"/>
                </w:tcPr>
                <w:p w14:paraId="75DF5DC8">
                  <w:pPr>
                    <w:pStyle w:val="72"/>
                    <w:rPr>
                      <w:rFonts w:ascii="Times New Roman" w:hAnsi="Times New Roman" w:eastAsia="宋体"/>
                      <w:color w:val="auto"/>
                      <w:sz w:val="18"/>
                      <w:highlight w:val="none"/>
                    </w:rPr>
                  </w:pPr>
                  <w:r>
                    <w:rPr>
                      <w:rFonts w:ascii="Times New Roman" w:hAnsi="Times New Roman" w:eastAsia="宋体"/>
                      <w:color w:val="auto"/>
                      <w:kern w:val="0"/>
                      <w:sz w:val="18"/>
                      <w:highlight w:val="none"/>
                    </w:rPr>
                    <w:t>昼间、夜间各监测一次，监测2天</w:t>
                  </w:r>
                </w:p>
              </w:tc>
            </w:tr>
            <w:tr w14:paraId="777817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dxa"/>
                  <w:vMerge w:val="continue"/>
                  <w:tcBorders>
                    <w:tl2br w:val="nil"/>
                    <w:tr2bl w:val="nil"/>
                  </w:tcBorders>
                  <w:vAlign w:val="center"/>
                </w:tcPr>
                <w:p w14:paraId="0A22B074">
                  <w:pPr>
                    <w:pStyle w:val="72"/>
                    <w:rPr>
                      <w:rFonts w:ascii="Times New Roman" w:hAnsi="Times New Roman" w:eastAsia="宋体"/>
                      <w:color w:val="auto"/>
                      <w:sz w:val="18"/>
                      <w:highlight w:val="none"/>
                    </w:rPr>
                  </w:pPr>
                </w:p>
              </w:tc>
              <w:tc>
                <w:tcPr>
                  <w:tcW w:w="3580" w:type="dxa"/>
                  <w:tcBorders>
                    <w:tl2br w:val="nil"/>
                    <w:tr2bl w:val="nil"/>
                  </w:tcBorders>
                  <w:vAlign w:val="center"/>
                </w:tcPr>
                <w:p w14:paraId="6C4E50EB">
                  <w:pPr>
                    <w:adjustRightInd w:val="0"/>
                    <w:snapToGrid w:val="0"/>
                    <w:jc w:val="center"/>
                    <w:rPr>
                      <w:rFonts w:hint="eastAsia" w:ascii="Times New Roman" w:hAnsi="Times New Roman" w:cs="Times New Roman"/>
                      <w:color w:val="auto"/>
                      <w:sz w:val="18"/>
                      <w:szCs w:val="18"/>
                      <w:highlight w:val="none"/>
                      <w:lang w:val="en-US" w:eastAsia="zh-CN"/>
                    </w:rPr>
                  </w:pPr>
                  <w:r>
                    <w:rPr>
                      <w:rFonts w:hint="default" w:ascii="Times New Roman" w:hAnsi="Times New Roman" w:cs="Times New Roman"/>
                      <w:color w:val="auto"/>
                      <w:sz w:val="18"/>
                      <w:szCs w:val="18"/>
                      <w:highlight w:val="none"/>
                      <w:lang w:eastAsia="zh-CN"/>
                    </w:rPr>
                    <w:t>厂界南外1m处▲2</w:t>
                  </w:r>
                </w:p>
              </w:tc>
              <w:tc>
                <w:tcPr>
                  <w:tcW w:w="828" w:type="dxa"/>
                  <w:tcBorders>
                    <w:tl2br w:val="nil"/>
                    <w:tr2bl w:val="nil"/>
                  </w:tcBorders>
                  <w:vAlign w:val="center"/>
                </w:tcPr>
                <w:p w14:paraId="64315D1D">
                  <w:pPr>
                    <w:pStyle w:val="72"/>
                    <w:rPr>
                      <w:rFonts w:hint="default" w:ascii="Times New Roman" w:hAnsi="Times New Roman" w:eastAsia="宋体"/>
                      <w:color w:val="auto"/>
                      <w:sz w:val="18"/>
                      <w:highlight w:val="none"/>
                      <w:lang w:val="en-US"/>
                    </w:rPr>
                  </w:pPr>
                  <w:r>
                    <w:rPr>
                      <w:rFonts w:hint="eastAsia" w:ascii="Times New Roman" w:hAnsi="Times New Roman" w:eastAsia="宋体"/>
                      <w:color w:val="auto"/>
                      <w:sz w:val="18"/>
                      <w:highlight w:val="none"/>
                      <w:lang w:val="en-US" w:eastAsia="zh-CN"/>
                    </w:rPr>
                    <w:t>PN02</w:t>
                  </w:r>
                </w:p>
              </w:tc>
              <w:tc>
                <w:tcPr>
                  <w:tcW w:w="1717" w:type="dxa"/>
                  <w:vMerge w:val="continue"/>
                  <w:tcBorders>
                    <w:tl2br w:val="nil"/>
                    <w:tr2bl w:val="nil"/>
                  </w:tcBorders>
                  <w:vAlign w:val="center"/>
                </w:tcPr>
                <w:p w14:paraId="1B803E12">
                  <w:pPr>
                    <w:pStyle w:val="72"/>
                    <w:rPr>
                      <w:rFonts w:hint="eastAsia" w:ascii="Times New Roman" w:hAnsi="Times New Roman" w:eastAsia="宋体"/>
                      <w:color w:val="auto"/>
                      <w:sz w:val="18"/>
                      <w:highlight w:val="none"/>
                    </w:rPr>
                  </w:pPr>
                </w:p>
              </w:tc>
              <w:tc>
                <w:tcPr>
                  <w:tcW w:w="2273" w:type="dxa"/>
                  <w:vMerge w:val="continue"/>
                  <w:tcBorders>
                    <w:tl2br w:val="nil"/>
                    <w:tr2bl w:val="nil"/>
                  </w:tcBorders>
                  <w:vAlign w:val="center"/>
                </w:tcPr>
                <w:p w14:paraId="622F9B47">
                  <w:pPr>
                    <w:pStyle w:val="72"/>
                    <w:rPr>
                      <w:rFonts w:ascii="Times New Roman" w:hAnsi="Times New Roman" w:eastAsia="宋体"/>
                      <w:color w:val="auto"/>
                      <w:kern w:val="0"/>
                      <w:sz w:val="18"/>
                      <w:highlight w:val="none"/>
                    </w:rPr>
                  </w:pPr>
                </w:p>
              </w:tc>
            </w:tr>
            <w:tr w14:paraId="2D766E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dxa"/>
                  <w:vMerge w:val="continue"/>
                  <w:tcBorders>
                    <w:tl2br w:val="nil"/>
                    <w:tr2bl w:val="nil"/>
                  </w:tcBorders>
                  <w:vAlign w:val="center"/>
                </w:tcPr>
                <w:p w14:paraId="6A0B32BB">
                  <w:pPr>
                    <w:pStyle w:val="72"/>
                    <w:rPr>
                      <w:rFonts w:ascii="Times New Roman" w:hAnsi="Times New Roman" w:eastAsia="宋体"/>
                      <w:color w:val="auto"/>
                      <w:sz w:val="18"/>
                      <w:highlight w:val="none"/>
                    </w:rPr>
                  </w:pPr>
                </w:p>
              </w:tc>
              <w:tc>
                <w:tcPr>
                  <w:tcW w:w="3580" w:type="dxa"/>
                  <w:tcBorders>
                    <w:tl2br w:val="nil"/>
                    <w:tr2bl w:val="nil"/>
                  </w:tcBorders>
                  <w:vAlign w:val="center"/>
                </w:tcPr>
                <w:p w14:paraId="083B2B2B">
                  <w:pPr>
                    <w:adjustRightInd w:val="0"/>
                    <w:snapToGrid w:val="0"/>
                    <w:jc w:val="center"/>
                    <w:rPr>
                      <w:rFonts w:hint="eastAsia" w:ascii="Times New Roman" w:hAnsi="Times New Roman" w:cs="Times New Roman"/>
                      <w:color w:val="auto"/>
                      <w:sz w:val="18"/>
                      <w:szCs w:val="18"/>
                      <w:highlight w:val="none"/>
                      <w:lang w:val="en-US" w:eastAsia="zh-CN"/>
                    </w:rPr>
                  </w:pPr>
                  <w:r>
                    <w:rPr>
                      <w:rFonts w:hint="default" w:ascii="Times New Roman" w:hAnsi="Times New Roman" w:cs="Times New Roman"/>
                      <w:color w:val="auto"/>
                      <w:sz w:val="18"/>
                      <w:szCs w:val="18"/>
                      <w:highlight w:val="none"/>
                      <w:lang w:eastAsia="zh-CN"/>
                    </w:rPr>
                    <w:t>厂界西外1m处▲3</w:t>
                  </w:r>
                </w:p>
              </w:tc>
              <w:tc>
                <w:tcPr>
                  <w:tcW w:w="828" w:type="dxa"/>
                  <w:tcBorders>
                    <w:tl2br w:val="nil"/>
                    <w:tr2bl w:val="nil"/>
                  </w:tcBorders>
                  <w:vAlign w:val="center"/>
                </w:tcPr>
                <w:p w14:paraId="3AB6505C">
                  <w:pPr>
                    <w:pStyle w:val="72"/>
                    <w:rPr>
                      <w:rFonts w:hint="default" w:ascii="Times New Roman" w:hAnsi="Times New Roman" w:eastAsia="宋体"/>
                      <w:color w:val="auto"/>
                      <w:sz w:val="18"/>
                      <w:highlight w:val="none"/>
                      <w:lang w:val="en-US" w:eastAsia="zh-CN"/>
                    </w:rPr>
                  </w:pPr>
                  <w:r>
                    <w:rPr>
                      <w:rFonts w:hint="eastAsia" w:ascii="Times New Roman" w:hAnsi="Times New Roman" w:eastAsia="宋体"/>
                      <w:color w:val="auto"/>
                      <w:sz w:val="18"/>
                      <w:highlight w:val="none"/>
                      <w:lang w:val="en-US" w:eastAsia="zh-CN"/>
                    </w:rPr>
                    <w:t>PN03</w:t>
                  </w:r>
                </w:p>
              </w:tc>
              <w:tc>
                <w:tcPr>
                  <w:tcW w:w="1717" w:type="dxa"/>
                  <w:vMerge w:val="continue"/>
                  <w:tcBorders>
                    <w:tl2br w:val="nil"/>
                    <w:tr2bl w:val="nil"/>
                  </w:tcBorders>
                  <w:vAlign w:val="center"/>
                </w:tcPr>
                <w:p w14:paraId="767BCA5A">
                  <w:pPr>
                    <w:pStyle w:val="72"/>
                    <w:rPr>
                      <w:rFonts w:hint="eastAsia" w:ascii="Times New Roman" w:hAnsi="Times New Roman" w:eastAsia="宋体"/>
                      <w:color w:val="auto"/>
                      <w:sz w:val="18"/>
                      <w:highlight w:val="none"/>
                    </w:rPr>
                  </w:pPr>
                </w:p>
              </w:tc>
              <w:tc>
                <w:tcPr>
                  <w:tcW w:w="2273" w:type="dxa"/>
                  <w:vMerge w:val="continue"/>
                  <w:tcBorders>
                    <w:tl2br w:val="nil"/>
                    <w:tr2bl w:val="nil"/>
                  </w:tcBorders>
                  <w:vAlign w:val="center"/>
                </w:tcPr>
                <w:p w14:paraId="67270FB7">
                  <w:pPr>
                    <w:pStyle w:val="72"/>
                    <w:rPr>
                      <w:rFonts w:ascii="Times New Roman" w:hAnsi="Times New Roman" w:eastAsia="宋体"/>
                      <w:color w:val="auto"/>
                      <w:kern w:val="0"/>
                      <w:sz w:val="18"/>
                      <w:highlight w:val="none"/>
                    </w:rPr>
                  </w:pPr>
                </w:p>
              </w:tc>
            </w:tr>
            <w:tr w14:paraId="56CEF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dxa"/>
                  <w:vMerge w:val="continue"/>
                  <w:tcBorders>
                    <w:tl2br w:val="nil"/>
                    <w:tr2bl w:val="nil"/>
                  </w:tcBorders>
                  <w:vAlign w:val="center"/>
                </w:tcPr>
                <w:p w14:paraId="2C0610AE">
                  <w:pPr>
                    <w:pStyle w:val="72"/>
                    <w:rPr>
                      <w:rFonts w:ascii="Times New Roman" w:hAnsi="Times New Roman" w:eastAsia="宋体"/>
                      <w:color w:val="auto"/>
                      <w:sz w:val="18"/>
                      <w:highlight w:val="none"/>
                    </w:rPr>
                  </w:pPr>
                </w:p>
              </w:tc>
              <w:tc>
                <w:tcPr>
                  <w:tcW w:w="3580" w:type="dxa"/>
                  <w:tcBorders>
                    <w:tl2br w:val="nil"/>
                    <w:tr2bl w:val="nil"/>
                  </w:tcBorders>
                  <w:vAlign w:val="center"/>
                </w:tcPr>
                <w:p w14:paraId="500346B5">
                  <w:pPr>
                    <w:adjustRightInd w:val="0"/>
                    <w:snapToGrid w:val="0"/>
                    <w:jc w:val="center"/>
                    <w:rPr>
                      <w:rFonts w:hint="eastAsia" w:ascii="Times New Roman" w:hAnsi="Times New Roman" w:cs="Times New Roman"/>
                      <w:color w:val="auto"/>
                      <w:sz w:val="18"/>
                      <w:szCs w:val="18"/>
                      <w:highlight w:val="none"/>
                      <w:lang w:val="en-US" w:eastAsia="zh-CN"/>
                    </w:rPr>
                  </w:pPr>
                  <w:r>
                    <w:rPr>
                      <w:rFonts w:hint="default" w:ascii="Times New Roman" w:hAnsi="Times New Roman" w:cs="Times New Roman"/>
                      <w:color w:val="auto"/>
                      <w:sz w:val="18"/>
                      <w:szCs w:val="18"/>
                      <w:highlight w:val="none"/>
                      <w:lang w:eastAsia="zh-CN"/>
                    </w:rPr>
                    <w:t>厂界北外1m处▲4</w:t>
                  </w:r>
                </w:p>
              </w:tc>
              <w:tc>
                <w:tcPr>
                  <w:tcW w:w="828" w:type="dxa"/>
                  <w:tcBorders>
                    <w:tl2br w:val="nil"/>
                    <w:tr2bl w:val="nil"/>
                  </w:tcBorders>
                  <w:vAlign w:val="center"/>
                </w:tcPr>
                <w:p w14:paraId="1119E87A">
                  <w:pPr>
                    <w:pStyle w:val="72"/>
                    <w:rPr>
                      <w:rFonts w:hint="default" w:ascii="Times New Roman" w:hAnsi="Times New Roman" w:eastAsia="宋体"/>
                      <w:color w:val="auto"/>
                      <w:sz w:val="18"/>
                      <w:highlight w:val="none"/>
                      <w:lang w:val="en-US" w:eastAsia="zh-CN"/>
                    </w:rPr>
                  </w:pPr>
                  <w:r>
                    <w:rPr>
                      <w:rFonts w:hint="eastAsia" w:ascii="Times New Roman" w:hAnsi="Times New Roman" w:eastAsia="宋体"/>
                      <w:color w:val="auto"/>
                      <w:sz w:val="18"/>
                      <w:highlight w:val="none"/>
                      <w:lang w:val="en-US" w:eastAsia="zh-CN"/>
                    </w:rPr>
                    <w:t>PN04</w:t>
                  </w:r>
                </w:p>
              </w:tc>
              <w:tc>
                <w:tcPr>
                  <w:tcW w:w="1717" w:type="dxa"/>
                  <w:vMerge w:val="continue"/>
                  <w:tcBorders>
                    <w:tl2br w:val="nil"/>
                    <w:tr2bl w:val="nil"/>
                  </w:tcBorders>
                  <w:vAlign w:val="center"/>
                </w:tcPr>
                <w:p w14:paraId="7EAAB3C4">
                  <w:pPr>
                    <w:pStyle w:val="72"/>
                    <w:rPr>
                      <w:rFonts w:hint="eastAsia" w:ascii="Times New Roman" w:hAnsi="Times New Roman" w:eastAsia="宋体"/>
                      <w:color w:val="auto"/>
                      <w:sz w:val="18"/>
                      <w:highlight w:val="none"/>
                    </w:rPr>
                  </w:pPr>
                </w:p>
              </w:tc>
              <w:tc>
                <w:tcPr>
                  <w:tcW w:w="2273" w:type="dxa"/>
                  <w:vMerge w:val="continue"/>
                  <w:tcBorders>
                    <w:tl2br w:val="nil"/>
                    <w:tr2bl w:val="nil"/>
                  </w:tcBorders>
                  <w:vAlign w:val="center"/>
                </w:tcPr>
                <w:p w14:paraId="0A1C7ABF">
                  <w:pPr>
                    <w:pStyle w:val="72"/>
                    <w:rPr>
                      <w:rFonts w:ascii="Times New Roman" w:hAnsi="Times New Roman" w:eastAsia="宋体"/>
                      <w:color w:val="auto"/>
                      <w:kern w:val="0"/>
                      <w:sz w:val="18"/>
                      <w:highlight w:val="none"/>
                    </w:rPr>
                  </w:pPr>
                </w:p>
              </w:tc>
            </w:tr>
          </w:tbl>
          <w:p w14:paraId="391332F1">
            <w:pPr>
              <w:adjustRightInd/>
              <w:snapToGrid/>
              <w:spacing w:line="360" w:lineRule="auto"/>
              <w:rPr>
                <w:color w:val="auto"/>
                <w:sz w:val="24"/>
                <w:highlight w:val="none"/>
              </w:rPr>
            </w:pPr>
          </w:p>
        </w:tc>
      </w:tr>
    </w:tbl>
    <w:p w14:paraId="589DC5B8">
      <w:pPr>
        <w:pStyle w:val="4"/>
        <w:adjustRightInd/>
        <w:snapToGrid/>
        <w:rPr>
          <w:color w:val="auto"/>
          <w:highlight w:val="none"/>
        </w:rPr>
      </w:pPr>
      <w:bookmarkStart w:id="7" w:name="_Toc27937"/>
      <w:r>
        <w:rPr>
          <w:rFonts w:hint="eastAsia"/>
          <w:color w:val="auto"/>
          <w:highlight w:val="none"/>
        </w:rPr>
        <w:t>表七验收监测结果</w:t>
      </w:r>
      <w:bookmarkEnd w:id="7"/>
    </w:p>
    <w:tbl>
      <w:tblPr>
        <w:tblStyle w:val="29"/>
        <w:tblW w:w="9286" w:type="dxa"/>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9286"/>
      </w:tblGrid>
      <w:tr w14:paraId="1B8EEA1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657" w:hRule="atLeast"/>
        </w:trPr>
        <w:tc>
          <w:tcPr>
            <w:tcW w:w="9286" w:type="dxa"/>
          </w:tcPr>
          <w:p w14:paraId="143A657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7.1生产工况分析</w:t>
            </w:r>
          </w:p>
          <w:p w14:paraId="42863360">
            <w:pPr>
              <w:adjustRightInd/>
              <w:snapToGrid/>
              <w:spacing w:line="360" w:lineRule="auto"/>
              <w:ind w:firstLine="480" w:firstLineChars="200"/>
              <w:rPr>
                <w:color w:val="auto"/>
                <w:sz w:val="24"/>
                <w:highlight w:val="none"/>
              </w:rPr>
            </w:pPr>
            <w:r>
              <w:rPr>
                <w:rFonts w:hint="eastAsia"/>
                <w:color w:val="auto"/>
                <w:sz w:val="24"/>
                <w:highlight w:val="none"/>
              </w:rPr>
              <w:t>根据企业提供的资料统计，监测期间项目生产设备及环保设施均正常运行，验收期间</w:t>
            </w:r>
            <w:r>
              <w:rPr>
                <w:rFonts w:hint="eastAsia"/>
                <w:color w:val="auto"/>
                <w:sz w:val="24"/>
                <w:highlight w:val="none"/>
                <w:lang w:eastAsia="zh-CN"/>
              </w:rPr>
              <w:t>，续建工程</w:t>
            </w:r>
            <w:r>
              <w:rPr>
                <w:rFonts w:hint="eastAsia"/>
                <w:color w:val="auto"/>
                <w:sz w:val="24"/>
                <w:highlight w:val="none"/>
              </w:rPr>
              <w:t>生产负荷统计见下表，工况证明见附件</w:t>
            </w:r>
            <w:r>
              <w:rPr>
                <w:rFonts w:hint="eastAsia"/>
                <w:color w:val="auto"/>
                <w:sz w:val="24"/>
                <w:highlight w:val="none"/>
                <w:lang w:val="en-US" w:eastAsia="zh-CN"/>
              </w:rPr>
              <w:t>8</w:t>
            </w:r>
            <w:r>
              <w:rPr>
                <w:rFonts w:hint="eastAsia"/>
                <w:color w:val="auto"/>
                <w:sz w:val="24"/>
                <w:highlight w:val="none"/>
              </w:rPr>
              <w:t>。</w:t>
            </w:r>
          </w:p>
          <w:p w14:paraId="5A0B1D3D">
            <w:pPr>
              <w:pStyle w:val="121"/>
              <w:adjustRightInd/>
              <w:snapToGrid/>
              <w:rPr>
                <w:color w:val="auto"/>
                <w:sz w:val="21"/>
                <w:highlight w:val="none"/>
              </w:rPr>
            </w:pPr>
            <w:r>
              <w:rPr>
                <w:rFonts w:hint="eastAsia"/>
                <w:color w:val="auto"/>
                <w:sz w:val="21"/>
                <w:highlight w:val="none"/>
              </w:rPr>
              <w:t>项目验收监测期间生产负荷统计一览表</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108"/>
              <w:gridCol w:w="1340"/>
              <w:gridCol w:w="1342"/>
              <w:gridCol w:w="1259"/>
              <w:gridCol w:w="1168"/>
              <w:gridCol w:w="1147"/>
            </w:tblGrid>
            <w:tr w14:paraId="69D9A9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8" w:type="pct"/>
                  <w:vMerge w:val="restart"/>
                  <w:shd w:val="clear" w:color="auto" w:fill="auto"/>
                  <w:vAlign w:val="center"/>
                </w:tcPr>
                <w:p w14:paraId="14EDF961">
                  <w:pPr>
                    <w:jc w:val="center"/>
                    <w:rPr>
                      <w:b/>
                      <w:bCs/>
                      <w:color w:val="auto"/>
                      <w:highlight w:val="none"/>
                    </w:rPr>
                  </w:pPr>
                  <w:r>
                    <w:rPr>
                      <w:b/>
                      <w:bCs/>
                      <w:color w:val="auto"/>
                      <w:highlight w:val="none"/>
                    </w:rPr>
                    <w:t>监测时间</w:t>
                  </w:r>
                </w:p>
              </w:tc>
              <w:tc>
                <w:tcPr>
                  <w:tcW w:w="611" w:type="pct"/>
                  <w:vMerge w:val="restart"/>
                  <w:vAlign w:val="center"/>
                </w:tcPr>
                <w:p w14:paraId="3504991A">
                  <w:pPr>
                    <w:jc w:val="center"/>
                    <w:rPr>
                      <w:b/>
                      <w:bCs/>
                      <w:color w:val="auto"/>
                      <w:highlight w:val="none"/>
                    </w:rPr>
                  </w:pPr>
                  <w:r>
                    <w:rPr>
                      <w:b/>
                      <w:bCs/>
                      <w:color w:val="auto"/>
                      <w:highlight w:val="none"/>
                    </w:rPr>
                    <w:t>产品名称</w:t>
                  </w:r>
                </w:p>
              </w:tc>
              <w:tc>
                <w:tcPr>
                  <w:tcW w:w="1479" w:type="pct"/>
                  <w:gridSpan w:val="2"/>
                  <w:tcBorders>
                    <w:bottom w:val="single" w:color="auto" w:sz="4" w:space="0"/>
                  </w:tcBorders>
                  <w:shd w:val="clear" w:color="auto" w:fill="auto"/>
                  <w:vAlign w:val="center"/>
                </w:tcPr>
                <w:p w14:paraId="4F0A5CAC">
                  <w:pPr>
                    <w:jc w:val="center"/>
                    <w:rPr>
                      <w:rFonts w:hint="eastAsia" w:eastAsia="宋体"/>
                      <w:b/>
                      <w:bCs/>
                      <w:color w:val="auto"/>
                      <w:highlight w:val="none"/>
                      <w:lang w:eastAsia="zh-CN"/>
                    </w:rPr>
                  </w:pPr>
                  <w:r>
                    <w:rPr>
                      <w:b/>
                      <w:bCs/>
                      <w:color w:val="auto"/>
                      <w:highlight w:val="none"/>
                    </w:rPr>
                    <w:t>设计</w:t>
                  </w:r>
                  <w:r>
                    <w:rPr>
                      <w:rFonts w:hint="eastAsia"/>
                      <w:b/>
                      <w:bCs/>
                      <w:color w:val="auto"/>
                      <w:highlight w:val="none"/>
                      <w:lang w:eastAsia="zh-CN"/>
                    </w:rPr>
                    <w:t>产能</w:t>
                  </w:r>
                </w:p>
              </w:tc>
              <w:tc>
                <w:tcPr>
                  <w:tcW w:w="694" w:type="pct"/>
                  <w:vMerge w:val="restart"/>
                  <w:shd w:val="clear" w:color="auto" w:fill="auto"/>
                  <w:vAlign w:val="center"/>
                </w:tcPr>
                <w:p w14:paraId="32932251">
                  <w:pPr>
                    <w:jc w:val="center"/>
                    <w:rPr>
                      <w:b/>
                      <w:bCs/>
                      <w:color w:val="auto"/>
                      <w:highlight w:val="none"/>
                    </w:rPr>
                  </w:pPr>
                  <w:r>
                    <w:rPr>
                      <w:rFonts w:hint="eastAsia"/>
                      <w:b/>
                      <w:bCs/>
                      <w:color w:val="auto"/>
                      <w:highlight w:val="none"/>
                    </w:rPr>
                    <w:t>当日</w:t>
                  </w:r>
                  <w:r>
                    <w:rPr>
                      <w:b/>
                      <w:bCs/>
                      <w:color w:val="auto"/>
                      <w:highlight w:val="none"/>
                    </w:rPr>
                    <w:t>实际</w:t>
                  </w:r>
                  <w:r>
                    <w:rPr>
                      <w:rFonts w:hint="eastAsia"/>
                      <w:b/>
                      <w:bCs/>
                      <w:color w:val="auto"/>
                      <w:highlight w:val="none"/>
                    </w:rPr>
                    <w:t>发电量</w:t>
                  </w:r>
                </w:p>
              </w:tc>
              <w:tc>
                <w:tcPr>
                  <w:tcW w:w="644" w:type="pct"/>
                  <w:vMerge w:val="restart"/>
                  <w:shd w:val="clear" w:color="auto" w:fill="auto"/>
                  <w:vAlign w:val="center"/>
                </w:tcPr>
                <w:p w14:paraId="5BFE6D54">
                  <w:pPr>
                    <w:jc w:val="center"/>
                    <w:rPr>
                      <w:b/>
                      <w:bCs/>
                      <w:color w:val="auto"/>
                      <w:highlight w:val="none"/>
                    </w:rPr>
                  </w:pPr>
                  <w:r>
                    <w:rPr>
                      <w:b/>
                      <w:bCs/>
                      <w:color w:val="auto"/>
                      <w:highlight w:val="none"/>
                    </w:rPr>
                    <w:t>生产负荷</w:t>
                  </w:r>
                </w:p>
              </w:tc>
              <w:tc>
                <w:tcPr>
                  <w:tcW w:w="632" w:type="pct"/>
                  <w:vMerge w:val="restart"/>
                  <w:shd w:val="clear" w:color="auto" w:fill="auto"/>
                  <w:vAlign w:val="center"/>
                </w:tcPr>
                <w:p w14:paraId="25B5800A">
                  <w:pPr>
                    <w:jc w:val="center"/>
                    <w:rPr>
                      <w:rFonts w:hint="eastAsia" w:eastAsia="宋体"/>
                      <w:b/>
                      <w:bCs/>
                      <w:color w:val="auto"/>
                      <w:highlight w:val="none"/>
                      <w:lang w:eastAsia="zh-CN"/>
                    </w:rPr>
                  </w:pPr>
                  <w:r>
                    <w:rPr>
                      <w:rFonts w:hint="eastAsia"/>
                      <w:b/>
                      <w:bCs/>
                      <w:color w:val="auto"/>
                      <w:highlight w:val="none"/>
                      <w:lang w:eastAsia="zh-CN"/>
                    </w:rPr>
                    <w:t>备注</w:t>
                  </w:r>
                </w:p>
              </w:tc>
            </w:tr>
            <w:tr w14:paraId="5F8BA8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8" w:type="pct"/>
                  <w:vMerge w:val="continue"/>
                  <w:tcBorders>
                    <w:bottom w:val="single" w:color="auto" w:sz="12" w:space="0"/>
                  </w:tcBorders>
                  <w:shd w:val="clear" w:color="auto" w:fill="auto"/>
                  <w:vAlign w:val="center"/>
                </w:tcPr>
                <w:p w14:paraId="3A078A7D">
                  <w:pPr>
                    <w:jc w:val="center"/>
                    <w:rPr>
                      <w:color w:val="auto"/>
                      <w:highlight w:val="none"/>
                    </w:rPr>
                  </w:pPr>
                </w:p>
              </w:tc>
              <w:tc>
                <w:tcPr>
                  <w:tcW w:w="611" w:type="pct"/>
                  <w:vMerge w:val="continue"/>
                  <w:tcBorders>
                    <w:bottom w:val="single" w:color="auto" w:sz="12" w:space="0"/>
                  </w:tcBorders>
                  <w:vAlign w:val="center"/>
                </w:tcPr>
                <w:p w14:paraId="028F623A">
                  <w:pPr>
                    <w:jc w:val="center"/>
                    <w:rPr>
                      <w:color w:val="auto"/>
                      <w:highlight w:val="none"/>
                    </w:rPr>
                  </w:pPr>
                </w:p>
              </w:tc>
              <w:tc>
                <w:tcPr>
                  <w:tcW w:w="739" w:type="pct"/>
                  <w:tcBorders>
                    <w:top w:val="single" w:color="auto" w:sz="4" w:space="0"/>
                    <w:bottom w:val="single" w:color="auto" w:sz="12" w:space="0"/>
                  </w:tcBorders>
                  <w:shd w:val="clear" w:color="auto" w:fill="auto"/>
                  <w:vAlign w:val="center"/>
                </w:tcPr>
                <w:p w14:paraId="48F2B89C">
                  <w:pPr>
                    <w:jc w:val="center"/>
                    <w:rPr>
                      <w:rFonts w:hint="eastAsia" w:eastAsia="宋体"/>
                      <w:b/>
                      <w:bCs/>
                      <w:color w:val="auto"/>
                      <w:highlight w:val="none"/>
                      <w:lang w:eastAsia="zh-CN"/>
                    </w:rPr>
                  </w:pPr>
                  <w:r>
                    <w:rPr>
                      <w:rFonts w:hint="eastAsia"/>
                      <w:b/>
                      <w:bCs/>
                      <w:color w:val="auto"/>
                      <w:highlight w:val="none"/>
                      <w:lang w:eastAsia="zh-CN"/>
                    </w:rPr>
                    <w:t>年发电量</w:t>
                  </w:r>
                </w:p>
              </w:tc>
              <w:tc>
                <w:tcPr>
                  <w:tcW w:w="740" w:type="pct"/>
                  <w:tcBorders>
                    <w:top w:val="single" w:color="auto" w:sz="4" w:space="0"/>
                    <w:bottom w:val="single" w:color="auto" w:sz="12" w:space="0"/>
                  </w:tcBorders>
                  <w:shd w:val="clear" w:color="auto" w:fill="auto"/>
                  <w:vAlign w:val="center"/>
                </w:tcPr>
                <w:p w14:paraId="67CC56A7">
                  <w:pPr>
                    <w:jc w:val="center"/>
                    <w:rPr>
                      <w:rFonts w:hint="eastAsia" w:eastAsia="宋体"/>
                      <w:b/>
                      <w:bCs/>
                      <w:color w:val="auto"/>
                      <w:highlight w:val="none"/>
                      <w:lang w:eastAsia="zh-CN"/>
                    </w:rPr>
                  </w:pPr>
                  <w:r>
                    <w:rPr>
                      <w:rFonts w:hint="eastAsia"/>
                      <w:b/>
                      <w:bCs/>
                      <w:color w:val="auto"/>
                      <w:highlight w:val="none"/>
                      <w:lang w:eastAsia="zh-CN"/>
                    </w:rPr>
                    <w:t>平均日发电量</w:t>
                  </w:r>
                </w:p>
              </w:tc>
              <w:tc>
                <w:tcPr>
                  <w:tcW w:w="694" w:type="pct"/>
                  <w:vMerge w:val="continue"/>
                  <w:tcBorders>
                    <w:bottom w:val="single" w:color="auto" w:sz="12" w:space="0"/>
                  </w:tcBorders>
                  <w:shd w:val="clear" w:color="auto" w:fill="auto"/>
                  <w:vAlign w:val="center"/>
                </w:tcPr>
                <w:p w14:paraId="5FB8E06C">
                  <w:pPr>
                    <w:jc w:val="center"/>
                    <w:rPr>
                      <w:b/>
                      <w:bCs/>
                      <w:color w:val="auto"/>
                      <w:highlight w:val="none"/>
                    </w:rPr>
                  </w:pPr>
                </w:p>
              </w:tc>
              <w:tc>
                <w:tcPr>
                  <w:tcW w:w="644" w:type="pct"/>
                  <w:vMerge w:val="continue"/>
                  <w:tcBorders>
                    <w:bottom w:val="single" w:color="auto" w:sz="12" w:space="0"/>
                  </w:tcBorders>
                  <w:shd w:val="clear" w:color="auto" w:fill="auto"/>
                  <w:vAlign w:val="center"/>
                </w:tcPr>
                <w:p w14:paraId="0328CC1F">
                  <w:pPr>
                    <w:jc w:val="center"/>
                    <w:rPr>
                      <w:b/>
                      <w:bCs/>
                      <w:color w:val="auto"/>
                      <w:highlight w:val="none"/>
                    </w:rPr>
                  </w:pPr>
                </w:p>
              </w:tc>
              <w:tc>
                <w:tcPr>
                  <w:tcW w:w="632" w:type="pct"/>
                  <w:vMerge w:val="continue"/>
                  <w:tcBorders>
                    <w:bottom w:val="single" w:color="auto" w:sz="12" w:space="0"/>
                  </w:tcBorders>
                  <w:shd w:val="clear" w:color="auto" w:fill="auto"/>
                  <w:vAlign w:val="center"/>
                </w:tcPr>
                <w:p w14:paraId="35A9B2E9">
                  <w:pPr>
                    <w:jc w:val="center"/>
                    <w:rPr>
                      <w:b/>
                      <w:bCs/>
                      <w:color w:val="auto"/>
                      <w:highlight w:val="none"/>
                    </w:rPr>
                  </w:pPr>
                </w:p>
              </w:tc>
            </w:tr>
            <w:tr w14:paraId="0A8A3B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8" w:type="pct"/>
                  <w:tcBorders>
                    <w:top w:val="single" w:color="auto" w:sz="12" w:space="0"/>
                    <w:tl2br w:val="nil"/>
                    <w:tr2bl w:val="nil"/>
                  </w:tcBorders>
                  <w:shd w:val="clear" w:color="auto" w:fill="auto"/>
                  <w:vAlign w:val="center"/>
                </w:tcPr>
                <w:p w14:paraId="3021F788">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default" w:ascii="Times New Roman" w:hAnsi="Times New Roman" w:eastAsia="宋体" w:cs="Times New Roman"/>
                      <w:kern w:val="2"/>
                      <w:sz w:val="18"/>
                      <w:szCs w:val="18"/>
                      <w:highlight w:val="none"/>
                      <w:vertAlign w:val="baseline"/>
                      <w:lang w:val="en-US" w:eastAsia="zh-CN" w:bidi="ar-SA"/>
                    </w:rPr>
                  </w:pPr>
                  <w:r>
                    <w:rPr>
                      <w:rFonts w:hint="default" w:ascii="Times New Roman" w:hAnsi="Times New Roman" w:eastAsia="宋体" w:cs="Times New Roman"/>
                      <w:sz w:val="18"/>
                      <w:szCs w:val="18"/>
                      <w:highlight w:val="none"/>
                      <w:vertAlign w:val="baseline"/>
                      <w:lang w:val="en-US" w:eastAsia="zh-CN"/>
                    </w:rPr>
                    <w:t>20</w:t>
                  </w:r>
                  <w:r>
                    <w:rPr>
                      <w:rFonts w:hint="eastAsia" w:ascii="Times New Roman" w:hAnsi="Times New Roman" w:eastAsia="宋体" w:cs="Times New Roman"/>
                      <w:sz w:val="18"/>
                      <w:szCs w:val="18"/>
                      <w:highlight w:val="none"/>
                      <w:vertAlign w:val="baseline"/>
                      <w:lang w:val="en-US" w:eastAsia="zh-CN"/>
                    </w:rPr>
                    <w:t>24</w:t>
                  </w:r>
                  <w:r>
                    <w:rPr>
                      <w:rFonts w:hint="default" w:ascii="Times New Roman" w:hAnsi="Times New Roman" w:eastAsia="宋体" w:cs="Times New Roman"/>
                      <w:sz w:val="18"/>
                      <w:szCs w:val="18"/>
                      <w:highlight w:val="none"/>
                      <w:vertAlign w:val="baseline"/>
                      <w:lang w:val="en-US" w:eastAsia="zh-CN"/>
                    </w:rPr>
                    <w:t>年</w:t>
                  </w:r>
                  <w:r>
                    <w:rPr>
                      <w:rFonts w:hint="eastAsia" w:ascii="Times New Roman" w:hAnsi="Times New Roman" w:eastAsia="宋体" w:cs="Times New Roman"/>
                      <w:sz w:val="18"/>
                      <w:szCs w:val="18"/>
                      <w:highlight w:val="none"/>
                      <w:vertAlign w:val="baseline"/>
                      <w:lang w:val="en-US" w:eastAsia="zh-CN"/>
                    </w:rPr>
                    <w:t>12</w:t>
                  </w:r>
                  <w:r>
                    <w:rPr>
                      <w:rFonts w:hint="default" w:ascii="Times New Roman" w:hAnsi="Times New Roman" w:eastAsia="宋体" w:cs="Times New Roman"/>
                      <w:sz w:val="18"/>
                      <w:szCs w:val="18"/>
                      <w:highlight w:val="none"/>
                      <w:vertAlign w:val="baseline"/>
                      <w:lang w:val="en-US" w:eastAsia="zh-CN"/>
                    </w:rPr>
                    <w:t>月</w:t>
                  </w:r>
                  <w:r>
                    <w:rPr>
                      <w:rFonts w:hint="eastAsia" w:ascii="Times New Roman" w:hAnsi="Times New Roman" w:eastAsia="宋体" w:cs="Times New Roman"/>
                      <w:sz w:val="18"/>
                      <w:szCs w:val="18"/>
                      <w:highlight w:val="none"/>
                      <w:vertAlign w:val="baseline"/>
                      <w:lang w:val="en-US" w:eastAsia="zh-CN"/>
                    </w:rPr>
                    <w:t>10</w:t>
                  </w:r>
                  <w:r>
                    <w:rPr>
                      <w:rFonts w:hint="default" w:ascii="Times New Roman" w:hAnsi="Times New Roman" w:eastAsia="宋体" w:cs="Times New Roman"/>
                      <w:sz w:val="18"/>
                      <w:szCs w:val="18"/>
                      <w:highlight w:val="none"/>
                      <w:vertAlign w:val="baseline"/>
                      <w:lang w:val="en-US" w:eastAsia="zh-CN"/>
                    </w:rPr>
                    <w:t>日</w:t>
                  </w:r>
                </w:p>
              </w:tc>
              <w:tc>
                <w:tcPr>
                  <w:tcW w:w="611" w:type="pct"/>
                  <w:tcBorders>
                    <w:top w:val="single" w:color="auto" w:sz="12" w:space="0"/>
                    <w:tl2br w:val="nil"/>
                    <w:tr2bl w:val="nil"/>
                  </w:tcBorders>
                  <w:shd w:val="clear" w:color="auto" w:fill="auto"/>
                  <w:vAlign w:val="center"/>
                </w:tcPr>
                <w:p w14:paraId="3E0ECD4E">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highlight w:val="none"/>
                      <w:vertAlign w:val="baseline"/>
                      <w:lang w:val="en-US" w:eastAsia="zh-CN" w:bidi="ar-SA"/>
                    </w:rPr>
                  </w:pPr>
                  <w:r>
                    <w:rPr>
                      <w:rFonts w:hint="eastAsia" w:ascii="Times New Roman" w:hAnsi="Times New Roman" w:eastAsia="宋体" w:cs="Times New Roman"/>
                      <w:sz w:val="18"/>
                      <w:szCs w:val="18"/>
                      <w:highlight w:val="none"/>
                      <w:vertAlign w:val="baseline"/>
                      <w:lang w:val="en-US" w:eastAsia="zh-CN"/>
                    </w:rPr>
                    <w:t>发电量</w:t>
                  </w:r>
                </w:p>
              </w:tc>
              <w:tc>
                <w:tcPr>
                  <w:tcW w:w="739" w:type="pct"/>
                  <w:tcBorders>
                    <w:top w:val="single" w:color="auto" w:sz="12" w:space="0"/>
                    <w:tl2br w:val="nil"/>
                    <w:tr2bl w:val="nil"/>
                  </w:tcBorders>
                  <w:shd w:val="clear" w:color="auto" w:fill="auto"/>
                  <w:vAlign w:val="center"/>
                </w:tcPr>
                <w:p w14:paraId="1FAA8EE4">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highlight w:val="none"/>
                      <w:vertAlign w:val="baseline"/>
                      <w:lang w:val="en-US" w:eastAsia="zh-CN" w:bidi="ar-SA"/>
                    </w:rPr>
                  </w:pPr>
                  <w:r>
                    <w:rPr>
                      <w:rFonts w:hint="eastAsia" w:ascii="Times New Roman" w:hAnsi="Times New Roman" w:eastAsia="宋体" w:cs="Times New Roman"/>
                      <w:sz w:val="18"/>
                      <w:szCs w:val="18"/>
                      <w:highlight w:val="none"/>
                      <w:vertAlign w:val="baseline"/>
                      <w:lang w:val="en-US" w:eastAsia="zh-CN"/>
                    </w:rPr>
                    <w:t>3407万度</w:t>
                  </w:r>
                </w:p>
              </w:tc>
              <w:tc>
                <w:tcPr>
                  <w:tcW w:w="740" w:type="pct"/>
                  <w:tcBorders>
                    <w:top w:val="single" w:color="auto" w:sz="12" w:space="0"/>
                    <w:tl2br w:val="nil"/>
                    <w:tr2bl w:val="nil"/>
                  </w:tcBorders>
                  <w:shd w:val="clear" w:color="auto" w:fill="auto"/>
                  <w:vAlign w:val="center"/>
                </w:tcPr>
                <w:p w14:paraId="017FE7AC">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highlight w:val="none"/>
                      <w:vertAlign w:val="baseline"/>
                      <w:lang w:val="en-US" w:eastAsia="zh-CN" w:bidi="ar-SA"/>
                    </w:rPr>
                  </w:pPr>
                  <w:r>
                    <w:rPr>
                      <w:rFonts w:hint="eastAsia" w:ascii="Times New Roman" w:hAnsi="Times New Roman" w:eastAsia="宋体" w:cs="Times New Roman"/>
                      <w:sz w:val="18"/>
                      <w:szCs w:val="18"/>
                      <w:highlight w:val="none"/>
                      <w:vertAlign w:val="baseline"/>
                      <w:lang w:val="en-US" w:eastAsia="zh-CN"/>
                    </w:rPr>
                    <w:t>10.324万度</w:t>
                  </w:r>
                </w:p>
              </w:tc>
              <w:tc>
                <w:tcPr>
                  <w:tcW w:w="694" w:type="pct"/>
                  <w:tcBorders>
                    <w:top w:val="single" w:color="auto" w:sz="12" w:space="0"/>
                    <w:tl2br w:val="nil"/>
                    <w:tr2bl w:val="nil"/>
                  </w:tcBorders>
                  <w:shd w:val="clear" w:color="auto" w:fill="auto"/>
                  <w:vAlign w:val="center"/>
                </w:tcPr>
                <w:p w14:paraId="602D96EE">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highlight w:val="none"/>
                      <w:vertAlign w:val="baseline"/>
                      <w:lang w:val="en-US" w:eastAsia="zh-CN" w:bidi="ar-SA"/>
                    </w:rPr>
                  </w:pPr>
                  <w:r>
                    <w:rPr>
                      <w:rFonts w:hint="eastAsia" w:ascii="Times New Roman" w:hAnsi="Times New Roman" w:eastAsia="宋体" w:cs="Times New Roman"/>
                      <w:sz w:val="18"/>
                      <w:szCs w:val="18"/>
                      <w:highlight w:val="none"/>
                      <w:vertAlign w:val="baseline"/>
                      <w:lang w:val="en-US" w:eastAsia="zh-CN"/>
                    </w:rPr>
                    <w:t>9.395万度</w:t>
                  </w:r>
                </w:p>
              </w:tc>
              <w:tc>
                <w:tcPr>
                  <w:tcW w:w="644" w:type="pct"/>
                  <w:tcBorders>
                    <w:top w:val="single" w:color="auto" w:sz="12" w:space="0"/>
                    <w:tl2br w:val="nil"/>
                    <w:tr2bl w:val="nil"/>
                  </w:tcBorders>
                  <w:shd w:val="clear" w:color="auto" w:fill="auto"/>
                  <w:vAlign w:val="center"/>
                </w:tcPr>
                <w:p w14:paraId="30D64E53">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highlight w:val="none"/>
                      <w:vertAlign w:val="baseline"/>
                      <w:lang w:val="en-US" w:eastAsia="zh-CN" w:bidi="ar-SA"/>
                    </w:rPr>
                  </w:pPr>
                  <w:r>
                    <w:rPr>
                      <w:rFonts w:hint="eastAsia" w:ascii="Times New Roman" w:hAnsi="Times New Roman" w:eastAsia="宋体" w:cs="Times New Roman"/>
                      <w:sz w:val="18"/>
                      <w:szCs w:val="18"/>
                      <w:highlight w:val="none"/>
                      <w:vertAlign w:val="baseline"/>
                      <w:lang w:val="en-US" w:eastAsia="zh-CN"/>
                    </w:rPr>
                    <w:t>91.0%</w:t>
                  </w:r>
                </w:p>
              </w:tc>
              <w:tc>
                <w:tcPr>
                  <w:tcW w:w="632" w:type="pct"/>
                  <w:vMerge w:val="restart"/>
                  <w:tcBorders>
                    <w:top w:val="single" w:color="auto" w:sz="12" w:space="0"/>
                    <w:tl2br w:val="nil"/>
                    <w:tr2bl w:val="nil"/>
                  </w:tcBorders>
                  <w:shd w:val="clear" w:color="auto" w:fill="auto"/>
                  <w:vAlign w:val="center"/>
                </w:tcPr>
                <w:p w14:paraId="7624D1CB">
                  <w:pPr>
                    <w:jc w:val="center"/>
                    <w:rPr>
                      <w:rFonts w:hint="eastAsia" w:ascii="Times New Roman" w:hAnsi="Times New Roman" w:eastAsia="宋体" w:cs="宋体"/>
                      <w:color w:val="auto"/>
                      <w:kern w:val="0"/>
                      <w:highlight w:val="none"/>
                    </w:rPr>
                  </w:pPr>
                  <w:r>
                    <w:rPr>
                      <w:rFonts w:hint="eastAsia" w:ascii="Times New Roman" w:hAnsi="Times New Roman" w:cs="宋体"/>
                      <w:color w:val="auto"/>
                      <w:kern w:val="0"/>
                      <w:highlight w:val="none"/>
                      <w:lang w:eastAsia="zh-CN"/>
                    </w:rPr>
                    <w:t>本次</w:t>
                  </w:r>
                  <w:r>
                    <w:rPr>
                      <w:rFonts w:hint="eastAsia" w:ascii="Times New Roman" w:hAnsi="Times New Roman" w:eastAsia="宋体" w:cs="宋体"/>
                      <w:color w:val="auto"/>
                      <w:kern w:val="0"/>
                      <w:highlight w:val="none"/>
                    </w:rPr>
                    <w:t>验收期间</w:t>
                  </w:r>
                </w:p>
              </w:tc>
            </w:tr>
            <w:tr w14:paraId="647A9F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8" w:type="pct"/>
                  <w:tcBorders>
                    <w:tl2br w:val="nil"/>
                    <w:tr2bl w:val="nil"/>
                  </w:tcBorders>
                  <w:shd w:val="clear" w:color="auto" w:fill="auto"/>
                  <w:vAlign w:val="center"/>
                </w:tcPr>
                <w:p w14:paraId="7B461600">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default" w:ascii="Times New Roman" w:hAnsi="Times New Roman" w:eastAsia="宋体" w:cs="Times New Roman"/>
                      <w:kern w:val="2"/>
                      <w:sz w:val="18"/>
                      <w:szCs w:val="18"/>
                      <w:vertAlign w:val="baseline"/>
                      <w:lang w:val="en-US" w:eastAsia="zh-CN" w:bidi="ar-SA"/>
                    </w:rPr>
                  </w:pPr>
                  <w:r>
                    <w:rPr>
                      <w:rFonts w:hint="default" w:ascii="Times New Roman" w:hAnsi="Times New Roman" w:eastAsia="宋体" w:cs="Times New Roman"/>
                      <w:sz w:val="18"/>
                      <w:szCs w:val="18"/>
                      <w:vertAlign w:val="baseline"/>
                      <w:lang w:val="en-US" w:eastAsia="zh-CN"/>
                    </w:rPr>
                    <w:t>20</w:t>
                  </w:r>
                  <w:r>
                    <w:rPr>
                      <w:rFonts w:hint="eastAsia" w:ascii="Times New Roman" w:hAnsi="Times New Roman" w:eastAsia="宋体" w:cs="Times New Roman"/>
                      <w:sz w:val="18"/>
                      <w:szCs w:val="18"/>
                      <w:vertAlign w:val="baseline"/>
                      <w:lang w:val="en-US" w:eastAsia="zh-CN"/>
                    </w:rPr>
                    <w:t>24</w:t>
                  </w:r>
                  <w:r>
                    <w:rPr>
                      <w:rFonts w:hint="default" w:ascii="Times New Roman" w:hAnsi="Times New Roman" w:eastAsia="宋体" w:cs="Times New Roman"/>
                      <w:sz w:val="18"/>
                      <w:szCs w:val="18"/>
                      <w:vertAlign w:val="baseline"/>
                      <w:lang w:val="en-US" w:eastAsia="zh-CN"/>
                    </w:rPr>
                    <w:t>年</w:t>
                  </w:r>
                  <w:r>
                    <w:rPr>
                      <w:rFonts w:hint="eastAsia" w:ascii="Times New Roman" w:hAnsi="Times New Roman" w:eastAsia="宋体" w:cs="Times New Roman"/>
                      <w:sz w:val="18"/>
                      <w:szCs w:val="18"/>
                      <w:vertAlign w:val="baseline"/>
                      <w:lang w:val="en-US" w:eastAsia="zh-CN"/>
                    </w:rPr>
                    <w:t>12</w:t>
                  </w:r>
                  <w:r>
                    <w:rPr>
                      <w:rFonts w:hint="default" w:ascii="Times New Roman" w:hAnsi="Times New Roman" w:eastAsia="宋体" w:cs="Times New Roman"/>
                      <w:sz w:val="18"/>
                      <w:szCs w:val="18"/>
                      <w:vertAlign w:val="baseline"/>
                      <w:lang w:val="en-US" w:eastAsia="zh-CN"/>
                    </w:rPr>
                    <w:t>月</w:t>
                  </w:r>
                  <w:r>
                    <w:rPr>
                      <w:rFonts w:hint="eastAsia" w:ascii="Times New Roman" w:hAnsi="Times New Roman" w:eastAsia="宋体" w:cs="Times New Roman"/>
                      <w:sz w:val="18"/>
                      <w:szCs w:val="18"/>
                      <w:vertAlign w:val="baseline"/>
                      <w:lang w:val="en-US" w:eastAsia="zh-CN"/>
                    </w:rPr>
                    <w:t>11</w:t>
                  </w:r>
                  <w:r>
                    <w:rPr>
                      <w:rFonts w:hint="default" w:ascii="Times New Roman" w:hAnsi="Times New Roman" w:eastAsia="宋体" w:cs="Times New Roman"/>
                      <w:sz w:val="18"/>
                      <w:szCs w:val="18"/>
                      <w:vertAlign w:val="baseline"/>
                      <w:lang w:val="en-US" w:eastAsia="zh-CN"/>
                    </w:rPr>
                    <w:t>日</w:t>
                  </w:r>
                </w:p>
              </w:tc>
              <w:tc>
                <w:tcPr>
                  <w:tcW w:w="611" w:type="pct"/>
                  <w:tcBorders>
                    <w:tl2br w:val="nil"/>
                    <w:tr2bl w:val="nil"/>
                  </w:tcBorders>
                  <w:shd w:val="clear" w:color="auto" w:fill="auto"/>
                  <w:vAlign w:val="center"/>
                </w:tcPr>
                <w:p w14:paraId="530820DA">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vertAlign w:val="baseline"/>
                      <w:lang w:val="en-US" w:eastAsia="zh-CN" w:bidi="ar-SA"/>
                    </w:rPr>
                  </w:pPr>
                  <w:r>
                    <w:rPr>
                      <w:rFonts w:hint="eastAsia" w:ascii="Times New Roman" w:hAnsi="Times New Roman" w:eastAsia="宋体" w:cs="Times New Roman"/>
                      <w:sz w:val="18"/>
                      <w:szCs w:val="18"/>
                      <w:vertAlign w:val="baseline"/>
                      <w:lang w:val="en-US" w:eastAsia="zh-CN"/>
                    </w:rPr>
                    <w:t>发电量</w:t>
                  </w:r>
                </w:p>
              </w:tc>
              <w:tc>
                <w:tcPr>
                  <w:tcW w:w="739" w:type="pct"/>
                  <w:tcBorders>
                    <w:tl2br w:val="nil"/>
                    <w:tr2bl w:val="nil"/>
                  </w:tcBorders>
                  <w:shd w:val="clear" w:color="auto" w:fill="auto"/>
                  <w:vAlign w:val="center"/>
                </w:tcPr>
                <w:p w14:paraId="502E5997">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vertAlign w:val="baseline"/>
                      <w:lang w:val="en-US" w:eastAsia="zh-CN" w:bidi="ar-SA"/>
                    </w:rPr>
                  </w:pPr>
                  <w:r>
                    <w:rPr>
                      <w:rFonts w:hint="eastAsia" w:ascii="Times New Roman" w:hAnsi="Times New Roman" w:eastAsia="宋体" w:cs="Times New Roman"/>
                      <w:sz w:val="18"/>
                      <w:szCs w:val="18"/>
                      <w:vertAlign w:val="baseline"/>
                      <w:lang w:val="en-US" w:eastAsia="zh-CN"/>
                    </w:rPr>
                    <w:t>3407万度</w:t>
                  </w:r>
                </w:p>
              </w:tc>
              <w:tc>
                <w:tcPr>
                  <w:tcW w:w="740" w:type="pct"/>
                  <w:tcBorders>
                    <w:tl2br w:val="nil"/>
                    <w:tr2bl w:val="nil"/>
                  </w:tcBorders>
                  <w:shd w:val="clear" w:color="auto" w:fill="auto"/>
                  <w:vAlign w:val="center"/>
                </w:tcPr>
                <w:p w14:paraId="5047E369">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vertAlign w:val="baseline"/>
                      <w:lang w:val="en-US" w:eastAsia="zh-CN" w:bidi="ar-SA"/>
                    </w:rPr>
                  </w:pPr>
                  <w:r>
                    <w:rPr>
                      <w:rFonts w:hint="eastAsia" w:ascii="Times New Roman" w:hAnsi="Times New Roman" w:eastAsia="宋体" w:cs="Times New Roman"/>
                      <w:sz w:val="18"/>
                      <w:szCs w:val="18"/>
                      <w:vertAlign w:val="baseline"/>
                      <w:lang w:val="en-US" w:eastAsia="zh-CN"/>
                    </w:rPr>
                    <w:t>10.324万度</w:t>
                  </w:r>
                </w:p>
              </w:tc>
              <w:tc>
                <w:tcPr>
                  <w:tcW w:w="694" w:type="pct"/>
                  <w:tcBorders>
                    <w:tl2br w:val="nil"/>
                    <w:tr2bl w:val="nil"/>
                  </w:tcBorders>
                  <w:shd w:val="clear" w:color="auto" w:fill="auto"/>
                  <w:vAlign w:val="center"/>
                </w:tcPr>
                <w:p w14:paraId="50372472">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vertAlign w:val="baseline"/>
                      <w:lang w:val="en-US" w:eastAsia="zh-CN" w:bidi="ar-SA"/>
                    </w:rPr>
                  </w:pPr>
                  <w:r>
                    <w:rPr>
                      <w:rFonts w:hint="eastAsia" w:ascii="Times New Roman" w:hAnsi="Times New Roman" w:eastAsia="宋体" w:cs="Times New Roman"/>
                      <w:sz w:val="18"/>
                      <w:szCs w:val="18"/>
                      <w:vertAlign w:val="baseline"/>
                      <w:lang w:val="en-US" w:eastAsia="zh-CN"/>
                    </w:rPr>
                    <w:t>9.189万度</w:t>
                  </w:r>
                </w:p>
              </w:tc>
              <w:tc>
                <w:tcPr>
                  <w:tcW w:w="644" w:type="pct"/>
                  <w:tcBorders>
                    <w:tl2br w:val="nil"/>
                    <w:tr2bl w:val="nil"/>
                  </w:tcBorders>
                  <w:shd w:val="clear" w:color="auto" w:fill="auto"/>
                  <w:vAlign w:val="center"/>
                </w:tcPr>
                <w:p w14:paraId="1EE3DE89">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rightChars="0"/>
                    <w:jc w:val="center"/>
                    <w:textAlignment w:val="auto"/>
                    <w:rPr>
                      <w:rFonts w:hint="eastAsia" w:ascii="Times New Roman" w:hAnsi="Times New Roman" w:eastAsia="宋体" w:cs="Times New Roman"/>
                      <w:kern w:val="2"/>
                      <w:sz w:val="18"/>
                      <w:szCs w:val="18"/>
                      <w:vertAlign w:val="baseline"/>
                      <w:lang w:val="en-US" w:eastAsia="zh-CN" w:bidi="ar-SA"/>
                    </w:rPr>
                  </w:pPr>
                  <w:r>
                    <w:rPr>
                      <w:rFonts w:hint="eastAsia" w:ascii="Times New Roman" w:hAnsi="Times New Roman" w:eastAsia="宋体" w:cs="Times New Roman"/>
                      <w:sz w:val="18"/>
                      <w:szCs w:val="18"/>
                      <w:vertAlign w:val="baseline"/>
                      <w:lang w:val="en-US" w:eastAsia="zh-CN"/>
                    </w:rPr>
                    <w:t>89.0%</w:t>
                  </w:r>
                </w:p>
              </w:tc>
              <w:tc>
                <w:tcPr>
                  <w:tcW w:w="632" w:type="pct"/>
                  <w:vMerge w:val="continue"/>
                  <w:tcBorders>
                    <w:tl2br w:val="nil"/>
                    <w:tr2bl w:val="nil"/>
                  </w:tcBorders>
                  <w:shd w:val="clear" w:color="auto" w:fill="auto"/>
                  <w:vAlign w:val="center"/>
                </w:tcPr>
                <w:p w14:paraId="1CFF4EE2">
                  <w:pPr>
                    <w:jc w:val="center"/>
                    <w:rPr>
                      <w:rFonts w:hint="eastAsia" w:ascii="Times New Roman" w:hAnsi="Times New Roman" w:eastAsia="宋体" w:cs="宋体"/>
                      <w:color w:val="auto"/>
                      <w:kern w:val="0"/>
                      <w:highlight w:val="red"/>
                    </w:rPr>
                  </w:pPr>
                </w:p>
              </w:tc>
            </w:tr>
          </w:tbl>
          <w:p w14:paraId="4423727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eastAsia="黑体"/>
                <w:b/>
                <w:color w:val="auto"/>
                <w:sz w:val="24"/>
                <w:szCs w:val="24"/>
                <w:highlight w:val="none"/>
              </w:rPr>
            </w:pPr>
          </w:p>
          <w:p w14:paraId="522E2CB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7.2验收监测结果及分析</w:t>
            </w:r>
          </w:p>
          <w:p w14:paraId="5968F4C1">
            <w:pPr>
              <w:adjustRightInd/>
              <w:snapToGrid/>
              <w:spacing w:line="360" w:lineRule="auto"/>
              <w:ind w:firstLine="482" w:firstLineChars="200"/>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eastAsia="zh-CN"/>
              </w:rPr>
              <w:t>续建工程运营期新增废水主要为</w:t>
            </w:r>
            <w:r>
              <w:rPr>
                <w:rFonts w:hint="eastAsia" w:ascii="Times New Roman" w:hAnsi="Times New Roman" w:eastAsia="宋体" w:cs="Times New Roman"/>
                <w:b/>
                <w:bCs/>
                <w:color w:val="auto"/>
                <w:sz w:val="24"/>
                <w:highlight w:val="none"/>
              </w:rPr>
              <w:t>填埋气冷凝水</w:t>
            </w:r>
            <w:r>
              <w:rPr>
                <w:rFonts w:hint="eastAsia" w:ascii="Times New Roman" w:hAnsi="Times New Roman" w:eastAsia="宋体" w:cs="Times New Roman"/>
                <w:b/>
                <w:bCs/>
                <w:color w:val="auto"/>
                <w:sz w:val="24"/>
                <w:highlight w:val="none"/>
                <w:lang w:eastAsia="zh-CN"/>
              </w:rPr>
              <w:t>。</w:t>
            </w:r>
          </w:p>
          <w:p w14:paraId="5793D6C2">
            <w:pPr>
              <w:adjustRightInd/>
              <w:snapToGrid/>
              <w:spacing w:line="360" w:lineRule="auto"/>
              <w:ind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eastAsia="zh-CN"/>
              </w:rPr>
              <w:t>续建工程实施后，武汉环投环境科技有限公司厂区</w:t>
            </w:r>
            <w:r>
              <w:rPr>
                <w:rFonts w:hint="eastAsia" w:ascii="Times New Roman" w:hAnsi="Times New Roman" w:eastAsia="宋体" w:cs="Times New Roman"/>
                <w:color w:val="auto"/>
                <w:sz w:val="24"/>
                <w:highlight w:val="none"/>
              </w:rPr>
              <w:t>运营期废水主要为</w:t>
            </w:r>
            <w:r>
              <w:rPr>
                <w:rFonts w:hint="eastAsia" w:ascii="Times New Roman" w:hAnsi="Times New Roman" w:eastAsia="宋体" w:cs="Times New Roman"/>
                <w:color w:val="auto"/>
                <w:sz w:val="24"/>
                <w:highlight w:val="none"/>
                <w:lang w:eastAsia="zh-CN"/>
              </w:rPr>
              <w:t>员工生活污水和</w:t>
            </w:r>
            <w:r>
              <w:rPr>
                <w:rFonts w:hint="eastAsia" w:ascii="Times New Roman" w:hAnsi="Times New Roman" w:eastAsia="宋体" w:cs="Times New Roman"/>
                <w:color w:val="auto"/>
                <w:sz w:val="24"/>
                <w:highlight w:val="none"/>
              </w:rPr>
              <w:t>填埋气冷凝水。</w:t>
            </w:r>
          </w:p>
          <w:p w14:paraId="375A8A85">
            <w:pPr>
              <w:adjustRightInd/>
              <w:snapToGrid/>
              <w:spacing w:line="360" w:lineRule="auto"/>
              <w:ind w:firstLine="480" w:firstLineChars="200"/>
              <w:rPr>
                <w:rFonts w:hint="eastAsia"/>
                <w:color w:val="auto"/>
                <w:kern w:val="0"/>
                <w:sz w:val="24"/>
                <w:szCs w:val="24"/>
                <w:highlight w:val="none"/>
                <w:lang w:eastAsia="zh-CN"/>
              </w:rPr>
            </w:pPr>
            <w:r>
              <w:rPr>
                <w:rFonts w:hint="eastAsia"/>
                <w:color w:val="auto"/>
                <w:kern w:val="0"/>
                <w:sz w:val="24"/>
                <w:szCs w:val="24"/>
                <w:highlight w:val="none"/>
                <w:lang w:eastAsia="zh-CN"/>
              </w:rPr>
              <w:t>其中员工生活污水经自建化粪池预处理达到《污水综合排放标准》（GB8978-1996）表4三级标准要求后，排入长山口填埋场现有渗滤液处理站；项目填埋气冷凝废水直接排入长山口填埋场现有渗滤液处理站。各类废水经渗滤液处理站处理达到《生活垃圾填埋场污染控制标准》（GB16889-2008）中表2的标准后排入金口污水处理厂进一步处理，尾水</w:t>
            </w:r>
            <w:r>
              <w:rPr>
                <w:rFonts w:hint="eastAsia"/>
                <w:color w:val="auto"/>
                <w:kern w:val="0"/>
                <w:sz w:val="24"/>
                <w:szCs w:val="24"/>
                <w:highlight w:val="none"/>
              </w:rPr>
              <w:t>排入长江（武汉段）</w:t>
            </w:r>
            <w:r>
              <w:rPr>
                <w:rFonts w:hint="eastAsia"/>
                <w:color w:val="auto"/>
                <w:kern w:val="0"/>
                <w:sz w:val="24"/>
                <w:szCs w:val="24"/>
                <w:highlight w:val="none"/>
                <w:lang w:eastAsia="zh-CN"/>
              </w:rPr>
              <w:t>。</w:t>
            </w:r>
          </w:p>
          <w:p w14:paraId="6C6E728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eastAsia="黑体"/>
                <w:bCs/>
                <w:color w:val="auto"/>
                <w:sz w:val="24"/>
                <w:szCs w:val="24"/>
                <w:highlight w:val="none"/>
              </w:rPr>
            </w:pPr>
            <w:r>
              <w:rPr>
                <w:rFonts w:hint="eastAsia" w:eastAsia="黑体"/>
                <w:bCs/>
                <w:color w:val="auto"/>
                <w:sz w:val="24"/>
                <w:szCs w:val="24"/>
                <w:highlight w:val="none"/>
              </w:rPr>
              <w:t>7.2.1</w:t>
            </w:r>
            <w:r>
              <w:rPr>
                <w:rFonts w:hint="eastAsia" w:eastAsia="黑体"/>
                <w:bCs/>
                <w:color w:val="auto"/>
                <w:sz w:val="24"/>
                <w:szCs w:val="24"/>
                <w:highlight w:val="none"/>
                <w:lang w:eastAsia="zh-CN"/>
              </w:rPr>
              <w:t>厂区化粪池排口引用</w:t>
            </w:r>
            <w:r>
              <w:rPr>
                <w:rFonts w:hint="eastAsia" w:eastAsia="黑体"/>
                <w:bCs/>
                <w:color w:val="auto"/>
                <w:sz w:val="24"/>
                <w:szCs w:val="24"/>
                <w:highlight w:val="none"/>
              </w:rPr>
              <w:t>废水监测结果及分析</w:t>
            </w:r>
          </w:p>
          <w:p w14:paraId="3BC4C342">
            <w:pPr>
              <w:adjustRightInd/>
              <w:snapToGrid/>
              <w:spacing w:line="360" w:lineRule="auto"/>
              <w:ind w:firstLine="480" w:firstLineChars="200"/>
              <w:rPr>
                <w:rFonts w:hint="eastAsia"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本次验收厂区化粪池出口排放浓度数据采样现有工程的验收监测数据。</w:t>
            </w:r>
          </w:p>
          <w:p w14:paraId="71452E17">
            <w:pPr>
              <w:adjustRightInd/>
              <w:snapToGrid/>
              <w:spacing w:line="360" w:lineRule="auto"/>
              <w:ind w:firstLine="480" w:firstLineChars="200"/>
              <w:rPr>
                <w:color w:val="auto"/>
                <w:sz w:val="24"/>
                <w:highlight w:val="none"/>
              </w:rPr>
            </w:pPr>
            <w:r>
              <w:rPr>
                <w:rFonts w:hint="eastAsia"/>
                <w:color w:val="auto"/>
                <w:sz w:val="24"/>
                <w:highlight w:val="none"/>
                <w:lang w:eastAsia="zh-CN"/>
              </w:rPr>
              <w:t>其</w:t>
            </w:r>
            <w:r>
              <w:rPr>
                <w:color w:val="auto"/>
                <w:sz w:val="24"/>
                <w:highlight w:val="none"/>
              </w:rPr>
              <w:t>监测结果见</w:t>
            </w:r>
            <w:r>
              <w:rPr>
                <w:rFonts w:hint="eastAsia"/>
                <w:color w:val="auto"/>
                <w:sz w:val="24"/>
                <w:highlight w:val="none"/>
              </w:rPr>
              <w:t>下</w:t>
            </w:r>
            <w:r>
              <w:rPr>
                <w:color w:val="auto"/>
                <w:sz w:val="24"/>
                <w:highlight w:val="none"/>
              </w:rPr>
              <w:t>表。</w:t>
            </w:r>
          </w:p>
          <w:p w14:paraId="199B199E">
            <w:pPr>
              <w:pStyle w:val="121"/>
              <w:adjustRightInd/>
              <w:snapToGrid/>
              <w:rPr>
                <w:color w:val="auto"/>
                <w:sz w:val="21"/>
                <w:highlight w:val="none"/>
              </w:rPr>
            </w:pPr>
            <w:r>
              <w:rPr>
                <w:rFonts w:hint="eastAsia"/>
                <w:color w:val="auto"/>
                <w:sz w:val="21"/>
                <w:highlight w:val="none"/>
                <w:lang w:eastAsia="zh-CN"/>
              </w:rPr>
              <w:t>现有工程验收监测期间化粪池出口</w:t>
            </w:r>
            <w:r>
              <w:rPr>
                <w:rFonts w:hint="eastAsia"/>
                <w:color w:val="auto"/>
                <w:sz w:val="21"/>
                <w:highlight w:val="none"/>
              </w:rPr>
              <w:t>废水监测结果一览表</w:t>
            </w:r>
          </w:p>
          <w:tbl>
            <w:tblPr>
              <w:tblStyle w:val="30"/>
              <w:tblW w:w="907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47"/>
              <w:gridCol w:w="1008"/>
              <w:gridCol w:w="1495"/>
              <w:gridCol w:w="852"/>
              <w:gridCol w:w="683"/>
              <w:gridCol w:w="681"/>
              <w:gridCol w:w="681"/>
              <w:gridCol w:w="686"/>
              <w:gridCol w:w="1044"/>
              <w:gridCol w:w="565"/>
              <w:gridCol w:w="634"/>
            </w:tblGrid>
            <w:tr w14:paraId="3EEC06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2" w:type="pct"/>
                  <w:vMerge w:val="restart"/>
                  <w:vAlign w:val="center"/>
                </w:tcPr>
                <w:p w14:paraId="1FED13B2">
                  <w:pPr>
                    <w:jc w:val="center"/>
                    <w:rPr>
                      <w:b/>
                      <w:bCs/>
                      <w:color w:val="auto"/>
                      <w:highlight w:val="none"/>
                    </w:rPr>
                  </w:pPr>
                  <w:r>
                    <w:rPr>
                      <w:b/>
                      <w:bCs/>
                      <w:color w:val="auto"/>
                      <w:highlight w:val="none"/>
                    </w:rPr>
                    <w:t>监测</w:t>
                  </w:r>
                </w:p>
                <w:p w14:paraId="6D677B91">
                  <w:pPr>
                    <w:jc w:val="center"/>
                    <w:rPr>
                      <w:b/>
                      <w:bCs/>
                      <w:color w:val="auto"/>
                      <w:highlight w:val="none"/>
                    </w:rPr>
                  </w:pPr>
                  <w:r>
                    <w:rPr>
                      <w:b/>
                      <w:bCs/>
                      <w:color w:val="auto"/>
                      <w:highlight w:val="none"/>
                    </w:rPr>
                    <w:t>点位</w:t>
                  </w:r>
                </w:p>
              </w:tc>
              <w:tc>
                <w:tcPr>
                  <w:tcW w:w="555" w:type="pct"/>
                  <w:vMerge w:val="restart"/>
                  <w:vAlign w:val="center"/>
                </w:tcPr>
                <w:p w14:paraId="046523C7">
                  <w:pPr>
                    <w:jc w:val="center"/>
                    <w:rPr>
                      <w:b/>
                      <w:bCs/>
                      <w:color w:val="auto"/>
                      <w:highlight w:val="none"/>
                    </w:rPr>
                  </w:pPr>
                  <w:r>
                    <w:rPr>
                      <w:b/>
                      <w:bCs/>
                      <w:color w:val="auto"/>
                      <w:highlight w:val="none"/>
                    </w:rPr>
                    <w:t>采样</w:t>
                  </w:r>
                </w:p>
                <w:p w14:paraId="73D8E07E">
                  <w:pPr>
                    <w:jc w:val="center"/>
                    <w:rPr>
                      <w:b/>
                      <w:bCs/>
                      <w:color w:val="auto"/>
                      <w:highlight w:val="none"/>
                    </w:rPr>
                  </w:pPr>
                  <w:r>
                    <w:rPr>
                      <w:b/>
                      <w:bCs/>
                      <w:color w:val="auto"/>
                      <w:highlight w:val="none"/>
                    </w:rPr>
                    <w:t>日期</w:t>
                  </w:r>
                </w:p>
              </w:tc>
              <w:tc>
                <w:tcPr>
                  <w:tcW w:w="823" w:type="pct"/>
                  <w:vMerge w:val="restart"/>
                  <w:vAlign w:val="center"/>
                </w:tcPr>
                <w:p w14:paraId="5C65A8B7">
                  <w:pPr>
                    <w:jc w:val="center"/>
                    <w:rPr>
                      <w:b/>
                      <w:bCs/>
                      <w:color w:val="auto"/>
                      <w:highlight w:val="none"/>
                    </w:rPr>
                  </w:pPr>
                  <w:r>
                    <w:rPr>
                      <w:b/>
                      <w:bCs/>
                      <w:color w:val="auto"/>
                      <w:highlight w:val="none"/>
                    </w:rPr>
                    <w:t>监测项目</w:t>
                  </w:r>
                </w:p>
              </w:tc>
              <w:tc>
                <w:tcPr>
                  <w:tcW w:w="469" w:type="pct"/>
                  <w:vMerge w:val="restart"/>
                  <w:vAlign w:val="center"/>
                </w:tcPr>
                <w:p w14:paraId="1825A9E8">
                  <w:pPr>
                    <w:jc w:val="center"/>
                    <w:rPr>
                      <w:b/>
                      <w:bCs/>
                      <w:color w:val="auto"/>
                      <w:highlight w:val="none"/>
                    </w:rPr>
                  </w:pPr>
                  <w:r>
                    <w:rPr>
                      <w:b/>
                      <w:bCs/>
                      <w:color w:val="auto"/>
                      <w:highlight w:val="none"/>
                    </w:rPr>
                    <w:t>单位</w:t>
                  </w:r>
                </w:p>
              </w:tc>
              <w:tc>
                <w:tcPr>
                  <w:tcW w:w="2079" w:type="pct"/>
                  <w:gridSpan w:val="5"/>
                  <w:vAlign w:val="center"/>
                </w:tcPr>
                <w:p w14:paraId="41F2005F">
                  <w:pPr>
                    <w:jc w:val="center"/>
                    <w:rPr>
                      <w:b/>
                      <w:bCs/>
                      <w:color w:val="auto"/>
                      <w:highlight w:val="none"/>
                    </w:rPr>
                  </w:pPr>
                  <w:r>
                    <w:rPr>
                      <w:b/>
                      <w:bCs/>
                      <w:color w:val="auto"/>
                      <w:highlight w:val="none"/>
                    </w:rPr>
                    <w:t>监测结果</w:t>
                  </w:r>
                </w:p>
              </w:tc>
              <w:tc>
                <w:tcPr>
                  <w:tcW w:w="311" w:type="pct"/>
                  <w:vMerge w:val="restart"/>
                  <w:vAlign w:val="center"/>
                </w:tcPr>
                <w:p w14:paraId="6D418A83">
                  <w:pPr>
                    <w:jc w:val="center"/>
                    <w:rPr>
                      <w:b/>
                      <w:bCs/>
                      <w:color w:val="auto"/>
                      <w:highlight w:val="none"/>
                    </w:rPr>
                  </w:pPr>
                  <w:r>
                    <w:rPr>
                      <w:b/>
                      <w:bCs/>
                      <w:color w:val="auto"/>
                      <w:highlight w:val="none"/>
                    </w:rPr>
                    <w:t>标准</w:t>
                  </w:r>
                </w:p>
                <w:p w14:paraId="5CDF97B3">
                  <w:pPr>
                    <w:jc w:val="center"/>
                    <w:rPr>
                      <w:b/>
                      <w:bCs/>
                      <w:color w:val="auto"/>
                      <w:highlight w:val="none"/>
                    </w:rPr>
                  </w:pPr>
                  <w:r>
                    <w:rPr>
                      <w:b/>
                      <w:bCs/>
                      <w:color w:val="auto"/>
                      <w:highlight w:val="none"/>
                    </w:rPr>
                    <w:t>限值</w:t>
                  </w:r>
                </w:p>
              </w:tc>
              <w:tc>
                <w:tcPr>
                  <w:tcW w:w="349" w:type="pct"/>
                  <w:vMerge w:val="restart"/>
                  <w:vAlign w:val="center"/>
                </w:tcPr>
                <w:p w14:paraId="587410EF">
                  <w:pPr>
                    <w:jc w:val="center"/>
                    <w:rPr>
                      <w:b/>
                      <w:bCs/>
                      <w:color w:val="auto"/>
                      <w:highlight w:val="none"/>
                    </w:rPr>
                  </w:pPr>
                  <w:r>
                    <w:rPr>
                      <w:b/>
                      <w:bCs/>
                      <w:color w:val="auto"/>
                      <w:highlight w:val="none"/>
                    </w:rPr>
                    <w:t>达标</w:t>
                  </w:r>
                </w:p>
                <w:p w14:paraId="4929E09B">
                  <w:pPr>
                    <w:jc w:val="center"/>
                    <w:rPr>
                      <w:b/>
                      <w:bCs/>
                      <w:color w:val="auto"/>
                      <w:highlight w:val="none"/>
                    </w:rPr>
                  </w:pPr>
                  <w:r>
                    <w:rPr>
                      <w:b/>
                      <w:bCs/>
                      <w:color w:val="auto"/>
                      <w:highlight w:val="none"/>
                    </w:rPr>
                    <w:t>情况</w:t>
                  </w:r>
                </w:p>
              </w:tc>
            </w:tr>
            <w:tr w14:paraId="0FEA93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2" w:type="pct"/>
                  <w:vMerge w:val="continue"/>
                  <w:tcBorders>
                    <w:bottom w:val="single" w:color="auto" w:sz="12" w:space="0"/>
                  </w:tcBorders>
                  <w:vAlign w:val="center"/>
                </w:tcPr>
                <w:p w14:paraId="458EC405">
                  <w:pPr>
                    <w:jc w:val="center"/>
                    <w:rPr>
                      <w:b/>
                      <w:bCs/>
                      <w:color w:val="auto"/>
                      <w:highlight w:val="none"/>
                    </w:rPr>
                  </w:pPr>
                </w:p>
              </w:tc>
              <w:tc>
                <w:tcPr>
                  <w:tcW w:w="555" w:type="pct"/>
                  <w:vMerge w:val="continue"/>
                  <w:tcBorders>
                    <w:bottom w:val="single" w:color="auto" w:sz="12" w:space="0"/>
                  </w:tcBorders>
                  <w:vAlign w:val="center"/>
                </w:tcPr>
                <w:p w14:paraId="6275B2E0">
                  <w:pPr>
                    <w:jc w:val="center"/>
                    <w:rPr>
                      <w:b/>
                      <w:bCs/>
                      <w:color w:val="auto"/>
                      <w:highlight w:val="none"/>
                    </w:rPr>
                  </w:pPr>
                </w:p>
              </w:tc>
              <w:tc>
                <w:tcPr>
                  <w:tcW w:w="823" w:type="pct"/>
                  <w:vMerge w:val="continue"/>
                  <w:tcBorders>
                    <w:bottom w:val="single" w:color="auto" w:sz="12" w:space="0"/>
                  </w:tcBorders>
                  <w:vAlign w:val="center"/>
                </w:tcPr>
                <w:p w14:paraId="79D1685A">
                  <w:pPr>
                    <w:jc w:val="center"/>
                    <w:rPr>
                      <w:b/>
                      <w:bCs/>
                      <w:color w:val="auto"/>
                      <w:highlight w:val="none"/>
                    </w:rPr>
                  </w:pPr>
                </w:p>
              </w:tc>
              <w:tc>
                <w:tcPr>
                  <w:tcW w:w="469" w:type="pct"/>
                  <w:vMerge w:val="continue"/>
                  <w:tcBorders>
                    <w:bottom w:val="single" w:color="auto" w:sz="12" w:space="0"/>
                  </w:tcBorders>
                  <w:vAlign w:val="center"/>
                </w:tcPr>
                <w:p w14:paraId="733ACB45">
                  <w:pPr>
                    <w:jc w:val="center"/>
                    <w:rPr>
                      <w:b/>
                      <w:bCs/>
                      <w:color w:val="auto"/>
                      <w:highlight w:val="none"/>
                    </w:rPr>
                  </w:pPr>
                </w:p>
              </w:tc>
              <w:tc>
                <w:tcPr>
                  <w:tcW w:w="376" w:type="pct"/>
                  <w:tcBorders>
                    <w:bottom w:val="single" w:color="auto" w:sz="12" w:space="0"/>
                  </w:tcBorders>
                  <w:vAlign w:val="center"/>
                </w:tcPr>
                <w:p w14:paraId="656836EF">
                  <w:pPr>
                    <w:jc w:val="center"/>
                    <w:rPr>
                      <w:b/>
                      <w:bCs/>
                      <w:color w:val="auto"/>
                      <w:highlight w:val="none"/>
                    </w:rPr>
                  </w:pPr>
                  <w:r>
                    <w:rPr>
                      <w:b/>
                      <w:bCs/>
                      <w:color w:val="auto"/>
                      <w:highlight w:val="none"/>
                    </w:rPr>
                    <w:t>第1次</w:t>
                  </w:r>
                </w:p>
              </w:tc>
              <w:tc>
                <w:tcPr>
                  <w:tcW w:w="375" w:type="pct"/>
                  <w:tcBorders>
                    <w:bottom w:val="single" w:color="auto" w:sz="12" w:space="0"/>
                  </w:tcBorders>
                  <w:vAlign w:val="center"/>
                </w:tcPr>
                <w:p w14:paraId="3C673F78">
                  <w:pPr>
                    <w:jc w:val="center"/>
                    <w:rPr>
                      <w:b/>
                      <w:bCs/>
                      <w:color w:val="auto"/>
                      <w:highlight w:val="none"/>
                    </w:rPr>
                  </w:pPr>
                  <w:r>
                    <w:rPr>
                      <w:b/>
                      <w:bCs/>
                      <w:color w:val="auto"/>
                      <w:highlight w:val="none"/>
                    </w:rPr>
                    <w:t>第2次</w:t>
                  </w:r>
                </w:p>
              </w:tc>
              <w:tc>
                <w:tcPr>
                  <w:tcW w:w="375" w:type="pct"/>
                  <w:tcBorders>
                    <w:bottom w:val="single" w:color="auto" w:sz="12" w:space="0"/>
                  </w:tcBorders>
                  <w:vAlign w:val="center"/>
                </w:tcPr>
                <w:p w14:paraId="3E5A2A64">
                  <w:pPr>
                    <w:jc w:val="center"/>
                    <w:rPr>
                      <w:b/>
                      <w:bCs/>
                      <w:color w:val="auto"/>
                      <w:highlight w:val="none"/>
                    </w:rPr>
                  </w:pPr>
                  <w:r>
                    <w:rPr>
                      <w:b/>
                      <w:bCs/>
                      <w:color w:val="auto"/>
                      <w:highlight w:val="none"/>
                    </w:rPr>
                    <w:t>第3次</w:t>
                  </w:r>
                </w:p>
              </w:tc>
              <w:tc>
                <w:tcPr>
                  <w:tcW w:w="378" w:type="pct"/>
                  <w:tcBorders>
                    <w:bottom w:val="single" w:color="auto" w:sz="12" w:space="0"/>
                  </w:tcBorders>
                  <w:vAlign w:val="center"/>
                </w:tcPr>
                <w:p w14:paraId="55914A95">
                  <w:pPr>
                    <w:jc w:val="center"/>
                    <w:rPr>
                      <w:b/>
                      <w:bCs/>
                      <w:color w:val="auto"/>
                      <w:highlight w:val="none"/>
                    </w:rPr>
                  </w:pPr>
                  <w:r>
                    <w:rPr>
                      <w:b/>
                      <w:bCs/>
                      <w:color w:val="auto"/>
                      <w:highlight w:val="none"/>
                    </w:rPr>
                    <w:t>第4次</w:t>
                  </w:r>
                </w:p>
              </w:tc>
              <w:tc>
                <w:tcPr>
                  <w:tcW w:w="572" w:type="pct"/>
                  <w:tcBorders>
                    <w:bottom w:val="single" w:color="auto" w:sz="12" w:space="0"/>
                  </w:tcBorders>
                  <w:vAlign w:val="center"/>
                </w:tcPr>
                <w:p w14:paraId="4F3A1B5B">
                  <w:pPr>
                    <w:jc w:val="center"/>
                    <w:rPr>
                      <w:b/>
                      <w:bCs/>
                      <w:color w:val="auto"/>
                      <w:highlight w:val="none"/>
                    </w:rPr>
                  </w:pPr>
                  <w:r>
                    <w:rPr>
                      <w:rFonts w:hint="eastAsia"/>
                      <w:b/>
                      <w:bCs/>
                      <w:color w:val="auto"/>
                      <w:highlight w:val="none"/>
                    </w:rPr>
                    <w:t>均值或范围</w:t>
                  </w:r>
                </w:p>
              </w:tc>
              <w:tc>
                <w:tcPr>
                  <w:tcW w:w="311" w:type="pct"/>
                  <w:vMerge w:val="continue"/>
                  <w:tcBorders>
                    <w:bottom w:val="single" w:color="auto" w:sz="12" w:space="0"/>
                  </w:tcBorders>
                  <w:vAlign w:val="center"/>
                </w:tcPr>
                <w:p w14:paraId="5C693BA8">
                  <w:pPr>
                    <w:jc w:val="center"/>
                    <w:rPr>
                      <w:b/>
                      <w:bCs/>
                      <w:color w:val="auto"/>
                      <w:highlight w:val="none"/>
                    </w:rPr>
                  </w:pPr>
                </w:p>
              </w:tc>
              <w:tc>
                <w:tcPr>
                  <w:tcW w:w="349" w:type="pct"/>
                  <w:vMerge w:val="continue"/>
                  <w:tcBorders>
                    <w:bottom w:val="single" w:color="auto" w:sz="12" w:space="0"/>
                  </w:tcBorders>
                  <w:vAlign w:val="center"/>
                </w:tcPr>
                <w:p w14:paraId="5776DD12">
                  <w:pPr>
                    <w:jc w:val="center"/>
                    <w:rPr>
                      <w:b/>
                      <w:bCs/>
                      <w:color w:val="auto"/>
                      <w:highlight w:val="none"/>
                    </w:rPr>
                  </w:pPr>
                </w:p>
              </w:tc>
            </w:tr>
            <w:tr w14:paraId="0689C2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restart"/>
                  <w:tcBorders>
                    <w:top w:val="single" w:color="auto" w:sz="12" w:space="0"/>
                    <w:tl2br w:val="nil"/>
                    <w:tr2bl w:val="nil"/>
                  </w:tcBorders>
                  <w:vAlign w:val="center"/>
                </w:tcPr>
                <w:p w14:paraId="3E9A63F4">
                  <w:pPr>
                    <w:jc w:val="center"/>
                    <w:rPr>
                      <w:rFonts w:hint="eastAsia"/>
                      <w:color w:val="auto"/>
                      <w:highlight w:val="none"/>
                    </w:rPr>
                  </w:pPr>
                  <w:r>
                    <w:rPr>
                      <w:rFonts w:hint="eastAsia"/>
                      <w:color w:val="auto"/>
                      <w:highlight w:val="none"/>
                    </w:rPr>
                    <w:t>化粪池</w:t>
                  </w:r>
                </w:p>
                <w:p w14:paraId="00827030">
                  <w:pPr>
                    <w:jc w:val="center"/>
                    <w:rPr>
                      <w:color w:val="auto"/>
                      <w:highlight w:val="none"/>
                    </w:rPr>
                  </w:pPr>
                  <w:r>
                    <w:rPr>
                      <w:rFonts w:hint="eastAsia"/>
                      <w:color w:val="auto"/>
                      <w:highlight w:val="none"/>
                    </w:rPr>
                    <w:t>出口</w:t>
                  </w:r>
                </w:p>
              </w:tc>
              <w:tc>
                <w:tcPr>
                  <w:tcW w:w="555" w:type="pct"/>
                  <w:vMerge w:val="restart"/>
                  <w:tcBorders>
                    <w:top w:val="single" w:color="auto" w:sz="12" w:space="0"/>
                    <w:tl2br w:val="nil"/>
                    <w:tr2bl w:val="nil"/>
                  </w:tcBorders>
                  <w:vAlign w:val="center"/>
                </w:tcPr>
                <w:p w14:paraId="4C6F18D3">
                  <w:pPr>
                    <w:jc w:val="center"/>
                    <w:rPr>
                      <w:color w:val="auto"/>
                      <w:highlight w:val="none"/>
                    </w:rPr>
                  </w:pPr>
                  <w:r>
                    <w:rPr>
                      <w:rFonts w:hint="eastAsia"/>
                      <w:color w:val="auto"/>
                      <w:highlight w:val="none"/>
                    </w:rPr>
                    <w:t>202</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3</w:t>
                  </w:r>
                  <w:r>
                    <w:rPr>
                      <w:rFonts w:hint="eastAsia"/>
                      <w:color w:val="auto"/>
                      <w:highlight w:val="none"/>
                    </w:rPr>
                    <w:t>/8</w:t>
                  </w:r>
                </w:p>
              </w:tc>
              <w:tc>
                <w:tcPr>
                  <w:tcW w:w="823" w:type="pct"/>
                  <w:tcBorders>
                    <w:top w:val="single" w:color="auto" w:sz="12" w:space="0"/>
                    <w:tl2br w:val="nil"/>
                    <w:tr2bl w:val="nil"/>
                  </w:tcBorders>
                  <w:vAlign w:val="center"/>
                </w:tcPr>
                <w:p w14:paraId="159098C2">
                  <w:pPr>
                    <w:jc w:val="center"/>
                    <w:rPr>
                      <w:color w:val="auto"/>
                      <w:kern w:val="0"/>
                      <w:highlight w:val="none"/>
                    </w:rPr>
                  </w:pPr>
                  <w:r>
                    <w:rPr>
                      <w:rFonts w:hint="eastAsia"/>
                      <w:color w:val="auto"/>
                      <w:kern w:val="0"/>
                      <w:highlight w:val="none"/>
                    </w:rPr>
                    <w:t>pH值</w:t>
                  </w:r>
                </w:p>
              </w:tc>
              <w:tc>
                <w:tcPr>
                  <w:tcW w:w="469" w:type="pct"/>
                  <w:tcBorders>
                    <w:top w:val="single" w:color="auto" w:sz="12" w:space="0"/>
                    <w:tl2br w:val="nil"/>
                    <w:tr2bl w:val="nil"/>
                  </w:tcBorders>
                  <w:vAlign w:val="center"/>
                </w:tcPr>
                <w:p w14:paraId="56C04982">
                  <w:pPr>
                    <w:jc w:val="center"/>
                    <w:rPr>
                      <w:color w:val="auto"/>
                      <w:kern w:val="0"/>
                      <w:highlight w:val="none"/>
                    </w:rPr>
                  </w:pPr>
                  <w:r>
                    <w:rPr>
                      <w:color w:val="auto"/>
                      <w:kern w:val="0"/>
                      <w:highlight w:val="none"/>
                    </w:rPr>
                    <w:t>无量纲</w:t>
                  </w:r>
                </w:p>
              </w:tc>
              <w:tc>
                <w:tcPr>
                  <w:tcW w:w="376" w:type="pct"/>
                  <w:tcBorders>
                    <w:top w:val="single" w:color="auto" w:sz="12" w:space="0"/>
                    <w:tl2br w:val="nil"/>
                    <w:tr2bl w:val="nil"/>
                  </w:tcBorders>
                  <w:vAlign w:val="center"/>
                </w:tcPr>
                <w:p w14:paraId="26CB141B">
                  <w:pPr>
                    <w:spacing w:line="0" w:lineRule="atLeast"/>
                    <w:jc w:val="center"/>
                    <w:rPr>
                      <w:rFonts w:hint="default"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7</w:t>
                  </w:r>
                  <w:r>
                    <w:rPr>
                      <w:bCs/>
                      <w:color w:val="auto"/>
                      <w:szCs w:val="22"/>
                      <w:highlight w:val="none"/>
                      <w:u w:color="000000"/>
                    </w:rPr>
                    <w:t>.2</w:t>
                  </w:r>
                </w:p>
              </w:tc>
              <w:tc>
                <w:tcPr>
                  <w:tcW w:w="375" w:type="pct"/>
                  <w:tcBorders>
                    <w:top w:val="single" w:color="auto" w:sz="12" w:space="0"/>
                    <w:tl2br w:val="nil"/>
                    <w:tr2bl w:val="nil"/>
                  </w:tcBorders>
                  <w:vAlign w:val="center"/>
                </w:tcPr>
                <w:p w14:paraId="53E59895">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7</w:t>
                  </w:r>
                  <w:r>
                    <w:rPr>
                      <w:bCs/>
                      <w:color w:val="auto"/>
                      <w:szCs w:val="22"/>
                      <w:highlight w:val="none"/>
                      <w:u w:color="000000"/>
                    </w:rPr>
                    <w:t>.1</w:t>
                  </w:r>
                </w:p>
              </w:tc>
              <w:tc>
                <w:tcPr>
                  <w:tcW w:w="375" w:type="pct"/>
                  <w:tcBorders>
                    <w:top w:val="single" w:color="auto" w:sz="12" w:space="0"/>
                    <w:tl2br w:val="nil"/>
                    <w:tr2bl w:val="nil"/>
                  </w:tcBorders>
                  <w:vAlign w:val="center"/>
                </w:tcPr>
                <w:p w14:paraId="04BECC23">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w:t>
                  </w:r>
                </w:p>
              </w:tc>
              <w:tc>
                <w:tcPr>
                  <w:tcW w:w="378" w:type="pct"/>
                  <w:tcBorders>
                    <w:top w:val="single" w:color="auto" w:sz="12" w:space="0"/>
                    <w:tl2br w:val="nil"/>
                    <w:tr2bl w:val="nil"/>
                  </w:tcBorders>
                  <w:vAlign w:val="center"/>
                </w:tcPr>
                <w:p w14:paraId="08B85B5C">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.1</w:t>
                  </w:r>
                </w:p>
              </w:tc>
              <w:tc>
                <w:tcPr>
                  <w:tcW w:w="572" w:type="pct"/>
                  <w:tcBorders>
                    <w:top w:val="single" w:color="auto" w:sz="12" w:space="0"/>
                    <w:tl2br w:val="nil"/>
                    <w:tr2bl w:val="nil"/>
                  </w:tcBorders>
                  <w:vAlign w:val="center"/>
                </w:tcPr>
                <w:p w14:paraId="574B5C3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.1~7.2</w:t>
                  </w:r>
                </w:p>
              </w:tc>
              <w:tc>
                <w:tcPr>
                  <w:tcW w:w="311" w:type="pct"/>
                  <w:tcBorders>
                    <w:top w:val="single" w:color="auto" w:sz="12" w:space="0"/>
                    <w:tl2br w:val="nil"/>
                    <w:tr2bl w:val="nil"/>
                  </w:tcBorders>
                  <w:vAlign w:val="center"/>
                </w:tcPr>
                <w:p w14:paraId="7610B54A">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6~9</w:t>
                  </w:r>
                </w:p>
              </w:tc>
              <w:tc>
                <w:tcPr>
                  <w:tcW w:w="349" w:type="pct"/>
                  <w:tcBorders>
                    <w:top w:val="single" w:color="auto" w:sz="12" w:space="0"/>
                    <w:tl2br w:val="nil"/>
                    <w:tr2bl w:val="nil"/>
                  </w:tcBorders>
                  <w:vAlign w:val="center"/>
                </w:tcPr>
                <w:p w14:paraId="18920766">
                  <w:pPr>
                    <w:jc w:val="center"/>
                    <w:rPr>
                      <w:color w:val="auto"/>
                      <w:highlight w:val="none"/>
                    </w:rPr>
                  </w:pPr>
                  <w:r>
                    <w:rPr>
                      <w:color w:val="auto"/>
                      <w:highlight w:val="none"/>
                    </w:rPr>
                    <w:t>达标</w:t>
                  </w:r>
                </w:p>
              </w:tc>
            </w:tr>
            <w:tr w14:paraId="5DC4A5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5972E92B">
                  <w:pPr>
                    <w:jc w:val="center"/>
                    <w:rPr>
                      <w:color w:val="auto"/>
                      <w:highlight w:val="none"/>
                    </w:rPr>
                  </w:pPr>
                </w:p>
              </w:tc>
              <w:tc>
                <w:tcPr>
                  <w:tcW w:w="555" w:type="pct"/>
                  <w:vMerge w:val="continue"/>
                  <w:tcBorders>
                    <w:tl2br w:val="nil"/>
                    <w:tr2bl w:val="nil"/>
                  </w:tcBorders>
                  <w:vAlign w:val="center"/>
                </w:tcPr>
                <w:p w14:paraId="78D2E819">
                  <w:pPr>
                    <w:jc w:val="center"/>
                    <w:rPr>
                      <w:color w:val="auto"/>
                      <w:highlight w:val="none"/>
                    </w:rPr>
                  </w:pPr>
                </w:p>
              </w:tc>
              <w:tc>
                <w:tcPr>
                  <w:tcW w:w="823" w:type="pct"/>
                  <w:tcBorders>
                    <w:tl2br w:val="nil"/>
                    <w:tr2bl w:val="nil"/>
                  </w:tcBorders>
                  <w:vAlign w:val="center"/>
                </w:tcPr>
                <w:p w14:paraId="4786FAAB">
                  <w:pPr>
                    <w:jc w:val="center"/>
                    <w:rPr>
                      <w:color w:val="auto"/>
                      <w:kern w:val="0"/>
                      <w:highlight w:val="none"/>
                    </w:rPr>
                  </w:pPr>
                  <w:r>
                    <w:rPr>
                      <w:rFonts w:hint="eastAsia"/>
                      <w:color w:val="auto"/>
                      <w:kern w:val="0"/>
                      <w:highlight w:val="none"/>
                    </w:rPr>
                    <w:t>化学需氧量</w:t>
                  </w:r>
                </w:p>
              </w:tc>
              <w:tc>
                <w:tcPr>
                  <w:tcW w:w="469" w:type="pct"/>
                  <w:tcBorders>
                    <w:tl2br w:val="nil"/>
                    <w:tr2bl w:val="nil"/>
                  </w:tcBorders>
                  <w:vAlign w:val="center"/>
                </w:tcPr>
                <w:p w14:paraId="4196D3C3">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780211DD">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2</w:t>
                  </w:r>
                  <w:r>
                    <w:rPr>
                      <w:bCs/>
                      <w:color w:val="auto"/>
                      <w:szCs w:val="22"/>
                      <w:highlight w:val="none"/>
                      <w:u w:color="000000"/>
                    </w:rPr>
                    <w:t>41</w:t>
                  </w:r>
                </w:p>
              </w:tc>
              <w:tc>
                <w:tcPr>
                  <w:tcW w:w="375" w:type="pct"/>
                  <w:tcBorders>
                    <w:tl2br w:val="nil"/>
                    <w:tr2bl w:val="nil"/>
                  </w:tcBorders>
                  <w:vAlign w:val="center"/>
                </w:tcPr>
                <w:p w14:paraId="09248BB7">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2</w:t>
                  </w:r>
                  <w:r>
                    <w:rPr>
                      <w:bCs/>
                      <w:color w:val="auto"/>
                      <w:szCs w:val="22"/>
                      <w:highlight w:val="none"/>
                      <w:u w:color="000000"/>
                    </w:rPr>
                    <w:t>47</w:t>
                  </w:r>
                </w:p>
              </w:tc>
              <w:tc>
                <w:tcPr>
                  <w:tcW w:w="375" w:type="pct"/>
                  <w:tcBorders>
                    <w:tl2br w:val="nil"/>
                    <w:tr2bl w:val="nil"/>
                  </w:tcBorders>
                  <w:vAlign w:val="center"/>
                </w:tcPr>
                <w:p w14:paraId="630E7DF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09</w:t>
                  </w:r>
                </w:p>
              </w:tc>
              <w:tc>
                <w:tcPr>
                  <w:tcW w:w="378" w:type="pct"/>
                  <w:tcBorders>
                    <w:tl2br w:val="nil"/>
                    <w:tr2bl w:val="nil"/>
                  </w:tcBorders>
                  <w:vAlign w:val="center"/>
                </w:tcPr>
                <w:p w14:paraId="4373BFA0">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30</w:t>
                  </w:r>
                </w:p>
              </w:tc>
              <w:tc>
                <w:tcPr>
                  <w:tcW w:w="572" w:type="pct"/>
                  <w:tcBorders>
                    <w:tl2br w:val="nil"/>
                    <w:tr2bl w:val="nil"/>
                  </w:tcBorders>
                  <w:vAlign w:val="center"/>
                </w:tcPr>
                <w:p w14:paraId="604D34C8">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32</w:t>
                  </w:r>
                </w:p>
              </w:tc>
              <w:tc>
                <w:tcPr>
                  <w:tcW w:w="311" w:type="pct"/>
                  <w:tcBorders>
                    <w:tl2br w:val="nil"/>
                    <w:tr2bl w:val="nil"/>
                  </w:tcBorders>
                  <w:vAlign w:val="center"/>
                </w:tcPr>
                <w:p w14:paraId="08F194CF">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500</w:t>
                  </w:r>
                </w:p>
              </w:tc>
              <w:tc>
                <w:tcPr>
                  <w:tcW w:w="349" w:type="pct"/>
                  <w:tcBorders>
                    <w:tl2br w:val="nil"/>
                    <w:tr2bl w:val="nil"/>
                  </w:tcBorders>
                  <w:vAlign w:val="center"/>
                </w:tcPr>
                <w:p w14:paraId="3174D567">
                  <w:pPr>
                    <w:jc w:val="center"/>
                    <w:rPr>
                      <w:color w:val="auto"/>
                      <w:kern w:val="0"/>
                      <w:highlight w:val="none"/>
                    </w:rPr>
                  </w:pPr>
                  <w:r>
                    <w:rPr>
                      <w:rFonts w:hint="eastAsia"/>
                      <w:color w:val="auto"/>
                      <w:kern w:val="0"/>
                      <w:highlight w:val="none"/>
                    </w:rPr>
                    <w:t>达标</w:t>
                  </w:r>
                </w:p>
              </w:tc>
            </w:tr>
            <w:tr w14:paraId="04497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219B3653">
                  <w:pPr>
                    <w:jc w:val="center"/>
                    <w:rPr>
                      <w:color w:val="auto"/>
                      <w:highlight w:val="none"/>
                    </w:rPr>
                  </w:pPr>
                </w:p>
              </w:tc>
              <w:tc>
                <w:tcPr>
                  <w:tcW w:w="555" w:type="pct"/>
                  <w:vMerge w:val="continue"/>
                  <w:tcBorders>
                    <w:tl2br w:val="nil"/>
                    <w:tr2bl w:val="nil"/>
                  </w:tcBorders>
                  <w:vAlign w:val="center"/>
                </w:tcPr>
                <w:p w14:paraId="73C0F083">
                  <w:pPr>
                    <w:jc w:val="center"/>
                    <w:rPr>
                      <w:color w:val="auto"/>
                      <w:highlight w:val="none"/>
                    </w:rPr>
                  </w:pPr>
                </w:p>
              </w:tc>
              <w:tc>
                <w:tcPr>
                  <w:tcW w:w="823" w:type="pct"/>
                  <w:tcBorders>
                    <w:tl2br w:val="nil"/>
                    <w:tr2bl w:val="nil"/>
                  </w:tcBorders>
                  <w:vAlign w:val="center"/>
                </w:tcPr>
                <w:p w14:paraId="6B7B261F">
                  <w:pPr>
                    <w:jc w:val="center"/>
                    <w:rPr>
                      <w:color w:val="auto"/>
                      <w:kern w:val="0"/>
                      <w:highlight w:val="none"/>
                    </w:rPr>
                  </w:pPr>
                  <w:r>
                    <w:rPr>
                      <w:rFonts w:hint="eastAsia"/>
                      <w:color w:val="auto"/>
                      <w:kern w:val="0"/>
                      <w:highlight w:val="none"/>
                    </w:rPr>
                    <w:t>五日生化需氧量</w:t>
                  </w:r>
                </w:p>
              </w:tc>
              <w:tc>
                <w:tcPr>
                  <w:tcW w:w="469" w:type="pct"/>
                  <w:tcBorders>
                    <w:tl2br w:val="nil"/>
                    <w:tr2bl w:val="nil"/>
                  </w:tcBorders>
                  <w:vAlign w:val="center"/>
                </w:tcPr>
                <w:p w14:paraId="4963DB98">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61DCD961">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8</w:t>
                  </w:r>
                  <w:r>
                    <w:rPr>
                      <w:bCs/>
                      <w:color w:val="auto"/>
                      <w:szCs w:val="22"/>
                      <w:highlight w:val="none"/>
                      <w:u w:color="000000"/>
                    </w:rPr>
                    <w:t>4.2</w:t>
                  </w:r>
                </w:p>
              </w:tc>
              <w:tc>
                <w:tcPr>
                  <w:tcW w:w="375" w:type="pct"/>
                  <w:tcBorders>
                    <w:tl2br w:val="nil"/>
                    <w:tr2bl w:val="nil"/>
                  </w:tcBorders>
                  <w:vAlign w:val="center"/>
                </w:tcPr>
                <w:p w14:paraId="4724B33B">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9</w:t>
                  </w:r>
                  <w:r>
                    <w:rPr>
                      <w:bCs/>
                      <w:color w:val="auto"/>
                      <w:szCs w:val="22"/>
                      <w:highlight w:val="none"/>
                    </w:rPr>
                    <w:t>4.2</w:t>
                  </w:r>
                </w:p>
              </w:tc>
              <w:tc>
                <w:tcPr>
                  <w:tcW w:w="375" w:type="pct"/>
                  <w:tcBorders>
                    <w:tl2br w:val="nil"/>
                    <w:tr2bl w:val="nil"/>
                  </w:tcBorders>
                  <w:vAlign w:val="center"/>
                </w:tcPr>
                <w:p w14:paraId="6AC3019C">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8.2</w:t>
                  </w:r>
                </w:p>
              </w:tc>
              <w:tc>
                <w:tcPr>
                  <w:tcW w:w="378" w:type="pct"/>
                  <w:tcBorders>
                    <w:tl2br w:val="nil"/>
                    <w:tr2bl w:val="nil"/>
                  </w:tcBorders>
                  <w:vAlign w:val="center"/>
                </w:tcPr>
                <w:p w14:paraId="1F91919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9</w:t>
                  </w:r>
                  <w:r>
                    <w:rPr>
                      <w:bCs/>
                      <w:color w:val="auto"/>
                      <w:szCs w:val="22"/>
                      <w:highlight w:val="none"/>
                    </w:rPr>
                    <w:t>2.2</w:t>
                  </w:r>
                </w:p>
              </w:tc>
              <w:tc>
                <w:tcPr>
                  <w:tcW w:w="572" w:type="pct"/>
                  <w:tcBorders>
                    <w:tl2br w:val="nil"/>
                    <w:tr2bl w:val="nil"/>
                  </w:tcBorders>
                  <w:vAlign w:val="center"/>
                </w:tcPr>
                <w:p w14:paraId="62574145">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9.7</w:t>
                  </w:r>
                </w:p>
              </w:tc>
              <w:tc>
                <w:tcPr>
                  <w:tcW w:w="311" w:type="pct"/>
                  <w:tcBorders>
                    <w:tl2br w:val="nil"/>
                    <w:tr2bl w:val="nil"/>
                  </w:tcBorders>
                  <w:vAlign w:val="center"/>
                </w:tcPr>
                <w:p w14:paraId="02C9117B">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300</w:t>
                  </w:r>
                </w:p>
              </w:tc>
              <w:tc>
                <w:tcPr>
                  <w:tcW w:w="349" w:type="pct"/>
                  <w:tcBorders>
                    <w:tl2br w:val="nil"/>
                    <w:tr2bl w:val="nil"/>
                  </w:tcBorders>
                  <w:vAlign w:val="center"/>
                </w:tcPr>
                <w:p w14:paraId="283AF038">
                  <w:pPr>
                    <w:jc w:val="center"/>
                    <w:rPr>
                      <w:color w:val="auto"/>
                      <w:kern w:val="0"/>
                      <w:highlight w:val="none"/>
                    </w:rPr>
                  </w:pPr>
                  <w:r>
                    <w:rPr>
                      <w:rFonts w:hint="eastAsia"/>
                      <w:color w:val="auto"/>
                      <w:kern w:val="0"/>
                      <w:highlight w:val="none"/>
                    </w:rPr>
                    <w:t>达标</w:t>
                  </w:r>
                </w:p>
              </w:tc>
            </w:tr>
            <w:tr w14:paraId="31459E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407EE90E">
                  <w:pPr>
                    <w:jc w:val="center"/>
                    <w:rPr>
                      <w:color w:val="auto"/>
                      <w:highlight w:val="none"/>
                    </w:rPr>
                  </w:pPr>
                </w:p>
              </w:tc>
              <w:tc>
                <w:tcPr>
                  <w:tcW w:w="555" w:type="pct"/>
                  <w:vMerge w:val="continue"/>
                  <w:tcBorders>
                    <w:tl2br w:val="nil"/>
                    <w:tr2bl w:val="nil"/>
                  </w:tcBorders>
                  <w:vAlign w:val="center"/>
                </w:tcPr>
                <w:p w14:paraId="531A2544">
                  <w:pPr>
                    <w:jc w:val="center"/>
                    <w:rPr>
                      <w:color w:val="auto"/>
                      <w:highlight w:val="none"/>
                    </w:rPr>
                  </w:pPr>
                </w:p>
              </w:tc>
              <w:tc>
                <w:tcPr>
                  <w:tcW w:w="823" w:type="pct"/>
                  <w:tcBorders>
                    <w:tl2br w:val="nil"/>
                    <w:tr2bl w:val="nil"/>
                  </w:tcBorders>
                  <w:vAlign w:val="center"/>
                </w:tcPr>
                <w:p w14:paraId="31CDA90D">
                  <w:pPr>
                    <w:jc w:val="center"/>
                    <w:rPr>
                      <w:color w:val="auto"/>
                      <w:kern w:val="0"/>
                      <w:highlight w:val="none"/>
                    </w:rPr>
                  </w:pPr>
                  <w:r>
                    <w:rPr>
                      <w:rFonts w:hint="eastAsia"/>
                      <w:color w:val="auto"/>
                      <w:kern w:val="0"/>
                      <w:highlight w:val="none"/>
                    </w:rPr>
                    <w:t>氨氮</w:t>
                  </w:r>
                </w:p>
              </w:tc>
              <w:tc>
                <w:tcPr>
                  <w:tcW w:w="469" w:type="pct"/>
                  <w:tcBorders>
                    <w:tl2br w:val="nil"/>
                    <w:tr2bl w:val="nil"/>
                  </w:tcBorders>
                  <w:vAlign w:val="center"/>
                </w:tcPr>
                <w:p w14:paraId="6F197DF1">
                  <w:pPr>
                    <w:jc w:val="center"/>
                    <w:rPr>
                      <w:color w:val="auto"/>
                      <w:kern w:val="0"/>
                      <w:highlight w:val="none"/>
                    </w:rPr>
                  </w:pPr>
                  <w:r>
                    <w:rPr>
                      <w:color w:val="auto"/>
                      <w:kern w:val="0"/>
                      <w:highlight w:val="none"/>
                    </w:rPr>
                    <w:t>mg/L</w:t>
                  </w:r>
                </w:p>
              </w:tc>
              <w:tc>
                <w:tcPr>
                  <w:tcW w:w="376" w:type="pct"/>
                  <w:tcBorders>
                    <w:tl2br w:val="nil"/>
                    <w:tr2bl w:val="nil"/>
                  </w:tcBorders>
                  <w:vAlign w:val="center"/>
                </w:tcPr>
                <w:p w14:paraId="773517C6">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1.1</w:t>
                  </w:r>
                </w:p>
              </w:tc>
              <w:tc>
                <w:tcPr>
                  <w:tcW w:w="375" w:type="pct"/>
                  <w:tcBorders>
                    <w:tl2br w:val="nil"/>
                    <w:tr2bl w:val="nil"/>
                  </w:tcBorders>
                  <w:vAlign w:val="center"/>
                </w:tcPr>
                <w:p w14:paraId="483D5070">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2.8</w:t>
                  </w:r>
                </w:p>
              </w:tc>
              <w:tc>
                <w:tcPr>
                  <w:tcW w:w="375" w:type="pct"/>
                  <w:tcBorders>
                    <w:tl2br w:val="nil"/>
                    <w:tr2bl w:val="nil"/>
                  </w:tcBorders>
                  <w:vAlign w:val="center"/>
                </w:tcPr>
                <w:p w14:paraId="02BF61C8">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4</w:t>
                  </w:r>
                  <w:r>
                    <w:rPr>
                      <w:bCs/>
                      <w:color w:val="auto"/>
                      <w:szCs w:val="22"/>
                      <w:highlight w:val="none"/>
                      <w:u w:color="000000"/>
                    </w:rPr>
                    <w:t>4.5</w:t>
                  </w:r>
                </w:p>
              </w:tc>
              <w:tc>
                <w:tcPr>
                  <w:tcW w:w="378" w:type="pct"/>
                  <w:tcBorders>
                    <w:tl2br w:val="nil"/>
                    <w:tr2bl w:val="nil"/>
                  </w:tcBorders>
                  <w:vAlign w:val="center"/>
                </w:tcPr>
                <w:p w14:paraId="7EB5D9D9">
                  <w:pPr>
                    <w:spacing w:line="0" w:lineRule="atLeast"/>
                    <w:jc w:val="center"/>
                    <w:rPr>
                      <w:rFonts w:hint="eastAsia" w:ascii="Times New Roman" w:hAnsi="Times New Roman" w:eastAsia="宋体" w:cs="Times New Roman"/>
                      <w:bCs/>
                      <w:color w:val="auto"/>
                      <w:kern w:val="2"/>
                      <w:sz w:val="18"/>
                      <w:szCs w:val="22"/>
                      <w:highlight w:val="none"/>
                      <w:u w:color="000000"/>
                      <w:lang w:val="en-US" w:eastAsia="zh-CN" w:bidi="ar-SA"/>
                    </w:rPr>
                  </w:pPr>
                  <w:r>
                    <w:rPr>
                      <w:rFonts w:hint="eastAsia"/>
                      <w:bCs/>
                      <w:color w:val="auto"/>
                      <w:szCs w:val="22"/>
                      <w:highlight w:val="none"/>
                      <w:u w:color="000000"/>
                    </w:rPr>
                    <w:t>4</w:t>
                  </w:r>
                  <w:r>
                    <w:rPr>
                      <w:bCs/>
                      <w:color w:val="auto"/>
                      <w:szCs w:val="22"/>
                      <w:highlight w:val="none"/>
                      <w:u w:color="000000"/>
                    </w:rPr>
                    <w:t>2.7</w:t>
                  </w:r>
                </w:p>
              </w:tc>
              <w:tc>
                <w:tcPr>
                  <w:tcW w:w="572" w:type="pct"/>
                  <w:tcBorders>
                    <w:tl2br w:val="nil"/>
                    <w:tr2bl w:val="nil"/>
                  </w:tcBorders>
                  <w:vAlign w:val="center"/>
                </w:tcPr>
                <w:p w14:paraId="66C0CD55">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2.8</w:t>
                  </w:r>
                </w:p>
              </w:tc>
              <w:tc>
                <w:tcPr>
                  <w:tcW w:w="311" w:type="pct"/>
                  <w:tcBorders>
                    <w:tl2br w:val="nil"/>
                    <w:tr2bl w:val="nil"/>
                  </w:tcBorders>
                  <w:vAlign w:val="center"/>
                </w:tcPr>
                <w:p w14:paraId="70D7B30A">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45</w:t>
                  </w:r>
                </w:p>
              </w:tc>
              <w:tc>
                <w:tcPr>
                  <w:tcW w:w="349" w:type="pct"/>
                  <w:tcBorders>
                    <w:tl2br w:val="nil"/>
                    <w:tr2bl w:val="nil"/>
                  </w:tcBorders>
                  <w:vAlign w:val="center"/>
                </w:tcPr>
                <w:p w14:paraId="55BA435B">
                  <w:pPr>
                    <w:jc w:val="center"/>
                    <w:rPr>
                      <w:color w:val="auto"/>
                      <w:highlight w:val="none"/>
                    </w:rPr>
                  </w:pPr>
                  <w:r>
                    <w:rPr>
                      <w:color w:val="auto"/>
                      <w:highlight w:val="none"/>
                    </w:rPr>
                    <w:t>达标</w:t>
                  </w:r>
                </w:p>
              </w:tc>
            </w:tr>
            <w:tr w14:paraId="6B2230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188B5ABE">
                  <w:pPr>
                    <w:jc w:val="center"/>
                    <w:rPr>
                      <w:color w:val="auto"/>
                      <w:highlight w:val="none"/>
                    </w:rPr>
                  </w:pPr>
                </w:p>
              </w:tc>
              <w:tc>
                <w:tcPr>
                  <w:tcW w:w="555" w:type="pct"/>
                  <w:vMerge w:val="continue"/>
                  <w:tcBorders>
                    <w:tl2br w:val="nil"/>
                    <w:tr2bl w:val="nil"/>
                  </w:tcBorders>
                  <w:vAlign w:val="center"/>
                </w:tcPr>
                <w:p w14:paraId="6B436A91">
                  <w:pPr>
                    <w:jc w:val="center"/>
                    <w:rPr>
                      <w:color w:val="auto"/>
                      <w:highlight w:val="none"/>
                    </w:rPr>
                  </w:pPr>
                </w:p>
              </w:tc>
              <w:tc>
                <w:tcPr>
                  <w:tcW w:w="823" w:type="pct"/>
                  <w:tcBorders>
                    <w:tl2br w:val="nil"/>
                    <w:tr2bl w:val="nil"/>
                  </w:tcBorders>
                  <w:vAlign w:val="center"/>
                </w:tcPr>
                <w:p w14:paraId="39A8E9E6">
                  <w:pPr>
                    <w:jc w:val="center"/>
                    <w:rPr>
                      <w:color w:val="auto"/>
                      <w:kern w:val="0"/>
                      <w:highlight w:val="none"/>
                    </w:rPr>
                  </w:pPr>
                  <w:r>
                    <w:rPr>
                      <w:rFonts w:hint="eastAsia"/>
                      <w:color w:val="auto"/>
                      <w:kern w:val="0"/>
                      <w:highlight w:val="none"/>
                    </w:rPr>
                    <w:t>悬浮物</w:t>
                  </w:r>
                </w:p>
              </w:tc>
              <w:tc>
                <w:tcPr>
                  <w:tcW w:w="469" w:type="pct"/>
                  <w:tcBorders>
                    <w:tl2br w:val="nil"/>
                    <w:tr2bl w:val="nil"/>
                  </w:tcBorders>
                  <w:vAlign w:val="center"/>
                </w:tcPr>
                <w:p w14:paraId="3E486DA5">
                  <w:pPr>
                    <w:jc w:val="center"/>
                    <w:rPr>
                      <w:color w:val="auto"/>
                      <w:kern w:val="0"/>
                      <w:highlight w:val="none"/>
                    </w:rPr>
                  </w:pPr>
                  <w:r>
                    <w:rPr>
                      <w:color w:val="auto"/>
                      <w:kern w:val="0"/>
                      <w:highlight w:val="none"/>
                    </w:rPr>
                    <w:t>mg/L</w:t>
                  </w:r>
                </w:p>
              </w:tc>
              <w:tc>
                <w:tcPr>
                  <w:tcW w:w="376" w:type="pct"/>
                  <w:tcBorders>
                    <w:tl2br w:val="nil"/>
                    <w:tr2bl w:val="nil"/>
                  </w:tcBorders>
                  <w:vAlign w:val="center"/>
                </w:tcPr>
                <w:p w14:paraId="127991F4">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05</w:t>
                  </w:r>
                </w:p>
              </w:tc>
              <w:tc>
                <w:tcPr>
                  <w:tcW w:w="375" w:type="pct"/>
                  <w:tcBorders>
                    <w:tl2br w:val="nil"/>
                    <w:tr2bl w:val="nil"/>
                  </w:tcBorders>
                  <w:vAlign w:val="center"/>
                </w:tcPr>
                <w:p w14:paraId="46FCCA62">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12</w:t>
                  </w:r>
                </w:p>
              </w:tc>
              <w:tc>
                <w:tcPr>
                  <w:tcW w:w="375" w:type="pct"/>
                  <w:tcBorders>
                    <w:tl2br w:val="nil"/>
                    <w:tr2bl w:val="nil"/>
                  </w:tcBorders>
                  <w:vAlign w:val="center"/>
                </w:tcPr>
                <w:p w14:paraId="18A83034">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01</w:t>
                  </w:r>
                </w:p>
              </w:tc>
              <w:tc>
                <w:tcPr>
                  <w:tcW w:w="378" w:type="pct"/>
                  <w:tcBorders>
                    <w:tl2br w:val="nil"/>
                    <w:tr2bl w:val="nil"/>
                  </w:tcBorders>
                  <w:vAlign w:val="center"/>
                </w:tcPr>
                <w:p w14:paraId="51C2ABF4">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08</w:t>
                  </w:r>
                </w:p>
              </w:tc>
              <w:tc>
                <w:tcPr>
                  <w:tcW w:w="572" w:type="pct"/>
                  <w:tcBorders>
                    <w:tl2br w:val="nil"/>
                    <w:tr2bl w:val="nil"/>
                  </w:tcBorders>
                  <w:vAlign w:val="center"/>
                </w:tcPr>
                <w:p w14:paraId="7DA824E0">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06</w:t>
                  </w:r>
                </w:p>
              </w:tc>
              <w:tc>
                <w:tcPr>
                  <w:tcW w:w="311" w:type="pct"/>
                  <w:tcBorders>
                    <w:tl2br w:val="nil"/>
                    <w:tr2bl w:val="nil"/>
                  </w:tcBorders>
                  <w:vAlign w:val="center"/>
                </w:tcPr>
                <w:p w14:paraId="7526C048">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400</w:t>
                  </w:r>
                </w:p>
              </w:tc>
              <w:tc>
                <w:tcPr>
                  <w:tcW w:w="349" w:type="pct"/>
                  <w:tcBorders>
                    <w:tl2br w:val="nil"/>
                    <w:tr2bl w:val="nil"/>
                  </w:tcBorders>
                  <w:vAlign w:val="center"/>
                </w:tcPr>
                <w:p w14:paraId="0107E074">
                  <w:pPr>
                    <w:jc w:val="center"/>
                    <w:rPr>
                      <w:color w:val="auto"/>
                      <w:highlight w:val="none"/>
                    </w:rPr>
                  </w:pPr>
                  <w:r>
                    <w:rPr>
                      <w:color w:val="auto"/>
                      <w:highlight w:val="none"/>
                    </w:rPr>
                    <w:t>达标</w:t>
                  </w:r>
                </w:p>
              </w:tc>
            </w:tr>
            <w:tr w14:paraId="2314A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180718CD">
                  <w:pPr>
                    <w:jc w:val="center"/>
                    <w:rPr>
                      <w:color w:val="auto"/>
                      <w:highlight w:val="none"/>
                    </w:rPr>
                  </w:pPr>
                </w:p>
              </w:tc>
              <w:tc>
                <w:tcPr>
                  <w:tcW w:w="555" w:type="pct"/>
                  <w:vMerge w:val="continue"/>
                  <w:tcBorders>
                    <w:tl2br w:val="nil"/>
                    <w:tr2bl w:val="nil"/>
                  </w:tcBorders>
                  <w:vAlign w:val="center"/>
                </w:tcPr>
                <w:p w14:paraId="67CCFCBC">
                  <w:pPr>
                    <w:jc w:val="center"/>
                    <w:rPr>
                      <w:color w:val="auto"/>
                      <w:highlight w:val="none"/>
                    </w:rPr>
                  </w:pPr>
                </w:p>
              </w:tc>
              <w:tc>
                <w:tcPr>
                  <w:tcW w:w="823" w:type="pct"/>
                  <w:tcBorders>
                    <w:tl2br w:val="nil"/>
                    <w:tr2bl w:val="nil"/>
                  </w:tcBorders>
                  <w:vAlign w:val="center"/>
                </w:tcPr>
                <w:p w14:paraId="22F947B7">
                  <w:pPr>
                    <w:jc w:val="center"/>
                    <w:rPr>
                      <w:color w:val="auto"/>
                      <w:kern w:val="0"/>
                      <w:highlight w:val="none"/>
                    </w:rPr>
                  </w:pPr>
                  <w:r>
                    <w:rPr>
                      <w:rFonts w:hint="eastAsia"/>
                      <w:color w:val="auto"/>
                      <w:kern w:val="0"/>
                      <w:highlight w:val="none"/>
                    </w:rPr>
                    <w:t>动植物油</w:t>
                  </w:r>
                </w:p>
              </w:tc>
              <w:tc>
                <w:tcPr>
                  <w:tcW w:w="469" w:type="pct"/>
                  <w:tcBorders>
                    <w:tl2br w:val="nil"/>
                    <w:tr2bl w:val="nil"/>
                  </w:tcBorders>
                  <w:vAlign w:val="center"/>
                </w:tcPr>
                <w:p w14:paraId="15577252">
                  <w:pPr>
                    <w:jc w:val="center"/>
                    <w:rPr>
                      <w:color w:val="auto"/>
                      <w:kern w:val="0"/>
                      <w:highlight w:val="none"/>
                    </w:rPr>
                  </w:pPr>
                  <w:r>
                    <w:rPr>
                      <w:color w:val="auto"/>
                      <w:kern w:val="0"/>
                      <w:highlight w:val="none"/>
                    </w:rPr>
                    <w:t>mg/L</w:t>
                  </w:r>
                </w:p>
              </w:tc>
              <w:tc>
                <w:tcPr>
                  <w:tcW w:w="376" w:type="pct"/>
                  <w:tcBorders>
                    <w:tl2br w:val="nil"/>
                    <w:tr2bl w:val="nil"/>
                  </w:tcBorders>
                  <w:vAlign w:val="center"/>
                </w:tcPr>
                <w:p w14:paraId="4C146F02">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.87</w:t>
                  </w:r>
                </w:p>
              </w:tc>
              <w:tc>
                <w:tcPr>
                  <w:tcW w:w="375" w:type="pct"/>
                  <w:tcBorders>
                    <w:tl2br w:val="nil"/>
                    <w:tr2bl w:val="nil"/>
                  </w:tcBorders>
                  <w:vAlign w:val="center"/>
                </w:tcPr>
                <w:p w14:paraId="51EB57DD">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6</w:t>
                  </w:r>
                  <w:r>
                    <w:rPr>
                      <w:bCs/>
                      <w:color w:val="auto"/>
                      <w:szCs w:val="22"/>
                      <w:highlight w:val="none"/>
                    </w:rPr>
                    <w:t>.54</w:t>
                  </w:r>
                </w:p>
              </w:tc>
              <w:tc>
                <w:tcPr>
                  <w:tcW w:w="375" w:type="pct"/>
                  <w:tcBorders>
                    <w:tl2br w:val="nil"/>
                    <w:tr2bl w:val="nil"/>
                  </w:tcBorders>
                  <w:vAlign w:val="center"/>
                </w:tcPr>
                <w:p w14:paraId="74B52761">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6</w:t>
                  </w:r>
                  <w:r>
                    <w:rPr>
                      <w:bCs/>
                      <w:color w:val="auto"/>
                      <w:szCs w:val="22"/>
                      <w:highlight w:val="none"/>
                    </w:rPr>
                    <w:t>.49</w:t>
                  </w:r>
                </w:p>
              </w:tc>
              <w:tc>
                <w:tcPr>
                  <w:tcW w:w="378" w:type="pct"/>
                  <w:tcBorders>
                    <w:tl2br w:val="nil"/>
                    <w:tr2bl w:val="nil"/>
                  </w:tcBorders>
                  <w:vAlign w:val="center"/>
                </w:tcPr>
                <w:p w14:paraId="0E3F13CE">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.70</w:t>
                  </w:r>
                </w:p>
              </w:tc>
              <w:tc>
                <w:tcPr>
                  <w:tcW w:w="572" w:type="pct"/>
                  <w:tcBorders>
                    <w:tl2br w:val="nil"/>
                    <w:tr2bl w:val="nil"/>
                  </w:tcBorders>
                  <w:vAlign w:val="center"/>
                </w:tcPr>
                <w:p w14:paraId="0028AA6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.15</w:t>
                  </w:r>
                </w:p>
              </w:tc>
              <w:tc>
                <w:tcPr>
                  <w:tcW w:w="311" w:type="pct"/>
                  <w:tcBorders>
                    <w:tl2br w:val="nil"/>
                    <w:tr2bl w:val="nil"/>
                  </w:tcBorders>
                  <w:vAlign w:val="center"/>
                </w:tcPr>
                <w:p w14:paraId="2251D5DD">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100</w:t>
                  </w:r>
                </w:p>
              </w:tc>
              <w:tc>
                <w:tcPr>
                  <w:tcW w:w="349" w:type="pct"/>
                  <w:tcBorders>
                    <w:tl2br w:val="nil"/>
                    <w:tr2bl w:val="nil"/>
                  </w:tcBorders>
                  <w:vAlign w:val="center"/>
                </w:tcPr>
                <w:p w14:paraId="3A0B00C5">
                  <w:pPr>
                    <w:jc w:val="center"/>
                    <w:rPr>
                      <w:color w:val="auto"/>
                      <w:highlight w:val="none"/>
                    </w:rPr>
                  </w:pPr>
                  <w:r>
                    <w:rPr>
                      <w:color w:val="auto"/>
                      <w:highlight w:val="none"/>
                    </w:rPr>
                    <w:t>达标</w:t>
                  </w:r>
                </w:p>
              </w:tc>
            </w:tr>
            <w:tr w14:paraId="445191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69737B52">
                  <w:pPr>
                    <w:jc w:val="center"/>
                    <w:rPr>
                      <w:color w:val="auto"/>
                      <w:highlight w:val="none"/>
                    </w:rPr>
                  </w:pPr>
                </w:p>
              </w:tc>
              <w:tc>
                <w:tcPr>
                  <w:tcW w:w="555" w:type="pct"/>
                  <w:vMerge w:val="restart"/>
                  <w:tcBorders>
                    <w:tl2br w:val="nil"/>
                    <w:tr2bl w:val="nil"/>
                  </w:tcBorders>
                  <w:vAlign w:val="center"/>
                </w:tcPr>
                <w:p w14:paraId="24F1E67D">
                  <w:pPr>
                    <w:jc w:val="center"/>
                    <w:rPr>
                      <w:rFonts w:hint="eastAsia" w:eastAsia="宋体"/>
                      <w:color w:val="auto"/>
                      <w:highlight w:val="none"/>
                      <w:lang w:val="en-US" w:eastAsia="zh-CN"/>
                    </w:rPr>
                  </w:pPr>
                  <w:r>
                    <w:rPr>
                      <w:rFonts w:hint="eastAsia"/>
                      <w:color w:val="auto"/>
                      <w:highlight w:val="none"/>
                    </w:rPr>
                    <w:t>202</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9</w:t>
                  </w:r>
                </w:p>
              </w:tc>
              <w:tc>
                <w:tcPr>
                  <w:tcW w:w="823" w:type="pct"/>
                  <w:tcBorders>
                    <w:tl2br w:val="nil"/>
                    <w:tr2bl w:val="nil"/>
                  </w:tcBorders>
                  <w:vAlign w:val="center"/>
                </w:tcPr>
                <w:p w14:paraId="148FA452">
                  <w:pPr>
                    <w:jc w:val="center"/>
                    <w:rPr>
                      <w:color w:val="auto"/>
                      <w:kern w:val="0"/>
                      <w:highlight w:val="none"/>
                    </w:rPr>
                  </w:pPr>
                  <w:r>
                    <w:rPr>
                      <w:rFonts w:hint="eastAsia"/>
                      <w:color w:val="auto"/>
                      <w:kern w:val="0"/>
                      <w:highlight w:val="none"/>
                    </w:rPr>
                    <w:t>pH值</w:t>
                  </w:r>
                </w:p>
              </w:tc>
              <w:tc>
                <w:tcPr>
                  <w:tcW w:w="469" w:type="pct"/>
                  <w:tcBorders>
                    <w:tl2br w:val="nil"/>
                    <w:tr2bl w:val="nil"/>
                  </w:tcBorders>
                  <w:vAlign w:val="center"/>
                </w:tcPr>
                <w:p w14:paraId="7E3D2D02">
                  <w:pPr>
                    <w:jc w:val="center"/>
                    <w:rPr>
                      <w:color w:val="auto"/>
                      <w:kern w:val="0"/>
                      <w:highlight w:val="none"/>
                    </w:rPr>
                  </w:pPr>
                  <w:r>
                    <w:rPr>
                      <w:rFonts w:hint="eastAsia"/>
                      <w:color w:val="auto"/>
                      <w:kern w:val="0"/>
                      <w:highlight w:val="none"/>
                    </w:rPr>
                    <w:t>无量纲</w:t>
                  </w:r>
                </w:p>
              </w:tc>
              <w:tc>
                <w:tcPr>
                  <w:tcW w:w="376" w:type="pct"/>
                  <w:tcBorders>
                    <w:tl2br w:val="nil"/>
                    <w:tr2bl w:val="nil"/>
                  </w:tcBorders>
                  <w:vAlign w:val="center"/>
                </w:tcPr>
                <w:p w14:paraId="08BA7D7D">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w:t>
                  </w:r>
                </w:p>
              </w:tc>
              <w:tc>
                <w:tcPr>
                  <w:tcW w:w="375" w:type="pct"/>
                  <w:tcBorders>
                    <w:tl2br w:val="nil"/>
                    <w:tr2bl w:val="nil"/>
                  </w:tcBorders>
                  <w:vAlign w:val="center"/>
                </w:tcPr>
                <w:p w14:paraId="37EF3BE8">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w:t>
                  </w:r>
                </w:p>
              </w:tc>
              <w:tc>
                <w:tcPr>
                  <w:tcW w:w="375" w:type="pct"/>
                  <w:tcBorders>
                    <w:tl2br w:val="nil"/>
                    <w:tr2bl w:val="nil"/>
                  </w:tcBorders>
                  <w:vAlign w:val="center"/>
                </w:tcPr>
                <w:p w14:paraId="6EEC87C3">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w:t>
                  </w:r>
                </w:p>
              </w:tc>
              <w:tc>
                <w:tcPr>
                  <w:tcW w:w="378" w:type="pct"/>
                  <w:tcBorders>
                    <w:tl2br w:val="nil"/>
                    <w:tr2bl w:val="nil"/>
                  </w:tcBorders>
                  <w:vAlign w:val="center"/>
                </w:tcPr>
                <w:p w14:paraId="74AC3A1E">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.3</w:t>
                  </w:r>
                </w:p>
              </w:tc>
              <w:tc>
                <w:tcPr>
                  <w:tcW w:w="572" w:type="pct"/>
                  <w:tcBorders>
                    <w:tl2br w:val="nil"/>
                    <w:tr2bl w:val="nil"/>
                  </w:tcBorders>
                  <w:vAlign w:val="center"/>
                </w:tcPr>
                <w:p w14:paraId="43AC6203">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.2~7.3</w:t>
                  </w:r>
                </w:p>
              </w:tc>
              <w:tc>
                <w:tcPr>
                  <w:tcW w:w="311" w:type="pct"/>
                  <w:tcBorders>
                    <w:tl2br w:val="nil"/>
                    <w:tr2bl w:val="nil"/>
                  </w:tcBorders>
                  <w:vAlign w:val="center"/>
                </w:tcPr>
                <w:p w14:paraId="0C283A72">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kern w:val="0"/>
                      <w:highlight w:val="none"/>
                    </w:rPr>
                    <w:t>6~9</w:t>
                  </w:r>
                </w:p>
              </w:tc>
              <w:tc>
                <w:tcPr>
                  <w:tcW w:w="349" w:type="pct"/>
                  <w:tcBorders>
                    <w:tl2br w:val="nil"/>
                    <w:tr2bl w:val="nil"/>
                  </w:tcBorders>
                  <w:vAlign w:val="center"/>
                </w:tcPr>
                <w:p w14:paraId="0BFDF2B0">
                  <w:pPr>
                    <w:jc w:val="center"/>
                    <w:rPr>
                      <w:color w:val="auto"/>
                      <w:kern w:val="0"/>
                      <w:highlight w:val="none"/>
                    </w:rPr>
                  </w:pPr>
                  <w:r>
                    <w:rPr>
                      <w:rFonts w:hint="eastAsia"/>
                      <w:color w:val="auto"/>
                      <w:kern w:val="0"/>
                      <w:highlight w:val="none"/>
                    </w:rPr>
                    <w:t>达标</w:t>
                  </w:r>
                </w:p>
              </w:tc>
            </w:tr>
            <w:tr w14:paraId="60921A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48D50075">
                  <w:pPr>
                    <w:jc w:val="center"/>
                    <w:rPr>
                      <w:color w:val="auto"/>
                      <w:highlight w:val="none"/>
                    </w:rPr>
                  </w:pPr>
                </w:p>
              </w:tc>
              <w:tc>
                <w:tcPr>
                  <w:tcW w:w="555" w:type="pct"/>
                  <w:vMerge w:val="continue"/>
                  <w:tcBorders>
                    <w:tl2br w:val="nil"/>
                    <w:tr2bl w:val="nil"/>
                  </w:tcBorders>
                  <w:vAlign w:val="center"/>
                </w:tcPr>
                <w:p w14:paraId="25D9CF8A">
                  <w:pPr>
                    <w:jc w:val="center"/>
                    <w:rPr>
                      <w:color w:val="auto"/>
                      <w:highlight w:val="none"/>
                    </w:rPr>
                  </w:pPr>
                </w:p>
              </w:tc>
              <w:tc>
                <w:tcPr>
                  <w:tcW w:w="823" w:type="pct"/>
                  <w:tcBorders>
                    <w:tl2br w:val="nil"/>
                    <w:tr2bl w:val="nil"/>
                  </w:tcBorders>
                  <w:vAlign w:val="center"/>
                </w:tcPr>
                <w:p w14:paraId="7FBD482B">
                  <w:pPr>
                    <w:jc w:val="center"/>
                    <w:rPr>
                      <w:color w:val="auto"/>
                      <w:kern w:val="0"/>
                      <w:highlight w:val="none"/>
                    </w:rPr>
                  </w:pPr>
                  <w:r>
                    <w:rPr>
                      <w:rFonts w:hint="eastAsia"/>
                      <w:color w:val="auto"/>
                      <w:kern w:val="0"/>
                      <w:highlight w:val="none"/>
                    </w:rPr>
                    <w:t>化学需氧量</w:t>
                  </w:r>
                </w:p>
              </w:tc>
              <w:tc>
                <w:tcPr>
                  <w:tcW w:w="469" w:type="pct"/>
                  <w:tcBorders>
                    <w:tl2br w:val="nil"/>
                    <w:tr2bl w:val="nil"/>
                  </w:tcBorders>
                  <w:vAlign w:val="center"/>
                </w:tcPr>
                <w:p w14:paraId="74741511">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590ACFD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52</w:t>
                  </w:r>
                </w:p>
              </w:tc>
              <w:tc>
                <w:tcPr>
                  <w:tcW w:w="375" w:type="pct"/>
                  <w:tcBorders>
                    <w:tl2br w:val="nil"/>
                    <w:tr2bl w:val="nil"/>
                  </w:tcBorders>
                  <w:vAlign w:val="center"/>
                </w:tcPr>
                <w:p w14:paraId="3BEC50A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53</w:t>
                  </w:r>
                </w:p>
              </w:tc>
              <w:tc>
                <w:tcPr>
                  <w:tcW w:w="375" w:type="pct"/>
                  <w:tcBorders>
                    <w:tl2br w:val="nil"/>
                    <w:tr2bl w:val="nil"/>
                  </w:tcBorders>
                  <w:vAlign w:val="center"/>
                </w:tcPr>
                <w:p w14:paraId="5C5B56B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43</w:t>
                  </w:r>
                </w:p>
              </w:tc>
              <w:tc>
                <w:tcPr>
                  <w:tcW w:w="378" w:type="pct"/>
                  <w:tcBorders>
                    <w:tl2br w:val="nil"/>
                    <w:tr2bl w:val="nil"/>
                  </w:tcBorders>
                  <w:vAlign w:val="center"/>
                </w:tcPr>
                <w:p w14:paraId="4172CDC4">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20</w:t>
                  </w:r>
                </w:p>
              </w:tc>
              <w:tc>
                <w:tcPr>
                  <w:tcW w:w="572" w:type="pct"/>
                  <w:tcBorders>
                    <w:tl2br w:val="nil"/>
                    <w:tr2bl w:val="nil"/>
                  </w:tcBorders>
                  <w:vAlign w:val="center"/>
                </w:tcPr>
                <w:p w14:paraId="592D7B1C">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2</w:t>
                  </w:r>
                  <w:r>
                    <w:rPr>
                      <w:bCs/>
                      <w:color w:val="auto"/>
                      <w:szCs w:val="22"/>
                      <w:highlight w:val="none"/>
                    </w:rPr>
                    <w:t>42</w:t>
                  </w:r>
                </w:p>
              </w:tc>
              <w:tc>
                <w:tcPr>
                  <w:tcW w:w="311" w:type="pct"/>
                  <w:tcBorders>
                    <w:tl2br w:val="nil"/>
                    <w:tr2bl w:val="nil"/>
                  </w:tcBorders>
                  <w:vAlign w:val="center"/>
                </w:tcPr>
                <w:p w14:paraId="7A55CC12">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500</w:t>
                  </w:r>
                </w:p>
              </w:tc>
              <w:tc>
                <w:tcPr>
                  <w:tcW w:w="349" w:type="pct"/>
                  <w:tcBorders>
                    <w:tl2br w:val="nil"/>
                    <w:tr2bl w:val="nil"/>
                  </w:tcBorders>
                  <w:vAlign w:val="center"/>
                </w:tcPr>
                <w:p w14:paraId="577527BF">
                  <w:pPr>
                    <w:jc w:val="center"/>
                    <w:rPr>
                      <w:color w:val="auto"/>
                      <w:kern w:val="0"/>
                      <w:highlight w:val="none"/>
                    </w:rPr>
                  </w:pPr>
                  <w:r>
                    <w:rPr>
                      <w:rFonts w:hint="eastAsia"/>
                      <w:color w:val="auto"/>
                      <w:kern w:val="0"/>
                      <w:highlight w:val="none"/>
                    </w:rPr>
                    <w:t>达标</w:t>
                  </w:r>
                </w:p>
              </w:tc>
            </w:tr>
            <w:tr w14:paraId="5ABF8E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3A8D7655">
                  <w:pPr>
                    <w:jc w:val="center"/>
                    <w:rPr>
                      <w:color w:val="auto"/>
                      <w:highlight w:val="none"/>
                    </w:rPr>
                  </w:pPr>
                </w:p>
              </w:tc>
              <w:tc>
                <w:tcPr>
                  <w:tcW w:w="555" w:type="pct"/>
                  <w:vMerge w:val="continue"/>
                  <w:tcBorders>
                    <w:tl2br w:val="nil"/>
                    <w:tr2bl w:val="nil"/>
                  </w:tcBorders>
                  <w:vAlign w:val="center"/>
                </w:tcPr>
                <w:p w14:paraId="39E4B75A">
                  <w:pPr>
                    <w:jc w:val="center"/>
                    <w:rPr>
                      <w:color w:val="auto"/>
                      <w:highlight w:val="none"/>
                    </w:rPr>
                  </w:pPr>
                </w:p>
              </w:tc>
              <w:tc>
                <w:tcPr>
                  <w:tcW w:w="823" w:type="pct"/>
                  <w:tcBorders>
                    <w:tl2br w:val="nil"/>
                    <w:tr2bl w:val="nil"/>
                  </w:tcBorders>
                  <w:vAlign w:val="center"/>
                </w:tcPr>
                <w:p w14:paraId="603AF2E7">
                  <w:pPr>
                    <w:jc w:val="center"/>
                    <w:rPr>
                      <w:color w:val="auto"/>
                      <w:kern w:val="0"/>
                      <w:highlight w:val="none"/>
                    </w:rPr>
                  </w:pPr>
                  <w:r>
                    <w:rPr>
                      <w:rFonts w:hint="eastAsia"/>
                      <w:color w:val="auto"/>
                      <w:kern w:val="0"/>
                      <w:highlight w:val="none"/>
                    </w:rPr>
                    <w:t>五日生化需氧量</w:t>
                  </w:r>
                </w:p>
              </w:tc>
              <w:tc>
                <w:tcPr>
                  <w:tcW w:w="469" w:type="pct"/>
                  <w:tcBorders>
                    <w:tl2br w:val="nil"/>
                    <w:tr2bl w:val="nil"/>
                  </w:tcBorders>
                  <w:vAlign w:val="center"/>
                </w:tcPr>
                <w:p w14:paraId="68A4AEE0">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0228E69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0.2</w:t>
                  </w:r>
                </w:p>
              </w:tc>
              <w:tc>
                <w:tcPr>
                  <w:tcW w:w="375" w:type="pct"/>
                  <w:tcBorders>
                    <w:tl2br w:val="nil"/>
                    <w:tr2bl w:val="nil"/>
                  </w:tcBorders>
                  <w:vAlign w:val="center"/>
                </w:tcPr>
                <w:p w14:paraId="60A5DAF3">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0.2</w:t>
                  </w:r>
                </w:p>
              </w:tc>
              <w:tc>
                <w:tcPr>
                  <w:tcW w:w="375" w:type="pct"/>
                  <w:tcBorders>
                    <w:tl2br w:val="nil"/>
                    <w:tr2bl w:val="nil"/>
                  </w:tcBorders>
                  <w:vAlign w:val="center"/>
                </w:tcPr>
                <w:p w14:paraId="24378F62">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9</w:t>
                  </w:r>
                  <w:r>
                    <w:rPr>
                      <w:bCs/>
                      <w:color w:val="auto"/>
                      <w:szCs w:val="22"/>
                      <w:highlight w:val="none"/>
                    </w:rPr>
                    <w:t>6.2</w:t>
                  </w:r>
                </w:p>
              </w:tc>
              <w:tc>
                <w:tcPr>
                  <w:tcW w:w="378" w:type="pct"/>
                  <w:tcBorders>
                    <w:tl2br w:val="nil"/>
                    <w:tr2bl w:val="nil"/>
                  </w:tcBorders>
                  <w:vAlign w:val="center"/>
                </w:tcPr>
                <w:p w14:paraId="7976739C">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2.2</w:t>
                  </w:r>
                </w:p>
              </w:tc>
              <w:tc>
                <w:tcPr>
                  <w:tcW w:w="572" w:type="pct"/>
                  <w:tcBorders>
                    <w:tl2br w:val="nil"/>
                    <w:tr2bl w:val="nil"/>
                  </w:tcBorders>
                  <w:vAlign w:val="center"/>
                </w:tcPr>
                <w:p w14:paraId="24A97341">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8</w:t>
                  </w:r>
                  <w:r>
                    <w:rPr>
                      <w:bCs/>
                      <w:color w:val="auto"/>
                      <w:szCs w:val="22"/>
                      <w:highlight w:val="none"/>
                    </w:rPr>
                    <w:t>4.7</w:t>
                  </w:r>
                </w:p>
              </w:tc>
              <w:tc>
                <w:tcPr>
                  <w:tcW w:w="311" w:type="pct"/>
                  <w:tcBorders>
                    <w:tl2br w:val="nil"/>
                    <w:tr2bl w:val="nil"/>
                  </w:tcBorders>
                  <w:vAlign w:val="center"/>
                </w:tcPr>
                <w:p w14:paraId="644F30A7">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300</w:t>
                  </w:r>
                </w:p>
              </w:tc>
              <w:tc>
                <w:tcPr>
                  <w:tcW w:w="349" w:type="pct"/>
                  <w:tcBorders>
                    <w:tl2br w:val="nil"/>
                    <w:tr2bl w:val="nil"/>
                  </w:tcBorders>
                  <w:vAlign w:val="center"/>
                </w:tcPr>
                <w:p w14:paraId="23DD19FE">
                  <w:pPr>
                    <w:jc w:val="center"/>
                    <w:rPr>
                      <w:color w:val="auto"/>
                      <w:kern w:val="0"/>
                      <w:highlight w:val="none"/>
                    </w:rPr>
                  </w:pPr>
                  <w:r>
                    <w:rPr>
                      <w:rFonts w:hint="eastAsia"/>
                      <w:color w:val="auto"/>
                      <w:kern w:val="0"/>
                      <w:highlight w:val="none"/>
                    </w:rPr>
                    <w:t>达标</w:t>
                  </w:r>
                </w:p>
              </w:tc>
            </w:tr>
            <w:tr w14:paraId="5AA9B3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4F728CAF">
                  <w:pPr>
                    <w:jc w:val="center"/>
                    <w:rPr>
                      <w:color w:val="auto"/>
                      <w:highlight w:val="none"/>
                    </w:rPr>
                  </w:pPr>
                </w:p>
              </w:tc>
              <w:tc>
                <w:tcPr>
                  <w:tcW w:w="555" w:type="pct"/>
                  <w:vMerge w:val="continue"/>
                  <w:tcBorders>
                    <w:tl2br w:val="nil"/>
                    <w:tr2bl w:val="nil"/>
                  </w:tcBorders>
                  <w:vAlign w:val="center"/>
                </w:tcPr>
                <w:p w14:paraId="694C9854">
                  <w:pPr>
                    <w:jc w:val="center"/>
                    <w:rPr>
                      <w:color w:val="auto"/>
                      <w:highlight w:val="none"/>
                    </w:rPr>
                  </w:pPr>
                </w:p>
              </w:tc>
              <w:tc>
                <w:tcPr>
                  <w:tcW w:w="823" w:type="pct"/>
                  <w:tcBorders>
                    <w:tl2br w:val="nil"/>
                    <w:tr2bl w:val="nil"/>
                  </w:tcBorders>
                  <w:vAlign w:val="center"/>
                </w:tcPr>
                <w:p w14:paraId="35B7CA52">
                  <w:pPr>
                    <w:jc w:val="center"/>
                    <w:rPr>
                      <w:color w:val="auto"/>
                      <w:kern w:val="0"/>
                      <w:highlight w:val="none"/>
                    </w:rPr>
                  </w:pPr>
                  <w:r>
                    <w:rPr>
                      <w:rFonts w:hint="eastAsia"/>
                      <w:color w:val="auto"/>
                      <w:kern w:val="0"/>
                      <w:highlight w:val="none"/>
                    </w:rPr>
                    <w:t>氨氮</w:t>
                  </w:r>
                </w:p>
              </w:tc>
              <w:tc>
                <w:tcPr>
                  <w:tcW w:w="469" w:type="pct"/>
                  <w:tcBorders>
                    <w:tl2br w:val="nil"/>
                    <w:tr2bl w:val="nil"/>
                  </w:tcBorders>
                  <w:vAlign w:val="center"/>
                </w:tcPr>
                <w:p w14:paraId="7E970E25">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1353DD8D">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3</w:t>
                  </w:r>
                  <w:r>
                    <w:rPr>
                      <w:bCs/>
                      <w:color w:val="auto"/>
                      <w:szCs w:val="22"/>
                      <w:highlight w:val="none"/>
                    </w:rPr>
                    <w:t>9.5</w:t>
                  </w:r>
                </w:p>
              </w:tc>
              <w:tc>
                <w:tcPr>
                  <w:tcW w:w="375" w:type="pct"/>
                  <w:tcBorders>
                    <w:tl2br w:val="nil"/>
                    <w:tr2bl w:val="nil"/>
                  </w:tcBorders>
                  <w:vAlign w:val="center"/>
                </w:tcPr>
                <w:p w14:paraId="646CD940">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0.7</w:t>
                  </w:r>
                </w:p>
              </w:tc>
              <w:tc>
                <w:tcPr>
                  <w:tcW w:w="375" w:type="pct"/>
                  <w:tcBorders>
                    <w:tl2br w:val="nil"/>
                    <w:tr2bl w:val="nil"/>
                  </w:tcBorders>
                  <w:vAlign w:val="center"/>
                </w:tcPr>
                <w:p w14:paraId="0CDF0B29">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1.1</w:t>
                  </w:r>
                </w:p>
              </w:tc>
              <w:tc>
                <w:tcPr>
                  <w:tcW w:w="378" w:type="pct"/>
                  <w:tcBorders>
                    <w:tl2br w:val="nil"/>
                    <w:tr2bl w:val="nil"/>
                  </w:tcBorders>
                  <w:vAlign w:val="center"/>
                </w:tcPr>
                <w:p w14:paraId="5CB9C5BB">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3.5</w:t>
                  </w:r>
                </w:p>
              </w:tc>
              <w:tc>
                <w:tcPr>
                  <w:tcW w:w="572" w:type="pct"/>
                  <w:tcBorders>
                    <w:tl2br w:val="nil"/>
                    <w:tr2bl w:val="nil"/>
                  </w:tcBorders>
                  <w:vAlign w:val="center"/>
                </w:tcPr>
                <w:p w14:paraId="013659B6">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4</w:t>
                  </w:r>
                  <w:r>
                    <w:rPr>
                      <w:bCs/>
                      <w:color w:val="auto"/>
                      <w:szCs w:val="22"/>
                      <w:highlight w:val="none"/>
                    </w:rPr>
                    <w:t>1.2</w:t>
                  </w:r>
                </w:p>
              </w:tc>
              <w:tc>
                <w:tcPr>
                  <w:tcW w:w="311" w:type="pct"/>
                  <w:tcBorders>
                    <w:tl2br w:val="nil"/>
                    <w:tr2bl w:val="nil"/>
                  </w:tcBorders>
                  <w:vAlign w:val="center"/>
                </w:tcPr>
                <w:p w14:paraId="2DDF6593">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45</w:t>
                  </w:r>
                </w:p>
              </w:tc>
              <w:tc>
                <w:tcPr>
                  <w:tcW w:w="349" w:type="pct"/>
                  <w:tcBorders>
                    <w:tl2br w:val="nil"/>
                    <w:tr2bl w:val="nil"/>
                  </w:tcBorders>
                  <w:vAlign w:val="center"/>
                </w:tcPr>
                <w:p w14:paraId="56798243">
                  <w:pPr>
                    <w:jc w:val="center"/>
                    <w:rPr>
                      <w:color w:val="auto"/>
                      <w:kern w:val="0"/>
                      <w:highlight w:val="none"/>
                    </w:rPr>
                  </w:pPr>
                  <w:r>
                    <w:rPr>
                      <w:rFonts w:hint="eastAsia"/>
                      <w:color w:val="auto"/>
                      <w:kern w:val="0"/>
                      <w:highlight w:val="none"/>
                    </w:rPr>
                    <w:t>达标</w:t>
                  </w:r>
                </w:p>
              </w:tc>
            </w:tr>
            <w:tr w14:paraId="241B3E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14B1CA6E">
                  <w:pPr>
                    <w:jc w:val="center"/>
                    <w:rPr>
                      <w:color w:val="auto"/>
                      <w:highlight w:val="none"/>
                    </w:rPr>
                  </w:pPr>
                </w:p>
              </w:tc>
              <w:tc>
                <w:tcPr>
                  <w:tcW w:w="555" w:type="pct"/>
                  <w:vMerge w:val="continue"/>
                  <w:tcBorders>
                    <w:tl2br w:val="nil"/>
                    <w:tr2bl w:val="nil"/>
                  </w:tcBorders>
                  <w:vAlign w:val="center"/>
                </w:tcPr>
                <w:p w14:paraId="3E12C9B3">
                  <w:pPr>
                    <w:jc w:val="center"/>
                    <w:rPr>
                      <w:color w:val="auto"/>
                      <w:highlight w:val="none"/>
                    </w:rPr>
                  </w:pPr>
                </w:p>
              </w:tc>
              <w:tc>
                <w:tcPr>
                  <w:tcW w:w="823" w:type="pct"/>
                  <w:tcBorders>
                    <w:tl2br w:val="nil"/>
                    <w:tr2bl w:val="nil"/>
                  </w:tcBorders>
                  <w:vAlign w:val="center"/>
                </w:tcPr>
                <w:p w14:paraId="3C7DA498">
                  <w:pPr>
                    <w:jc w:val="center"/>
                    <w:rPr>
                      <w:color w:val="auto"/>
                      <w:kern w:val="0"/>
                      <w:highlight w:val="none"/>
                    </w:rPr>
                  </w:pPr>
                  <w:r>
                    <w:rPr>
                      <w:rFonts w:hint="eastAsia"/>
                      <w:color w:val="auto"/>
                      <w:kern w:val="0"/>
                      <w:highlight w:val="none"/>
                    </w:rPr>
                    <w:t>悬浮物</w:t>
                  </w:r>
                </w:p>
              </w:tc>
              <w:tc>
                <w:tcPr>
                  <w:tcW w:w="469" w:type="pct"/>
                  <w:tcBorders>
                    <w:tl2br w:val="nil"/>
                    <w:tr2bl w:val="nil"/>
                  </w:tcBorders>
                  <w:vAlign w:val="center"/>
                </w:tcPr>
                <w:p w14:paraId="2A7AA45B">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2D7EB1B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15</w:t>
                  </w:r>
                </w:p>
              </w:tc>
              <w:tc>
                <w:tcPr>
                  <w:tcW w:w="375" w:type="pct"/>
                  <w:tcBorders>
                    <w:tl2br w:val="nil"/>
                    <w:tr2bl w:val="nil"/>
                  </w:tcBorders>
                  <w:vAlign w:val="center"/>
                </w:tcPr>
                <w:p w14:paraId="7D23ED8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06</w:t>
                  </w:r>
                </w:p>
              </w:tc>
              <w:tc>
                <w:tcPr>
                  <w:tcW w:w="375" w:type="pct"/>
                  <w:tcBorders>
                    <w:tl2br w:val="nil"/>
                    <w:tr2bl w:val="nil"/>
                  </w:tcBorders>
                  <w:vAlign w:val="center"/>
                </w:tcPr>
                <w:p w14:paraId="1FA5F834">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13</w:t>
                  </w:r>
                </w:p>
              </w:tc>
              <w:tc>
                <w:tcPr>
                  <w:tcW w:w="378" w:type="pct"/>
                  <w:tcBorders>
                    <w:tl2br w:val="nil"/>
                    <w:tr2bl w:val="nil"/>
                  </w:tcBorders>
                  <w:vAlign w:val="center"/>
                </w:tcPr>
                <w:p w14:paraId="10BE55A2">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04</w:t>
                  </w:r>
                </w:p>
              </w:tc>
              <w:tc>
                <w:tcPr>
                  <w:tcW w:w="572" w:type="pct"/>
                  <w:tcBorders>
                    <w:tl2br w:val="nil"/>
                    <w:tr2bl w:val="nil"/>
                  </w:tcBorders>
                  <w:vAlign w:val="center"/>
                </w:tcPr>
                <w:p w14:paraId="4A620901">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1</w:t>
                  </w:r>
                  <w:r>
                    <w:rPr>
                      <w:bCs/>
                      <w:color w:val="auto"/>
                      <w:szCs w:val="22"/>
                      <w:highlight w:val="none"/>
                    </w:rPr>
                    <w:t>10</w:t>
                  </w:r>
                </w:p>
              </w:tc>
              <w:tc>
                <w:tcPr>
                  <w:tcW w:w="311" w:type="pct"/>
                  <w:tcBorders>
                    <w:tl2br w:val="nil"/>
                    <w:tr2bl w:val="nil"/>
                  </w:tcBorders>
                  <w:vAlign w:val="center"/>
                </w:tcPr>
                <w:p w14:paraId="0F0A406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400</w:t>
                  </w:r>
                </w:p>
              </w:tc>
              <w:tc>
                <w:tcPr>
                  <w:tcW w:w="349" w:type="pct"/>
                  <w:tcBorders>
                    <w:tl2br w:val="nil"/>
                    <w:tr2bl w:val="nil"/>
                  </w:tcBorders>
                  <w:vAlign w:val="center"/>
                </w:tcPr>
                <w:p w14:paraId="03D8BA40">
                  <w:pPr>
                    <w:jc w:val="center"/>
                    <w:rPr>
                      <w:color w:val="auto"/>
                      <w:kern w:val="0"/>
                      <w:highlight w:val="none"/>
                    </w:rPr>
                  </w:pPr>
                  <w:r>
                    <w:rPr>
                      <w:rFonts w:hint="eastAsia"/>
                      <w:color w:val="auto"/>
                      <w:kern w:val="0"/>
                      <w:highlight w:val="none"/>
                    </w:rPr>
                    <w:t>达标</w:t>
                  </w:r>
                </w:p>
              </w:tc>
            </w:tr>
            <w:tr w14:paraId="6F0079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2" w:type="pct"/>
                  <w:vMerge w:val="continue"/>
                  <w:tcBorders>
                    <w:tl2br w:val="nil"/>
                    <w:tr2bl w:val="nil"/>
                  </w:tcBorders>
                  <w:vAlign w:val="center"/>
                </w:tcPr>
                <w:p w14:paraId="46C0E716">
                  <w:pPr>
                    <w:jc w:val="center"/>
                    <w:rPr>
                      <w:color w:val="auto"/>
                      <w:highlight w:val="none"/>
                    </w:rPr>
                  </w:pPr>
                </w:p>
              </w:tc>
              <w:tc>
                <w:tcPr>
                  <w:tcW w:w="555" w:type="pct"/>
                  <w:vMerge w:val="continue"/>
                  <w:tcBorders>
                    <w:tl2br w:val="nil"/>
                    <w:tr2bl w:val="nil"/>
                  </w:tcBorders>
                  <w:vAlign w:val="center"/>
                </w:tcPr>
                <w:p w14:paraId="02F92287">
                  <w:pPr>
                    <w:jc w:val="center"/>
                    <w:rPr>
                      <w:color w:val="auto"/>
                      <w:highlight w:val="none"/>
                    </w:rPr>
                  </w:pPr>
                </w:p>
              </w:tc>
              <w:tc>
                <w:tcPr>
                  <w:tcW w:w="823" w:type="pct"/>
                  <w:tcBorders>
                    <w:tl2br w:val="nil"/>
                    <w:tr2bl w:val="nil"/>
                  </w:tcBorders>
                  <w:vAlign w:val="center"/>
                </w:tcPr>
                <w:p w14:paraId="391935D8">
                  <w:pPr>
                    <w:jc w:val="center"/>
                    <w:rPr>
                      <w:color w:val="auto"/>
                      <w:kern w:val="0"/>
                      <w:highlight w:val="none"/>
                    </w:rPr>
                  </w:pPr>
                  <w:r>
                    <w:rPr>
                      <w:rFonts w:hint="eastAsia"/>
                      <w:color w:val="auto"/>
                      <w:kern w:val="0"/>
                      <w:highlight w:val="none"/>
                    </w:rPr>
                    <w:t>动植物油</w:t>
                  </w:r>
                </w:p>
              </w:tc>
              <w:tc>
                <w:tcPr>
                  <w:tcW w:w="469" w:type="pct"/>
                  <w:tcBorders>
                    <w:tl2br w:val="nil"/>
                    <w:tr2bl w:val="nil"/>
                  </w:tcBorders>
                  <w:vAlign w:val="center"/>
                </w:tcPr>
                <w:p w14:paraId="61893A19">
                  <w:pPr>
                    <w:jc w:val="center"/>
                    <w:rPr>
                      <w:color w:val="auto"/>
                      <w:kern w:val="0"/>
                      <w:highlight w:val="none"/>
                    </w:rPr>
                  </w:pPr>
                  <w:r>
                    <w:rPr>
                      <w:rFonts w:hint="eastAsia"/>
                      <w:color w:val="auto"/>
                      <w:kern w:val="0"/>
                      <w:highlight w:val="none"/>
                    </w:rPr>
                    <w:t>mg/L</w:t>
                  </w:r>
                </w:p>
              </w:tc>
              <w:tc>
                <w:tcPr>
                  <w:tcW w:w="376" w:type="pct"/>
                  <w:tcBorders>
                    <w:tl2br w:val="nil"/>
                    <w:tr2bl w:val="nil"/>
                  </w:tcBorders>
                  <w:vAlign w:val="center"/>
                </w:tcPr>
                <w:p w14:paraId="3D1CB062">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6</w:t>
                  </w:r>
                  <w:r>
                    <w:rPr>
                      <w:bCs/>
                      <w:color w:val="auto"/>
                      <w:szCs w:val="22"/>
                      <w:highlight w:val="none"/>
                    </w:rPr>
                    <w:t>.75</w:t>
                  </w:r>
                </w:p>
              </w:tc>
              <w:tc>
                <w:tcPr>
                  <w:tcW w:w="375" w:type="pct"/>
                  <w:tcBorders>
                    <w:tl2br w:val="nil"/>
                    <w:tr2bl w:val="nil"/>
                  </w:tcBorders>
                  <w:vAlign w:val="center"/>
                </w:tcPr>
                <w:p w14:paraId="0A63E175">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.43</w:t>
                  </w:r>
                </w:p>
              </w:tc>
              <w:tc>
                <w:tcPr>
                  <w:tcW w:w="375" w:type="pct"/>
                  <w:tcBorders>
                    <w:tl2br w:val="nil"/>
                    <w:tr2bl w:val="nil"/>
                  </w:tcBorders>
                  <w:vAlign w:val="center"/>
                </w:tcPr>
                <w:p w14:paraId="2AB51E3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6</w:t>
                  </w:r>
                  <w:r>
                    <w:rPr>
                      <w:bCs/>
                      <w:color w:val="auto"/>
                      <w:szCs w:val="22"/>
                      <w:highlight w:val="none"/>
                    </w:rPr>
                    <w:t>.39</w:t>
                  </w:r>
                </w:p>
              </w:tc>
              <w:tc>
                <w:tcPr>
                  <w:tcW w:w="378" w:type="pct"/>
                  <w:tcBorders>
                    <w:tl2br w:val="nil"/>
                    <w:tr2bl w:val="nil"/>
                  </w:tcBorders>
                  <w:vAlign w:val="center"/>
                </w:tcPr>
                <w:p w14:paraId="4C46FEFA">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7</w:t>
                  </w:r>
                  <w:r>
                    <w:rPr>
                      <w:bCs/>
                      <w:color w:val="auto"/>
                      <w:szCs w:val="22"/>
                      <w:highlight w:val="none"/>
                    </w:rPr>
                    <w:t>.25</w:t>
                  </w:r>
                </w:p>
              </w:tc>
              <w:tc>
                <w:tcPr>
                  <w:tcW w:w="572" w:type="pct"/>
                  <w:tcBorders>
                    <w:tl2br w:val="nil"/>
                    <w:tr2bl w:val="nil"/>
                  </w:tcBorders>
                  <w:vAlign w:val="center"/>
                </w:tcPr>
                <w:p w14:paraId="2A64C265">
                  <w:pPr>
                    <w:spacing w:line="0" w:lineRule="atLeast"/>
                    <w:jc w:val="center"/>
                    <w:rPr>
                      <w:rFonts w:hint="eastAsia" w:ascii="Times New Roman" w:hAnsi="Times New Roman" w:eastAsia="宋体" w:cs="Times New Roman"/>
                      <w:bCs/>
                      <w:color w:val="auto"/>
                      <w:kern w:val="2"/>
                      <w:sz w:val="18"/>
                      <w:szCs w:val="22"/>
                      <w:highlight w:val="none"/>
                      <w:lang w:val="en-US" w:eastAsia="zh-CN" w:bidi="ar-SA"/>
                    </w:rPr>
                  </w:pPr>
                  <w:r>
                    <w:rPr>
                      <w:rFonts w:hint="eastAsia"/>
                      <w:bCs/>
                      <w:color w:val="auto"/>
                      <w:szCs w:val="22"/>
                      <w:highlight w:val="none"/>
                    </w:rPr>
                    <w:t>6</w:t>
                  </w:r>
                  <w:r>
                    <w:rPr>
                      <w:bCs/>
                      <w:color w:val="auto"/>
                      <w:szCs w:val="22"/>
                      <w:highlight w:val="none"/>
                    </w:rPr>
                    <w:t>.96</w:t>
                  </w:r>
                </w:p>
              </w:tc>
              <w:tc>
                <w:tcPr>
                  <w:tcW w:w="311" w:type="pct"/>
                  <w:tcBorders>
                    <w:tl2br w:val="nil"/>
                    <w:tr2bl w:val="nil"/>
                  </w:tcBorders>
                  <w:vAlign w:val="center"/>
                </w:tcPr>
                <w:p w14:paraId="198ED699">
                  <w:pPr>
                    <w:keepNext w:val="0"/>
                    <w:keepLines w:val="0"/>
                    <w:pageBreakBefore w:val="0"/>
                    <w:kinsoku/>
                    <w:wordWrap/>
                    <w:overflowPunct/>
                    <w:topLinePunct w:val="0"/>
                    <w:autoSpaceDE/>
                    <w:autoSpaceDN/>
                    <w:bidi w:val="0"/>
                    <w:adjustRightInd w:val="0"/>
                    <w:snapToGrid w:val="0"/>
                    <w:spacing w:line="240" w:lineRule="auto"/>
                    <w:jc w:val="center"/>
                    <w:textAlignment w:val="auto"/>
                    <w:rPr>
                      <w:color w:val="auto"/>
                      <w:kern w:val="0"/>
                      <w:highlight w:val="none"/>
                    </w:rPr>
                  </w:pPr>
                  <w:r>
                    <w:rPr>
                      <w:rFonts w:hint="eastAsia"/>
                      <w:color w:val="auto"/>
                      <w:sz w:val="18"/>
                      <w:szCs w:val="18"/>
                      <w:highlight w:val="none"/>
                      <w:lang w:val="en-US" w:eastAsia="zh-CN"/>
                    </w:rPr>
                    <w:t>100</w:t>
                  </w:r>
                </w:p>
              </w:tc>
              <w:tc>
                <w:tcPr>
                  <w:tcW w:w="349" w:type="pct"/>
                  <w:tcBorders>
                    <w:tl2br w:val="nil"/>
                    <w:tr2bl w:val="nil"/>
                  </w:tcBorders>
                  <w:vAlign w:val="center"/>
                </w:tcPr>
                <w:p w14:paraId="41F66B82">
                  <w:pPr>
                    <w:jc w:val="center"/>
                    <w:rPr>
                      <w:color w:val="auto"/>
                      <w:kern w:val="0"/>
                      <w:highlight w:val="none"/>
                    </w:rPr>
                  </w:pPr>
                  <w:r>
                    <w:rPr>
                      <w:rFonts w:hint="eastAsia"/>
                      <w:color w:val="auto"/>
                      <w:kern w:val="0"/>
                      <w:highlight w:val="none"/>
                    </w:rPr>
                    <w:t>达标</w:t>
                  </w:r>
                </w:p>
              </w:tc>
            </w:tr>
          </w:tbl>
          <w:p w14:paraId="1FB29D67">
            <w:pPr>
              <w:adjustRightInd/>
              <w:snapToGrid/>
              <w:spacing w:line="360" w:lineRule="auto"/>
              <w:ind w:firstLine="480" w:firstLineChars="200"/>
              <w:rPr>
                <w:rFonts w:hint="eastAsia"/>
                <w:color w:val="auto"/>
                <w:sz w:val="24"/>
                <w:szCs w:val="24"/>
                <w:highlight w:val="none"/>
              </w:rPr>
            </w:pPr>
            <w:r>
              <w:rPr>
                <w:rFonts w:hint="eastAsia"/>
                <w:color w:val="auto"/>
                <w:sz w:val="24"/>
                <w:szCs w:val="24"/>
                <w:highlight w:val="none"/>
              </w:rPr>
              <w:t>由上表可知，</w:t>
            </w:r>
            <w:r>
              <w:rPr>
                <w:rFonts w:hint="eastAsia"/>
                <w:color w:val="auto"/>
                <w:sz w:val="24"/>
                <w:szCs w:val="24"/>
                <w:highlight w:val="none"/>
                <w:lang w:eastAsia="zh-CN"/>
              </w:rPr>
              <w:t>续建工程所在厂区</w:t>
            </w:r>
            <w:r>
              <w:rPr>
                <w:rFonts w:hint="eastAsia"/>
                <w:color w:val="auto"/>
                <w:sz w:val="24"/>
                <w:szCs w:val="24"/>
                <w:highlight w:val="none"/>
              </w:rPr>
              <w:t>化粪池出口废水中pH值、化学需氧量、五日生化需氧量、悬浮物、动植物油排放浓度均满足《污水综合排放标准》（GB8978-1996）表4三级标准要求，氨氮排放浓度满足《污水排入城镇下水道水质标准》（GB/T31962-2015）表1中B级标准。</w:t>
            </w:r>
          </w:p>
          <w:p w14:paraId="2C5955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lang w:val="en-US" w:eastAsia="zh-CN"/>
              </w:rPr>
            </w:pPr>
            <w:r>
              <w:rPr>
                <w:rFonts w:hint="eastAsia" w:ascii="Times New Roman" w:hAnsi="Times New Roman" w:eastAsia="黑体" w:cs="Times New Roman"/>
                <w:bCs/>
                <w:color w:val="auto"/>
                <w:sz w:val="24"/>
                <w:szCs w:val="24"/>
                <w:highlight w:val="none"/>
              </w:rPr>
              <w:t>7.2.</w:t>
            </w:r>
            <w:r>
              <w:rPr>
                <w:rFonts w:hint="eastAsia" w:ascii="Times New Roman" w:hAnsi="Times New Roman" w:eastAsia="黑体" w:cs="Times New Roman"/>
                <w:bCs/>
                <w:color w:val="auto"/>
                <w:sz w:val="24"/>
                <w:szCs w:val="24"/>
                <w:highlight w:val="none"/>
                <w:lang w:val="en-US" w:eastAsia="zh-CN"/>
              </w:rPr>
              <w:t>2长山口生活垃圾卫生填埋场渗滤液污水处理站监测结果</w:t>
            </w:r>
          </w:p>
          <w:p w14:paraId="2CDA2A03">
            <w:pPr>
              <w:adjustRightInd/>
              <w:snapToGrid/>
              <w:spacing w:line="360" w:lineRule="auto"/>
              <w:ind w:firstLine="480" w:firstLineChars="200"/>
              <w:rPr>
                <w:rFonts w:hint="eastAsia" w:ascii="Times New Roman" w:hAnsi="Times New Roman" w:eastAsia="宋体" w:cs="Times New Roman"/>
                <w:b w:val="0"/>
                <w:bCs w:val="0"/>
                <w:color w:val="auto"/>
                <w:sz w:val="24"/>
                <w:highlight w:val="none"/>
                <w:lang w:eastAsia="zh-CN"/>
              </w:rPr>
            </w:pPr>
            <w:r>
              <w:rPr>
                <w:rFonts w:hint="eastAsia" w:cs="Times New Roman"/>
                <w:b w:val="0"/>
                <w:bCs w:val="0"/>
                <w:color w:val="auto"/>
                <w:sz w:val="24"/>
                <w:highlight w:val="none"/>
                <w:lang w:eastAsia="zh-CN"/>
              </w:rPr>
              <w:t>（</w:t>
            </w:r>
            <w:r>
              <w:rPr>
                <w:rFonts w:hint="eastAsia" w:cs="Times New Roman"/>
                <w:b w:val="0"/>
                <w:bCs w:val="0"/>
                <w:color w:val="auto"/>
                <w:sz w:val="24"/>
                <w:highlight w:val="none"/>
                <w:lang w:val="en-US" w:eastAsia="zh-CN"/>
              </w:rPr>
              <w:t>1</w:t>
            </w:r>
            <w:r>
              <w:rPr>
                <w:rFonts w:hint="eastAsia" w:cs="Times New Roman"/>
                <w:b w:val="0"/>
                <w:bCs w:val="0"/>
                <w:color w:val="auto"/>
                <w:sz w:val="24"/>
                <w:highlight w:val="none"/>
                <w:lang w:eastAsia="zh-CN"/>
              </w:rPr>
              <w:t>）验收监测结果</w:t>
            </w:r>
          </w:p>
          <w:p w14:paraId="3F2C228D">
            <w:pPr>
              <w:adjustRightInd/>
              <w:snapToGrid/>
              <w:spacing w:line="360" w:lineRule="auto"/>
              <w:ind w:firstLine="480" w:firstLineChars="200"/>
              <w:rPr>
                <w:rFonts w:hint="eastAsia"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本次验收委托</w:t>
            </w:r>
            <w:r>
              <w:rPr>
                <w:rFonts w:hint="eastAsia"/>
                <w:bCs/>
                <w:sz w:val="24"/>
                <w:szCs w:val="24"/>
                <w:highlight w:val="none"/>
              </w:rPr>
              <w:t>湖北跃华检测有限公司</w:t>
            </w:r>
            <w:r>
              <w:rPr>
                <w:rFonts w:hint="eastAsia"/>
                <w:bCs/>
                <w:sz w:val="24"/>
                <w:szCs w:val="24"/>
                <w:highlight w:val="none"/>
                <w:lang w:eastAsia="zh-CN"/>
              </w:rPr>
              <w:t>于2024年12月10日~2024年12月11日对长山口生活垃圾卫生填埋场渗滤液污水处理站尾水出口进行了监测，其监测数据详见下表。</w:t>
            </w:r>
          </w:p>
          <w:p w14:paraId="7B62AD5C">
            <w:pPr>
              <w:pStyle w:val="121"/>
              <w:adjustRightInd/>
              <w:snapToGrid/>
              <w:rPr>
                <w:rFonts w:hint="eastAsia" w:ascii="Times New Roman" w:hAnsi="Times New Roman" w:cs="Times New Roman"/>
                <w:color w:val="auto"/>
                <w:sz w:val="21"/>
                <w:highlight w:val="none"/>
                <w:lang w:eastAsia="zh-CN"/>
              </w:rPr>
            </w:pPr>
            <w:r>
              <w:rPr>
                <w:rFonts w:hint="eastAsia" w:ascii="Times New Roman" w:hAnsi="Times New Roman" w:cs="Times New Roman"/>
                <w:color w:val="auto"/>
                <w:sz w:val="21"/>
                <w:highlight w:val="none"/>
                <w:lang w:val="en-US" w:eastAsia="zh-CN"/>
              </w:rPr>
              <w:t>验收期间长山口生活垃圾卫生填埋场渗滤液污水处理站出口监测结果一览表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859"/>
              <w:gridCol w:w="1093"/>
              <w:gridCol w:w="1847"/>
              <w:gridCol w:w="875"/>
              <w:gridCol w:w="875"/>
              <w:gridCol w:w="875"/>
              <w:gridCol w:w="875"/>
              <w:gridCol w:w="893"/>
              <w:gridCol w:w="878"/>
            </w:tblGrid>
            <w:tr w14:paraId="718333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74" w:type="pct"/>
                  <w:vMerge w:val="restart"/>
                  <w:vAlign w:val="center"/>
                </w:tcPr>
                <w:p w14:paraId="1982E442">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检测点位</w:t>
                  </w:r>
                </w:p>
              </w:tc>
              <w:tc>
                <w:tcPr>
                  <w:tcW w:w="603" w:type="pct"/>
                  <w:vMerge w:val="restart"/>
                  <w:vAlign w:val="center"/>
                </w:tcPr>
                <w:p w14:paraId="71D6A41C">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采样日期</w:t>
                  </w:r>
                </w:p>
              </w:tc>
              <w:tc>
                <w:tcPr>
                  <w:tcW w:w="1018" w:type="pct"/>
                  <w:vMerge w:val="restart"/>
                  <w:vAlign w:val="center"/>
                </w:tcPr>
                <w:p w14:paraId="0F001114">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检测项目</w:t>
                  </w:r>
                </w:p>
              </w:tc>
              <w:tc>
                <w:tcPr>
                  <w:tcW w:w="2420" w:type="pct"/>
                  <w:gridSpan w:val="5"/>
                  <w:vAlign w:val="center"/>
                </w:tcPr>
                <w:p w14:paraId="55E32092">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检测结果</w:t>
                  </w:r>
                </w:p>
              </w:tc>
              <w:tc>
                <w:tcPr>
                  <w:tcW w:w="484" w:type="pct"/>
                  <w:vMerge w:val="restart"/>
                  <w:vAlign w:val="center"/>
                </w:tcPr>
                <w:p w14:paraId="4DB559DE">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标准</w:t>
                  </w:r>
                </w:p>
                <w:p w14:paraId="71A38F76">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限值</w:t>
                  </w:r>
                </w:p>
              </w:tc>
            </w:tr>
            <w:tr w14:paraId="0D0BC6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74" w:type="pct"/>
                  <w:vMerge w:val="continue"/>
                  <w:tcBorders>
                    <w:bottom w:val="single" w:color="auto" w:sz="12" w:space="0"/>
                  </w:tcBorders>
                  <w:vAlign w:val="center"/>
                </w:tcPr>
                <w:p w14:paraId="0422992E">
                  <w:pPr>
                    <w:jc w:val="center"/>
                    <w:rPr>
                      <w:rFonts w:hint="eastAsia" w:ascii="Times New Roman" w:hAnsi="Times New Roman" w:eastAsia="宋体" w:cs="Times New Roman"/>
                      <w:b/>
                      <w:bCs/>
                      <w:color w:val="auto"/>
                      <w:kern w:val="0"/>
                      <w:highlight w:val="none"/>
                    </w:rPr>
                  </w:pPr>
                </w:p>
              </w:tc>
              <w:tc>
                <w:tcPr>
                  <w:tcW w:w="603" w:type="pct"/>
                  <w:vMerge w:val="continue"/>
                  <w:tcBorders>
                    <w:bottom w:val="single" w:color="auto" w:sz="12" w:space="0"/>
                  </w:tcBorders>
                  <w:vAlign w:val="center"/>
                </w:tcPr>
                <w:p w14:paraId="1137787F">
                  <w:pPr>
                    <w:jc w:val="center"/>
                    <w:rPr>
                      <w:rFonts w:hint="eastAsia" w:ascii="Times New Roman" w:hAnsi="Times New Roman" w:eastAsia="宋体" w:cs="Times New Roman"/>
                      <w:b/>
                      <w:bCs/>
                      <w:color w:val="auto"/>
                      <w:kern w:val="0"/>
                      <w:highlight w:val="none"/>
                    </w:rPr>
                  </w:pPr>
                </w:p>
              </w:tc>
              <w:tc>
                <w:tcPr>
                  <w:tcW w:w="1018" w:type="pct"/>
                  <w:vMerge w:val="continue"/>
                  <w:tcBorders>
                    <w:bottom w:val="single" w:color="auto" w:sz="12" w:space="0"/>
                  </w:tcBorders>
                  <w:vAlign w:val="center"/>
                </w:tcPr>
                <w:p w14:paraId="0AE85A3C">
                  <w:pPr>
                    <w:jc w:val="center"/>
                    <w:rPr>
                      <w:rFonts w:hint="eastAsia" w:ascii="Times New Roman" w:hAnsi="Times New Roman" w:eastAsia="宋体" w:cs="Times New Roman"/>
                      <w:b/>
                      <w:bCs/>
                      <w:color w:val="auto"/>
                      <w:kern w:val="0"/>
                      <w:highlight w:val="none"/>
                    </w:rPr>
                  </w:pPr>
                </w:p>
              </w:tc>
              <w:tc>
                <w:tcPr>
                  <w:tcW w:w="482" w:type="pct"/>
                  <w:tcBorders>
                    <w:bottom w:val="single" w:color="auto" w:sz="12" w:space="0"/>
                  </w:tcBorders>
                  <w:tcMar>
                    <w:top w:w="0" w:type="dxa"/>
                    <w:left w:w="0" w:type="dxa"/>
                    <w:bottom w:w="0" w:type="dxa"/>
                    <w:right w:w="0" w:type="dxa"/>
                  </w:tcMar>
                  <w:vAlign w:val="center"/>
                </w:tcPr>
                <w:p w14:paraId="3F9F6923">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第1次</w:t>
                  </w:r>
                </w:p>
              </w:tc>
              <w:tc>
                <w:tcPr>
                  <w:tcW w:w="482" w:type="pct"/>
                  <w:tcBorders>
                    <w:bottom w:val="single" w:color="auto" w:sz="12" w:space="0"/>
                  </w:tcBorders>
                  <w:vAlign w:val="center"/>
                </w:tcPr>
                <w:p w14:paraId="42142198">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第2次</w:t>
                  </w:r>
                </w:p>
              </w:tc>
              <w:tc>
                <w:tcPr>
                  <w:tcW w:w="482" w:type="pct"/>
                  <w:tcBorders>
                    <w:bottom w:val="single" w:color="auto" w:sz="12" w:space="0"/>
                  </w:tcBorders>
                  <w:vAlign w:val="center"/>
                </w:tcPr>
                <w:p w14:paraId="34E33D55">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第3次</w:t>
                  </w:r>
                </w:p>
              </w:tc>
              <w:tc>
                <w:tcPr>
                  <w:tcW w:w="482" w:type="pct"/>
                  <w:tcBorders>
                    <w:bottom w:val="single" w:color="auto" w:sz="12" w:space="0"/>
                  </w:tcBorders>
                  <w:vAlign w:val="center"/>
                </w:tcPr>
                <w:p w14:paraId="0F44DAE4">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第4次</w:t>
                  </w:r>
                </w:p>
              </w:tc>
              <w:tc>
                <w:tcPr>
                  <w:tcW w:w="488" w:type="pct"/>
                  <w:tcBorders>
                    <w:bottom w:val="single" w:color="auto" w:sz="12" w:space="0"/>
                  </w:tcBorders>
                  <w:vAlign w:val="center"/>
                </w:tcPr>
                <w:p w14:paraId="1A2D2715">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平均值</w:t>
                  </w:r>
                </w:p>
                <w:p w14:paraId="6A947362">
                  <w:pPr>
                    <w:jc w:val="center"/>
                    <w:rPr>
                      <w:rFonts w:hint="eastAsia" w:ascii="Times New Roman" w:hAnsi="Times New Roman" w:eastAsia="宋体" w:cs="Times New Roman"/>
                      <w:b/>
                      <w:bCs/>
                      <w:color w:val="auto"/>
                      <w:kern w:val="0"/>
                      <w:highlight w:val="none"/>
                    </w:rPr>
                  </w:pPr>
                  <w:r>
                    <w:rPr>
                      <w:rFonts w:hint="eastAsia" w:ascii="Times New Roman" w:hAnsi="Times New Roman" w:eastAsia="宋体" w:cs="Times New Roman"/>
                      <w:b/>
                      <w:bCs/>
                      <w:color w:val="auto"/>
                      <w:kern w:val="0"/>
                      <w:highlight w:val="none"/>
                    </w:rPr>
                    <w:t>或范围</w:t>
                  </w:r>
                </w:p>
              </w:tc>
              <w:tc>
                <w:tcPr>
                  <w:tcW w:w="484" w:type="pct"/>
                  <w:vMerge w:val="continue"/>
                  <w:tcBorders>
                    <w:bottom w:val="single" w:color="auto" w:sz="12" w:space="0"/>
                  </w:tcBorders>
                  <w:vAlign w:val="center"/>
                </w:tcPr>
                <w:p w14:paraId="02667AAD">
                  <w:pPr>
                    <w:jc w:val="center"/>
                    <w:rPr>
                      <w:rFonts w:hint="eastAsia" w:ascii="Times New Roman" w:hAnsi="Times New Roman" w:eastAsia="宋体" w:cs="Times New Roman"/>
                      <w:b/>
                      <w:bCs/>
                      <w:color w:val="auto"/>
                      <w:kern w:val="0"/>
                      <w:highlight w:val="none"/>
                    </w:rPr>
                  </w:pPr>
                </w:p>
              </w:tc>
            </w:tr>
            <w:tr w14:paraId="6C268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restart"/>
                  <w:tcBorders>
                    <w:top w:val="single" w:color="auto" w:sz="12" w:space="0"/>
                    <w:tl2br w:val="nil"/>
                    <w:tr2bl w:val="nil"/>
                  </w:tcBorders>
                  <w:vAlign w:val="center"/>
                </w:tcPr>
                <w:p w14:paraId="78769412">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废水总排口★FS1</w:t>
                  </w:r>
                </w:p>
              </w:tc>
              <w:tc>
                <w:tcPr>
                  <w:tcW w:w="603" w:type="pct"/>
                  <w:vMerge w:val="restart"/>
                  <w:tcBorders>
                    <w:top w:val="single" w:color="auto" w:sz="12" w:space="0"/>
                    <w:tl2br w:val="nil"/>
                    <w:tr2bl w:val="nil"/>
                  </w:tcBorders>
                  <w:vAlign w:val="center"/>
                </w:tcPr>
                <w:p w14:paraId="5ECDCD0B">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2024.12.10</w:t>
                  </w:r>
                </w:p>
              </w:tc>
              <w:tc>
                <w:tcPr>
                  <w:tcW w:w="1018" w:type="pct"/>
                  <w:tcBorders>
                    <w:top w:val="single" w:color="auto" w:sz="12" w:space="0"/>
                    <w:tl2br w:val="nil"/>
                    <w:tr2bl w:val="nil"/>
                  </w:tcBorders>
                  <w:vAlign w:val="center"/>
                </w:tcPr>
                <w:p w14:paraId="0D02DDAC">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pH（无量纲）</w:t>
                  </w:r>
                </w:p>
              </w:tc>
              <w:tc>
                <w:tcPr>
                  <w:tcW w:w="482" w:type="pct"/>
                  <w:tcBorders>
                    <w:top w:val="single" w:color="auto" w:sz="12" w:space="0"/>
                    <w:tl2br w:val="nil"/>
                    <w:tr2bl w:val="nil"/>
                  </w:tcBorders>
                  <w:vAlign w:val="center"/>
                </w:tcPr>
                <w:p w14:paraId="4DAECF4D">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w:t>
                  </w:r>
                </w:p>
              </w:tc>
              <w:tc>
                <w:tcPr>
                  <w:tcW w:w="482" w:type="pct"/>
                  <w:tcBorders>
                    <w:top w:val="single" w:color="auto" w:sz="12" w:space="0"/>
                    <w:tl2br w:val="nil"/>
                    <w:tr2bl w:val="nil"/>
                  </w:tcBorders>
                  <w:vAlign w:val="center"/>
                </w:tcPr>
                <w:p w14:paraId="3683500D">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7.3</w:t>
                  </w:r>
                </w:p>
              </w:tc>
              <w:tc>
                <w:tcPr>
                  <w:tcW w:w="482" w:type="pct"/>
                  <w:tcBorders>
                    <w:top w:val="single" w:color="auto" w:sz="12" w:space="0"/>
                    <w:tl2br w:val="nil"/>
                    <w:tr2bl w:val="nil"/>
                  </w:tcBorders>
                  <w:vAlign w:val="center"/>
                </w:tcPr>
                <w:p w14:paraId="53AE63E0">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w:t>
                  </w:r>
                </w:p>
              </w:tc>
              <w:tc>
                <w:tcPr>
                  <w:tcW w:w="482" w:type="pct"/>
                  <w:tcBorders>
                    <w:top w:val="single" w:color="auto" w:sz="12" w:space="0"/>
                    <w:tl2br w:val="nil"/>
                    <w:tr2bl w:val="nil"/>
                  </w:tcBorders>
                  <w:vAlign w:val="center"/>
                </w:tcPr>
                <w:p w14:paraId="4673FD2D">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7.4</w:t>
                  </w:r>
                </w:p>
              </w:tc>
              <w:tc>
                <w:tcPr>
                  <w:tcW w:w="488" w:type="pct"/>
                  <w:tcBorders>
                    <w:top w:val="single" w:color="auto" w:sz="12" w:space="0"/>
                    <w:tl2br w:val="nil"/>
                    <w:tr2bl w:val="nil"/>
                  </w:tcBorders>
                  <w:vAlign w:val="center"/>
                </w:tcPr>
                <w:p w14:paraId="1F9BB60B">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7.3~7.5</w:t>
                  </w:r>
                </w:p>
              </w:tc>
              <w:tc>
                <w:tcPr>
                  <w:tcW w:w="484" w:type="pct"/>
                  <w:tcBorders>
                    <w:top w:val="single" w:color="auto" w:sz="12" w:space="0"/>
                    <w:tl2br w:val="nil"/>
                    <w:tr2bl w:val="nil"/>
                  </w:tcBorders>
                  <w:vAlign w:val="center"/>
                </w:tcPr>
                <w:p w14:paraId="4CF1CABE">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6~9</w:t>
                  </w:r>
                </w:p>
              </w:tc>
            </w:tr>
            <w:tr w14:paraId="5063F8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132ADA56">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vAlign w:val="center"/>
                </w:tcPr>
                <w:p w14:paraId="60B881E0">
                  <w:pPr>
                    <w:jc w:val="center"/>
                    <w:rPr>
                      <w:rFonts w:hint="eastAsia" w:ascii="Times New Roman" w:hAnsi="Times New Roman" w:eastAsia="宋体" w:cs="Times New Roman"/>
                      <w:color w:val="auto"/>
                      <w:kern w:val="0"/>
                      <w:highlight w:val="none"/>
                    </w:rPr>
                  </w:pPr>
                </w:p>
              </w:tc>
              <w:tc>
                <w:tcPr>
                  <w:tcW w:w="1018" w:type="pct"/>
                  <w:tcBorders>
                    <w:tl2br w:val="nil"/>
                    <w:tr2bl w:val="nil"/>
                  </w:tcBorders>
                  <w:vAlign w:val="center"/>
                </w:tcPr>
                <w:p w14:paraId="20714122">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动植物油（mg/L）</w:t>
                  </w:r>
                </w:p>
              </w:tc>
              <w:tc>
                <w:tcPr>
                  <w:tcW w:w="482" w:type="pct"/>
                  <w:tcBorders>
                    <w:tl2br w:val="nil"/>
                    <w:tr2bl w:val="nil"/>
                  </w:tcBorders>
                  <w:vAlign w:val="center"/>
                </w:tcPr>
                <w:p w14:paraId="21114020">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vAlign w:val="center"/>
                </w:tcPr>
                <w:p w14:paraId="3D91E8B9">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vAlign w:val="center"/>
                </w:tcPr>
                <w:p w14:paraId="4291B78F">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vAlign w:val="center"/>
                </w:tcPr>
                <w:p w14:paraId="4696F545">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8" w:type="pct"/>
                  <w:tcBorders>
                    <w:tl2br w:val="nil"/>
                    <w:tr2bl w:val="nil"/>
                  </w:tcBorders>
                  <w:vAlign w:val="center"/>
                </w:tcPr>
                <w:p w14:paraId="34EF8D19">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4" w:type="pct"/>
                  <w:tcBorders>
                    <w:tl2br w:val="nil"/>
                    <w:tr2bl w:val="nil"/>
                  </w:tcBorders>
                  <w:vAlign w:val="center"/>
                </w:tcPr>
                <w:p w14:paraId="2F77EB5A">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w:t>
                  </w:r>
                </w:p>
              </w:tc>
            </w:tr>
            <w:tr w14:paraId="7895EB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5D8883CA">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vAlign w:val="center"/>
                </w:tcPr>
                <w:p w14:paraId="7D2B2797">
                  <w:pPr>
                    <w:jc w:val="center"/>
                    <w:rPr>
                      <w:rFonts w:hint="eastAsia" w:ascii="Times New Roman" w:hAnsi="Times New Roman" w:eastAsia="宋体" w:cs="Times New Roman"/>
                      <w:color w:val="auto"/>
                      <w:kern w:val="0"/>
                      <w:highlight w:val="none"/>
                    </w:rPr>
                  </w:pPr>
                </w:p>
              </w:tc>
              <w:tc>
                <w:tcPr>
                  <w:tcW w:w="1018" w:type="pct"/>
                  <w:tcBorders>
                    <w:tl2br w:val="nil"/>
                    <w:tr2bl w:val="nil"/>
                  </w:tcBorders>
                  <w:vAlign w:val="center"/>
                </w:tcPr>
                <w:p w14:paraId="149DCD12">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氨氮（mg/L）</w:t>
                  </w:r>
                </w:p>
              </w:tc>
              <w:tc>
                <w:tcPr>
                  <w:tcW w:w="482" w:type="pct"/>
                  <w:tcBorders>
                    <w:tl2br w:val="nil"/>
                    <w:tr2bl w:val="nil"/>
                  </w:tcBorders>
                  <w:vAlign w:val="center"/>
                </w:tcPr>
                <w:p w14:paraId="3BFEE752">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0.041</w:t>
                  </w:r>
                </w:p>
              </w:tc>
              <w:tc>
                <w:tcPr>
                  <w:tcW w:w="482" w:type="pct"/>
                  <w:tcBorders>
                    <w:tl2br w:val="nil"/>
                    <w:tr2bl w:val="nil"/>
                  </w:tcBorders>
                  <w:shd w:val="clear" w:color="auto" w:fill="auto"/>
                  <w:vAlign w:val="center"/>
                </w:tcPr>
                <w:p w14:paraId="11923BBE">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0.036</w:t>
                  </w:r>
                </w:p>
              </w:tc>
              <w:tc>
                <w:tcPr>
                  <w:tcW w:w="482" w:type="pct"/>
                  <w:tcBorders>
                    <w:tl2br w:val="nil"/>
                    <w:tr2bl w:val="nil"/>
                  </w:tcBorders>
                  <w:shd w:val="clear" w:color="auto" w:fill="auto"/>
                  <w:vAlign w:val="center"/>
                </w:tcPr>
                <w:p w14:paraId="46B365F8">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0.033</w:t>
                  </w:r>
                </w:p>
              </w:tc>
              <w:tc>
                <w:tcPr>
                  <w:tcW w:w="482" w:type="pct"/>
                  <w:tcBorders>
                    <w:tl2br w:val="nil"/>
                    <w:tr2bl w:val="nil"/>
                  </w:tcBorders>
                  <w:vAlign w:val="center"/>
                </w:tcPr>
                <w:p w14:paraId="1B2C8C83">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0.036</w:t>
                  </w:r>
                </w:p>
              </w:tc>
              <w:tc>
                <w:tcPr>
                  <w:tcW w:w="488" w:type="pct"/>
                  <w:tcBorders>
                    <w:tl2br w:val="nil"/>
                    <w:tr2bl w:val="nil"/>
                  </w:tcBorders>
                  <w:vAlign w:val="center"/>
                </w:tcPr>
                <w:p w14:paraId="15E2FE63">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0.036</w:t>
                  </w:r>
                </w:p>
              </w:tc>
              <w:tc>
                <w:tcPr>
                  <w:tcW w:w="484" w:type="pct"/>
                  <w:tcBorders>
                    <w:tl2br w:val="nil"/>
                    <w:tr2bl w:val="nil"/>
                  </w:tcBorders>
                  <w:vAlign w:val="center"/>
                </w:tcPr>
                <w:p w14:paraId="023CDA67">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25</w:t>
                  </w:r>
                </w:p>
              </w:tc>
            </w:tr>
            <w:tr w14:paraId="429BC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19D7E9C8">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vAlign w:val="center"/>
                </w:tcPr>
                <w:p w14:paraId="2B52A318">
                  <w:pPr>
                    <w:jc w:val="center"/>
                    <w:rPr>
                      <w:rFonts w:hint="eastAsia" w:ascii="Times New Roman" w:hAnsi="Times New Roman" w:eastAsia="宋体" w:cs="Times New Roman"/>
                      <w:color w:val="auto"/>
                      <w:kern w:val="0"/>
                      <w:highlight w:val="none"/>
                    </w:rPr>
                  </w:pPr>
                </w:p>
              </w:tc>
              <w:tc>
                <w:tcPr>
                  <w:tcW w:w="1018" w:type="pct"/>
                  <w:tcBorders>
                    <w:tl2br w:val="nil"/>
                    <w:tr2bl w:val="nil"/>
                  </w:tcBorders>
                  <w:vAlign w:val="center"/>
                </w:tcPr>
                <w:p w14:paraId="7FF9B93A">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悬浮物（mg/L）</w:t>
                  </w:r>
                </w:p>
              </w:tc>
              <w:tc>
                <w:tcPr>
                  <w:tcW w:w="482" w:type="pct"/>
                  <w:tcBorders>
                    <w:tl2br w:val="nil"/>
                    <w:tr2bl w:val="nil"/>
                  </w:tcBorders>
                  <w:vAlign w:val="center"/>
                </w:tcPr>
                <w:p w14:paraId="71827522">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6</w:t>
                  </w:r>
                </w:p>
              </w:tc>
              <w:tc>
                <w:tcPr>
                  <w:tcW w:w="482" w:type="pct"/>
                  <w:tcBorders>
                    <w:tl2br w:val="nil"/>
                    <w:tr2bl w:val="nil"/>
                  </w:tcBorders>
                  <w:vAlign w:val="center"/>
                </w:tcPr>
                <w:p w14:paraId="24926352">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2" w:type="pct"/>
                  <w:tcBorders>
                    <w:tl2br w:val="nil"/>
                    <w:tr2bl w:val="nil"/>
                  </w:tcBorders>
                  <w:vAlign w:val="center"/>
                </w:tcPr>
                <w:p w14:paraId="1C44683C">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w:t>
                  </w:r>
                </w:p>
              </w:tc>
              <w:tc>
                <w:tcPr>
                  <w:tcW w:w="482" w:type="pct"/>
                  <w:tcBorders>
                    <w:tl2br w:val="nil"/>
                    <w:tr2bl w:val="nil"/>
                  </w:tcBorders>
                  <w:vAlign w:val="center"/>
                </w:tcPr>
                <w:p w14:paraId="664AB31B">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9</w:t>
                  </w:r>
                </w:p>
              </w:tc>
              <w:tc>
                <w:tcPr>
                  <w:tcW w:w="488" w:type="pct"/>
                  <w:tcBorders>
                    <w:tl2br w:val="nil"/>
                    <w:tr2bl w:val="nil"/>
                  </w:tcBorders>
                  <w:vAlign w:val="center"/>
                </w:tcPr>
                <w:p w14:paraId="1698328C">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4" w:type="pct"/>
                  <w:tcBorders>
                    <w:tl2br w:val="nil"/>
                    <w:tr2bl w:val="nil"/>
                  </w:tcBorders>
                  <w:vAlign w:val="center"/>
                </w:tcPr>
                <w:p w14:paraId="3090FB68">
                  <w:pPr>
                    <w:tabs>
                      <w:tab w:val="left" w:pos="245"/>
                      <w:tab w:val="center" w:pos="471"/>
                    </w:tabs>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30</w:t>
                  </w:r>
                </w:p>
              </w:tc>
            </w:tr>
            <w:tr w14:paraId="6B3359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3342C86A">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6F5A16C8">
                  <w:pPr>
                    <w:jc w:val="center"/>
                    <w:rPr>
                      <w:rFonts w:hint="eastAsia" w:ascii="Times New Roman" w:hAnsi="Times New Roman" w:eastAsia="宋体" w:cs="Times New Roman"/>
                      <w:color w:val="auto"/>
                      <w:kern w:val="0"/>
                      <w:highlight w:val="none"/>
                    </w:rPr>
                  </w:pPr>
                </w:p>
              </w:tc>
              <w:tc>
                <w:tcPr>
                  <w:tcW w:w="1018" w:type="pct"/>
                  <w:tcBorders>
                    <w:tl2br w:val="nil"/>
                    <w:tr2bl w:val="nil"/>
                  </w:tcBorders>
                  <w:tcMar>
                    <w:top w:w="0" w:type="dxa"/>
                    <w:left w:w="0" w:type="dxa"/>
                    <w:bottom w:w="0" w:type="dxa"/>
                    <w:right w:w="0" w:type="dxa"/>
                  </w:tcMar>
                  <w:vAlign w:val="center"/>
                </w:tcPr>
                <w:p w14:paraId="009ED771">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五日生化需氧量（mg/L）</w:t>
                  </w:r>
                </w:p>
              </w:tc>
              <w:tc>
                <w:tcPr>
                  <w:tcW w:w="482" w:type="pct"/>
                  <w:tcBorders>
                    <w:tl2br w:val="nil"/>
                    <w:tr2bl w:val="nil"/>
                  </w:tcBorders>
                  <w:tcMar>
                    <w:top w:w="0" w:type="dxa"/>
                    <w:left w:w="0" w:type="dxa"/>
                    <w:bottom w:w="0" w:type="dxa"/>
                    <w:right w:w="0" w:type="dxa"/>
                  </w:tcMar>
                  <w:vAlign w:val="center"/>
                </w:tcPr>
                <w:p w14:paraId="39661172">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3.0</w:t>
                  </w:r>
                </w:p>
              </w:tc>
              <w:tc>
                <w:tcPr>
                  <w:tcW w:w="482" w:type="pct"/>
                  <w:tcBorders>
                    <w:tl2br w:val="nil"/>
                    <w:tr2bl w:val="nil"/>
                  </w:tcBorders>
                  <w:tcMar>
                    <w:top w:w="0" w:type="dxa"/>
                    <w:left w:w="0" w:type="dxa"/>
                    <w:bottom w:w="0" w:type="dxa"/>
                    <w:right w:w="0" w:type="dxa"/>
                  </w:tcMar>
                  <w:vAlign w:val="center"/>
                </w:tcPr>
                <w:p w14:paraId="05A8AAC5">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3.0</w:t>
                  </w:r>
                </w:p>
              </w:tc>
              <w:tc>
                <w:tcPr>
                  <w:tcW w:w="482" w:type="pct"/>
                  <w:tcBorders>
                    <w:tl2br w:val="nil"/>
                    <w:tr2bl w:val="nil"/>
                  </w:tcBorders>
                  <w:tcMar>
                    <w:top w:w="0" w:type="dxa"/>
                    <w:left w:w="0" w:type="dxa"/>
                    <w:bottom w:w="0" w:type="dxa"/>
                    <w:right w:w="0" w:type="dxa"/>
                  </w:tcMar>
                  <w:vAlign w:val="center"/>
                </w:tcPr>
                <w:p w14:paraId="27EADA51">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2.7</w:t>
                  </w:r>
                </w:p>
              </w:tc>
              <w:tc>
                <w:tcPr>
                  <w:tcW w:w="482" w:type="pct"/>
                  <w:tcBorders>
                    <w:tl2br w:val="nil"/>
                    <w:tr2bl w:val="nil"/>
                  </w:tcBorders>
                  <w:vAlign w:val="center"/>
                </w:tcPr>
                <w:p w14:paraId="51553875">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2.6</w:t>
                  </w:r>
                </w:p>
              </w:tc>
              <w:tc>
                <w:tcPr>
                  <w:tcW w:w="488" w:type="pct"/>
                  <w:tcBorders>
                    <w:tl2br w:val="nil"/>
                    <w:tr2bl w:val="nil"/>
                  </w:tcBorders>
                  <w:vAlign w:val="center"/>
                </w:tcPr>
                <w:p w14:paraId="69ABDDDF">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2.8</w:t>
                  </w:r>
                </w:p>
              </w:tc>
              <w:tc>
                <w:tcPr>
                  <w:tcW w:w="484" w:type="pct"/>
                  <w:tcBorders>
                    <w:tl2br w:val="nil"/>
                    <w:tr2bl w:val="nil"/>
                  </w:tcBorders>
                  <w:vAlign w:val="center"/>
                </w:tcPr>
                <w:p w14:paraId="653D492A">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30</w:t>
                  </w:r>
                </w:p>
              </w:tc>
            </w:tr>
            <w:tr w14:paraId="0E6965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3FA8EE46">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36630528">
                  <w:pPr>
                    <w:jc w:val="center"/>
                    <w:rPr>
                      <w:rFonts w:hint="eastAsia" w:ascii="Times New Roman" w:hAnsi="Times New Roman" w:eastAsia="宋体" w:cs="Times New Roman"/>
                      <w:color w:val="auto"/>
                      <w:kern w:val="0"/>
                      <w:highlight w:val="none"/>
                    </w:rPr>
                  </w:pPr>
                </w:p>
              </w:tc>
              <w:tc>
                <w:tcPr>
                  <w:tcW w:w="1018" w:type="pct"/>
                  <w:tcBorders>
                    <w:tl2br w:val="nil"/>
                    <w:tr2bl w:val="nil"/>
                  </w:tcBorders>
                  <w:tcMar>
                    <w:top w:w="0" w:type="dxa"/>
                    <w:left w:w="0" w:type="dxa"/>
                    <w:bottom w:w="0" w:type="dxa"/>
                    <w:right w:w="0" w:type="dxa"/>
                  </w:tcMar>
                  <w:vAlign w:val="center"/>
                </w:tcPr>
                <w:p w14:paraId="2DBD7F99">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化学需氧量（mg/L）</w:t>
                  </w:r>
                </w:p>
              </w:tc>
              <w:tc>
                <w:tcPr>
                  <w:tcW w:w="482" w:type="pct"/>
                  <w:tcBorders>
                    <w:tl2br w:val="nil"/>
                    <w:tr2bl w:val="nil"/>
                  </w:tcBorders>
                  <w:tcMar>
                    <w:top w:w="0" w:type="dxa"/>
                    <w:left w:w="0" w:type="dxa"/>
                    <w:bottom w:w="0" w:type="dxa"/>
                    <w:right w:w="0" w:type="dxa"/>
                  </w:tcMar>
                  <w:vAlign w:val="center"/>
                </w:tcPr>
                <w:p w14:paraId="5C71B901">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2" w:type="pct"/>
                  <w:tcBorders>
                    <w:tl2br w:val="nil"/>
                    <w:tr2bl w:val="nil"/>
                  </w:tcBorders>
                  <w:tcMar>
                    <w:top w:w="0" w:type="dxa"/>
                    <w:left w:w="0" w:type="dxa"/>
                    <w:bottom w:w="0" w:type="dxa"/>
                    <w:right w:w="0" w:type="dxa"/>
                  </w:tcMar>
                  <w:vAlign w:val="center"/>
                </w:tcPr>
                <w:p w14:paraId="0CB250D4">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w:t>
                  </w:r>
                </w:p>
              </w:tc>
              <w:tc>
                <w:tcPr>
                  <w:tcW w:w="482" w:type="pct"/>
                  <w:tcBorders>
                    <w:tl2br w:val="nil"/>
                    <w:tr2bl w:val="nil"/>
                  </w:tcBorders>
                  <w:tcMar>
                    <w:top w:w="0" w:type="dxa"/>
                    <w:left w:w="0" w:type="dxa"/>
                    <w:bottom w:w="0" w:type="dxa"/>
                    <w:right w:w="0" w:type="dxa"/>
                  </w:tcMar>
                  <w:vAlign w:val="center"/>
                </w:tcPr>
                <w:p w14:paraId="0BCF1D21">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2" w:type="pct"/>
                  <w:tcBorders>
                    <w:tl2br w:val="nil"/>
                    <w:tr2bl w:val="nil"/>
                  </w:tcBorders>
                  <w:vAlign w:val="center"/>
                </w:tcPr>
                <w:p w14:paraId="7EF1060E">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8" w:type="pct"/>
                  <w:tcBorders>
                    <w:tl2br w:val="nil"/>
                    <w:tr2bl w:val="nil"/>
                  </w:tcBorders>
                  <w:vAlign w:val="center"/>
                </w:tcPr>
                <w:p w14:paraId="090D9A80">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4" w:type="pct"/>
                  <w:tcBorders>
                    <w:tl2br w:val="nil"/>
                    <w:tr2bl w:val="nil"/>
                  </w:tcBorders>
                  <w:vAlign w:val="center"/>
                </w:tcPr>
                <w:p w14:paraId="7B4DAAAF">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100</w:t>
                  </w:r>
                </w:p>
              </w:tc>
            </w:tr>
            <w:tr w14:paraId="75A112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61069FD9">
                  <w:pPr>
                    <w:jc w:val="center"/>
                    <w:rPr>
                      <w:rFonts w:hint="eastAsia" w:ascii="Times New Roman" w:hAnsi="Times New Roman" w:eastAsia="宋体" w:cs="Times New Roman"/>
                      <w:color w:val="auto"/>
                      <w:kern w:val="0"/>
                      <w:highlight w:val="none"/>
                    </w:rPr>
                  </w:pPr>
                </w:p>
              </w:tc>
              <w:tc>
                <w:tcPr>
                  <w:tcW w:w="603" w:type="pct"/>
                  <w:vMerge w:val="restart"/>
                  <w:tcBorders>
                    <w:tl2br w:val="nil"/>
                    <w:tr2bl w:val="nil"/>
                  </w:tcBorders>
                  <w:tcMar>
                    <w:top w:w="0" w:type="dxa"/>
                    <w:left w:w="0" w:type="dxa"/>
                    <w:bottom w:w="0" w:type="dxa"/>
                    <w:right w:w="0" w:type="dxa"/>
                  </w:tcMar>
                  <w:vAlign w:val="center"/>
                </w:tcPr>
                <w:p w14:paraId="6FA64763">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2024.12.11</w:t>
                  </w:r>
                </w:p>
              </w:tc>
              <w:tc>
                <w:tcPr>
                  <w:tcW w:w="1018" w:type="pct"/>
                  <w:tcBorders>
                    <w:tl2br w:val="nil"/>
                    <w:tr2bl w:val="nil"/>
                  </w:tcBorders>
                  <w:tcMar>
                    <w:top w:w="0" w:type="dxa"/>
                    <w:left w:w="0" w:type="dxa"/>
                    <w:bottom w:w="0" w:type="dxa"/>
                    <w:right w:w="0" w:type="dxa"/>
                  </w:tcMar>
                  <w:vAlign w:val="center"/>
                </w:tcPr>
                <w:p w14:paraId="0B5F80F5">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pH（无量纲）</w:t>
                  </w:r>
                </w:p>
              </w:tc>
              <w:tc>
                <w:tcPr>
                  <w:tcW w:w="482" w:type="pct"/>
                  <w:tcBorders>
                    <w:tl2br w:val="nil"/>
                    <w:tr2bl w:val="nil"/>
                  </w:tcBorders>
                  <w:tcMar>
                    <w:top w:w="0" w:type="dxa"/>
                    <w:left w:w="0" w:type="dxa"/>
                    <w:bottom w:w="0" w:type="dxa"/>
                    <w:right w:w="0" w:type="dxa"/>
                  </w:tcMar>
                  <w:vAlign w:val="center"/>
                </w:tcPr>
                <w:p w14:paraId="4F536260">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w:t>
                  </w:r>
                </w:p>
              </w:tc>
              <w:tc>
                <w:tcPr>
                  <w:tcW w:w="482" w:type="pct"/>
                  <w:tcBorders>
                    <w:tl2br w:val="nil"/>
                    <w:tr2bl w:val="nil"/>
                  </w:tcBorders>
                  <w:tcMar>
                    <w:top w:w="0" w:type="dxa"/>
                    <w:left w:w="0" w:type="dxa"/>
                    <w:bottom w:w="0" w:type="dxa"/>
                    <w:right w:w="0" w:type="dxa"/>
                  </w:tcMar>
                  <w:vAlign w:val="center"/>
                </w:tcPr>
                <w:p w14:paraId="009598C3">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w:t>
                  </w:r>
                </w:p>
              </w:tc>
              <w:tc>
                <w:tcPr>
                  <w:tcW w:w="482" w:type="pct"/>
                  <w:tcBorders>
                    <w:tl2br w:val="nil"/>
                    <w:tr2bl w:val="nil"/>
                  </w:tcBorders>
                  <w:tcMar>
                    <w:top w:w="0" w:type="dxa"/>
                    <w:left w:w="0" w:type="dxa"/>
                    <w:bottom w:w="0" w:type="dxa"/>
                    <w:right w:w="0" w:type="dxa"/>
                  </w:tcMar>
                  <w:vAlign w:val="center"/>
                </w:tcPr>
                <w:p w14:paraId="5456803B">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7.6</w:t>
                  </w:r>
                </w:p>
              </w:tc>
              <w:tc>
                <w:tcPr>
                  <w:tcW w:w="482" w:type="pct"/>
                  <w:tcBorders>
                    <w:tl2br w:val="nil"/>
                    <w:tr2bl w:val="nil"/>
                  </w:tcBorders>
                  <w:vAlign w:val="center"/>
                </w:tcPr>
                <w:p w14:paraId="0270E0A4">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w:t>
                  </w:r>
                </w:p>
              </w:tc>
              <w:tc>
                <w:tcPr>
                  <w:tcW w:w="488" w:type="pct"/>
                  <w:tcBorders>
                    <w:tl2br w:val="nil"/>
                    <w:tr2bl w:val="nil"/>
                  </w:tcBorders>
                  <w:vAlign w:val="center"/>
                </w:tcPr>
                <w:p w14:paraId="5CBCE2D7">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7.5~7.6</w:t>
                  </w:r>
                </w:p>
              </w:tc>
              <w:tc>
                <w:tcPr>
                  <w:tcW w:w="484" w:type="pct"/>
                  <w:tcBorders>
                    <w:tl2br w:val="nil"/>
                    <w:tr2bl w:val="nil"/>
                  </w:tcBorders>
                  <w:shd w:val="clear" w:color="auto" w:fill="auto"/>
                  <w:vAlign w:val="center"/>
                </w:tcPr>
                <w:p w14:paraId="50F113E2">
                  <w:pPr>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6~9</w:t>
                  </w:r>
                </w:p>
              </w:tc>
            </w:tr>
            <w:tr w14:paraId="06A5D8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37F80AB3">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1E0D3686">
                  <w:pPr>
                    <w:jc w:val="center"/>
                    <w:rPr>
                      <w:rFonts w:hint="eastAsia" w:ascii="Times New Roman" w:hAnsi="Times New Roman" w:eastAsia="宋体" w:cs="Times New Roman"/>
                      <w:color w:val="auto"/>
                      <w:kern w:val="0"/>
                      <w:highlight w:val="none"/>
                    </w:rPr>
                  </w:pPr>
                </w:p>
              </w:tc>
              <w:tc>
                <w:tcPr>
                  <w:tcW w:w="1018" w:type="pct"/>
                  <w:tcBorders>
                    <w:tl2br w:val="nil"/>
                    <w:tr2bl w:val="nil"/>
                  </w:tcBorders>
                  <w:tcMar>
                    <w:top w:w="0" w:type="dxa"/>
                    <w:left w:w="0" w:type="dxa"/>
                    <w:bottom w:w="0" w:type="dxa"/>
                    <w:right w:w="0" w:type="dxa"/>
                  </w:tcMar>
                  <w:vAlign w:val="center"/>
                </w:tcPr>
                <w:p w14:paraId="3B332267">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动植物油（mg/L）</w:t>
                  </w:r>
                </w:p>
              </w:tc>
              <w:tc>
                <w:tcPr>
                  <w:tcW w:w="482" w:type="pct"/>
                  <w:tcBorders>
                    <w:tl2br w:val="nil"/>
                    <w:tr2bl w:val="nil"/>
                  </w:tcBorders>
                  <w:tcMar>
                    <w:top w:w="0" w:type="dxa"/>
                    <w:left w:w="0" w:type="dxa"/>
                    <w:bottom w:w="0" w:type="dxa"/>
                    <w:right w:w="0" w:type="dxa"/>
                  </w:tcMar>
                  <w:vAlign w:val="center"/>
                </w:tcPr>
                <w:p w14:paraId="7BA77DB7">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tcMar>
                    <w:top w:w="0" w:type="dxa"/>
                    <w:left w:w="0" w:type="dxa"/>
                    <w:bottom w:w="0" w:type="dxa"/>
                    <w:right w:w="0" w:type="dxa"/>
                  </w:tcMar>
                  <w:vAlign w:val="center"/>
                </w:tcPr>
                <w:p w14:paraId="10542FC5">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tcMar>
                    <w:top w:w="0" w:type="dxa"/>
                    <w:left w:w="0" w:type="dxa"/>
                    <w:bottom w:w="0" w:type="dxa"/>
                    <w:right w:w="0" w:type="dxa"/>
                  </w:tcMar>
                  <w:vAlign w:val="center"/>
                </w:tcPr>
                <w:p w14:paraId="1E73EA3F">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2" w:type="pct"/>
                  <w:tcBorders>
                    <w:tl2br w:val="nil"/>
                    <w:tr2bl w:val="nil"/>
                  </w:tcBorders>
                  <w:vAlign w:val="center"/>
                </w:tcPr>
                <w:p w14:paraId="215556D6">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8" w:type="pct"/>
                  <w:tcBorders>
                    <w:tl2br w:val="nil"/>
                    <w:tr2bl w:val="nil"/>
                  </w:tcBorders>
                  <w:vAlign w:val="center"/>
                </w:tcPr>
                <w:p w14:paraId="11F3B206">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lang w:val="en-US" w:eastAsia="zh-CN"/>
                    </w:rPr>
                    <w:t>ND（0.06）</w:t>
                  </w:r>
                </w:p>
              </w:tc>
              <w:tc>
                <w:tcPr>
                  <w:tcW w:w="484" w:type="pct"/>
                  <w:tcBorders>
                    <w:tl2br w:val="nil"/>
                    <w:tr2bl w:val="nil"/>
                  </w:tcBorders>
                  <w:shd w:val="clear" w:color="auto" w:fill="auto"/>
                  <w:vAlign w:val="center"/>
                </w:tcPr>
                <w:p w14:paraId="4851DD54">
                  <w:pPr>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w:t>
                  </w:r>
                </w:p>
              </w:tc>
            </w:tr>
            <w:tr w14:paraId="1A805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4661BEDE">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7581C969">
                  <w:pPr>
                    <w:jc w:val="center"/>
                    <w:rPr>
                      <w:rFonts w:hint="default" w:ascii="Times New Roman" w:hAnsi="Times New Roman" w:eastAsia="宋体" w:cs="Times New Roman"/>
                      <w:color w:val="auto"/>
                      <w:kern w:val="0"/>
                      <w:highlight w:val="none"/>
                      <w:lang w:val="en-US" w:eastAsia="zh-CN"/>
                    </w:rPr>
                  </w:pPr>
                </w:p>
              </w:tc>
              <w:tc>
                <w:tcPr>
                  <w:tcW w:w="1018" w:type="pct"/>
                  <w:tcBorders>
                    <w:tl2br w:val="nil"/>
                    <w:tr2bl w:val="nil"/>
                  </w:tcBorders>
                  <w:tcMar>
                    <w:top w:w="0" w:type="dxa"/>
                    <w:left w:w="0" w:type="dxa"/>
                    <w:bottom w:w="0" w:type="dxa"/>
                    <w:right w:w="0" w:type="dxa"/>
                  </w:tcMar>
                  <w:vAlign w:val="center"/>
                </w:tcPr>
                <w:p w14:paraId="6D0D6C6B">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氨氮（mg/L）</w:t>
                  </w:r>
                </w:p>
              </w:tc>
              <w:tc>
                <w:tcPr>
                  <w:tcW w:w="482" w:type="pct"/>
                  <w:tcBorders>
                    <w:tl2br w:val="nil"/>
                    <w:tr2bl w:val="nil"/>
                  </w:tcBorders>
                  <w:tcMar>
                    <w:top w:w="0" w:type="dxa"/>
                    <w:left w:w="0" w:type="dxa"/>
                    <w:bottom w:w="0" w:type="dxa"/>
                    <w:right w:w="0" w:type="dxa"/>
                  </w:tcMar>
                  <w:vAlign w:val="center"/>
                </w:tcPr>
                <w:p w14:paraId="5FB4C2CB">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0.033</w:t>
                  </w:r>
                </w:p>
              </w:tc>
              <w:tc>
                <w:tcPr>
                  <w:tcW w:w="482" w:type="pct"/>
                  <w:tcBorders>
                    <w:tl2br w:val="nil"/>
                    <w:tr2bl w:val="nil"/>
                  </w:tcBorders>
                  <w:tcMar>
                    <w:top w:w="0" w:type="dxa"/>
                    <w:left w:w="0" w:type="dxa"/>
                    <w:bottom w:w="0" w:type="dxa"/>
                    <w:right w:w="0" w:type="dxa"/>
                  </w:tcMar>
                  <w:vAlign w:val="center"/>
                </w:tcPr>
                <w:p w14:paraId="2E403A1B">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0.030</w:t>
                  </w:r>
                </w:p>
              </w:tc>
              <w:tc>
                <w:tcPr>
                  <w:tcW w:w="482" w:type="pct"/>
                  <w:tcBorders>
                    <w:tl2br w:val="nil"/>
                    <w:tr2bl w:val="nil"/>
                  </w:tcBorders>
                  <w:tcMar>
                    <w:top w:w="0" w:type="dxa"/>
                    <w:left w:w="0" w:type="dxa"/>
                    <w:bottom w:w="0" w:type="dxa"/>
                    <w:right w:w="0" w:type="dxa"/>
                  </w:tcMar>
                  <w:vAlign w:val="center"/>
                </w:tcPr>
                <w:p w14:paraId="4298B02F">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0.036</w:t>
                  </w:r>
                </w:p>
              </w:tc>
              <w:tc>
                <w:tcPr>
                  <w:tcW w:w="482" w:type="pct"/>
                  <w:tcBorders>
                    <w:tl2br w:val="nil"/>
                    <w:tr2bl w:val="nil"/>
                  </w:tcBorders>
                  <w:vAlign w:val="center"/>
                </w:tcPr>
                <w:p w14:paraId="0A7D8AB1">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0.038</w:t>
                  </w:r>
                </w:p>
              </w:tc>
              <w:tc>
                <w:tcPr>
                  <w:tcW w:w="488" w:type="pct"/>
                  <w:tcBorders>
                    <w:tl2br w:val="nil"/>
                    <w:tr2bl w:val="nil"/>
                  </w:tcBorders>
                  <w:vAlign w:val="center"/>
                </w:tcPr>
                <w:p w14:paraId="5788DD86">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0.034</w:t>
                  </w:r>
                </w:p>
              </w:tc>
              <w:tc>
                <w:tcPr>
                  <w:tcW w:w="484" w:type="pct"/>
                  <w:tcBorders>
                    <w:tl2br w:val="nil"/>
                    <w:tr2bl w:val="nil"/>
                  </w:tcBorders>
                  <w:shd w:val="clear" w:color="auto" w:fill="auto"/>
                  <w:vAlign w:val="center"/>
                </w:tcPr>
                <w:p w14:paraId="6FF1620A">
                  <w:pPr>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25</w:t>
                  </w:r>
                </w:p>
              </w:tc>
            </w:tr>
            <w:tr w14:paraId="29A189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shd w:val="clear" w:color="auto" w:fill="auto"/>
                  <w:vAlign w:val="center"/>
                </w:tcPr>
                <w:p w14:paraId="2D7FC635">
                  <w:pPr>
                    <w:jc w:val="center"/>
                    <w:rPr>
                      <w:rFonts w:hint="eastAsia" w:ascii="Times New Roman" w:hAnsi="Times New Roman" w:eastAsia="宋体" w:cs="Times New Roman"/>
                      <w:color w:val="auto"/>
                      <w:kern w:val="0"/>
                      <w:highlight w:val="none"/>
                      <w:lang w:val="en-US" w:eastAsia="zh-CN"/>
                    </w:rPr>
                  </w:pPr>
                </w:p>
              </w:tc>
              <w:tc>
                <w:tcPr>
                  <w:tcW w:w="603" w:type="pct"/>
                  <w:vMerge w:val="continue"/>
                  <w:tcBorders>
                    <w:tl2br w:val="nil"/>
                    <w:tr2bl w:val="nil"/>
                  </w:tcBorders>
                  <w:shd w:val="clear" w:color="auto" w:fill="auto"/>
                  <w:tcMar>
                    <w:top w:w="0" w:type="dxa"/>
                    <w:left w:w="0" w:type="dxa"/>
                    <w:bottom w:w="0" w:type="dxa"/>
                    <w:right w:w="0" w:type="dxa"/>
                  </w:tcMar>
                  <w:vAlign w:val="center"/>
                </w:tcPr>
                <w:p w14:paraId="7C2B84D4">
                  <w:pPr>
                    <w:jc w:val="center"/>
                    <w:rPr>
                      <w:rFonts w:hint="default" w:ascii="Times New Roman" w:hAnsi="Times New Roman" w:eastAsia="宋体" w:cs="Times New Roman"/>
                      <w:color w:val="auto"/>
                      <w:kern w:val="0"/>
                      <w:highlight w:val="none"/>
                      <w:lang w:val="en-US" w:eastAsia="zh-CN"/>
                    </w:rPr>
                  </w:pPr>
                </w:p>
              </w:tc>
              <w:tc>
                <w:tcPr>
                  <w:tcW w:w="1018" w:type="pct"/>
                  <w:tcBorders>
                    <w:tl2br w:val="nil"/>
                    <w:tr2bl w:val="nil"/>
                  </w:tcBorders>
                  <w:tcMar>
                    <w:top w:w="0" w:type="dxa"/>
                    <w:left w:w="0" w:type="dxa"/>
                    <w:bottom w:w="0" w:type="dxa"/>
                    <w:right w:w="0" w:type="dxa"/>
                  </w:tcMar>
                  <w:vAlign w:val="center"/>
                </w:tcPr>
                <w:p w14:paraId="33051FAF">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悬浮物（mg/L）</w:t>
                  </w:r>
                </w:p>
              </w:tc>
              <w:tc>
                <w:tcPr>
                  <w:tcW w:w="482" w:type="pct"/>
                  <w:tcBorders>
                    <w:tl2br w:val="nil"/>
                    <w:tr2bl w:val="nil"/>
                  </w:tcBorders>
                  <w:tcMar>
                    <w:top w:w="0" w:type="dxa"/>
                    <w:left w:w="0" w:type="dxa"/>
                    <w:bottom w:w="0" w:type="dxa"/>
                    <w:right w:w="0" w:type="dxa"/>
                  </w:tcMar>
                  <w:vAlign w:val="center"/>
                </w:tcPr>
                <w:p w14:paraId="608BF9A5">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5</w:t>
                  </w:r>
                </w:p>
              </w:tc>
              <w:tc>
                <w:tcPr>
                  <w:tcW w:w="482" w:type="pct"/>
                  <w:tcBorders>
                    <w:tl2br w:val="nil"/>
                    <w:tr2bl w:val="nil"/>
                  </w:tcBorders>
                  <w:tcMar>
                    <w:top w:w="0" w:type="dxa"/>
                    <w:left w:w="0" w:type="dxa"/>
                    <w:bottom w:w="0" w:type="dxa"/>
                    <w:right w:w="0" w:type="dxa"/>
                  </w:tcMar>
                  <w:vAlign w:val="center"/>
                </w:tcPr>
                <w:p w14:paraId="230BBC32">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2" w:type="pct"/>
                  <w:tcBorders>
                    <w:tl2br w:val="nil"/>
                    <w:tr2bl w:val="nil"/>
                  </w:tcBorders>
                  <w:tcMar>
                    <w:top w:w="0" w:type="dxa"/>
                    <w:left w:w="0" w:type="dxa"/>
                    <w:bottom w:w="0" w:type="dxa"/>
                    <w:right w:w="0" w:type="dxa"/>
                  </w:tcMar>
                  <w:vAlign w:val="center"/>
                </w:tcPr>
                <w:p w14:paraId="36797ACA">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6</w:t>
                  </w:r>
                </w:p>
              </w:tc>
              <w:tc>
                <w:tcPr>
                  <w:tcW w:w="482" w:type="pct"/>
                  <w:tcBorders>
                    <w:tl2br w:val="nil"/>
                    <w:tr2bl w:val="nil"/>
                  </w:tcBorders>
                  <w:vAlign w:val="center"/>
                </w:tcPr>
                <w:p w14:paraId="46FCD10C">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w:t>
                  </w:r>
                </w:p>
              </w:tc>
              <w:tc>
                <w:tcPr>
                  <w:tcW w:w="488" w:type="pct"/>
                  <w:tcBorders>
                    <w:tl2br w:val="nil"/>
                    <w:tr2bl w:val="nil"/>
                  </w:tcBorders>
                  <w:vAlign w:val="center"/>
                </w:tcPr>
                <w:p w14:paraId="518A317B">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6</w:t>
                  </w:r>
                </w:p>
              </w:tc>
              <w:tc>
                <w:tcPr>
                  <w:tcW w:w="484" w:type="pct"/>
                  <w:tcBorders>
                    <w:tl2br w:val="nil"/>
                    <w:tr2bl w:val="nil"/>
                  </w:tcBorders>
                  <w:shd w:val="clear" w:color="auto" w:fill="auto"/>
                  <w:vAlign w:val="center"/>
                </w:tcPr>
                <w:p w14:paraId="04948BE7">
                  <w:pPr>
                    <w:tabs>
                      <w:tab w:val="left" w:pos="245"/>
                      <w:tab w:val="center" w:pos="471"/>
                    </w:tabs>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30</w:t>
                  </w:r>
                </w:p>
              </w:tc>
            </w:tr>
            <w:tr w14:paraId="7D52DA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01C3800A">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333F629D">
                  <w:pPr>
                    <w:jc w:val="center"/>
                    <w:rPr>
                      <w:rFonts w:hint="eastAsia" w:ascii="Times New Roman" w:hAnsi="Times New Roman" w:eastAsia="宋体" w:cs="Times New Roman"/>
                      <w:color w:val="auto"/>
                      <w:kern w:val="0"/>
                      <w:highlight w:val="none"/>
                    </w:rPr>
                  </w:pPr>
                </w:p>
              </w:tc>
              <w:tc>
                <w:tcPr>
                  <w:tcW w:w="1018" w:type="pct"/>
                  <w:tcBorders>
                    <w:tl2br w:val="nil"/>
                    <w:tr2bl w:val="nil"/>
                  </w:tcBorders>
                  <w:tcMar>
                    <w:top w:w="0" w:type="dxa"/>
                    <w:left w:w="0" w:type="dxa"/>
                    <w:bottom w:w="0" w:type="dxa"/>
                    <w:right w:w="0" w:type="dxa"/>
                  </w:tcMar>
                  <w:vAlign w:val="center"/>
                </w:tcPr>
                <w:p w14:paraId="4159F0B1">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五日生化需氧量（mg/L）</w:t>
                  </w:r>
                </w:p>
              </w:tc>
              <w:tc>
                <w:tcPr>
                  <w:tcW w:w="482" w:type="pct"/>
                  <w:tcBorders>
                    <w:tl2br w:val="nil"/>
                    <w:tr2bl w:val="nil"/>
                  </w:tcBorders>
                  <w:tcMar>
                    <w:top w:w="0" w:type="dxa"/>
                    <w:left w:w="0" w:type="dxa"/>
                    <w:bottom w:w="0" w:type="dxa"/>
                    <w:right w:w="0" w:type="dxa"/>
                  </w:tcMar>
                  <w:vAlign w:val="center"/>
                </w:tcPr>
                <w:p w14:paraId="3ED2371E">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2.8</w:t>
                  </w:r>
                </w:p>
              </w:tc>
              <w:tc>
                <w:tcPr>
                  <w:tcW w:w="482" w:type="pct"/>
                  <w:tcBorders>
                    <w:tl2br w:val="nil"/>
                    <w:tr2bl w:val="nil"/>
                  </w:tcBorders>
                  <w:tcMar>
                    <w:top w:w="0" w:type="dxa"/>
                    <w:left w:w="0" w:type="dxa"/>
                    <w:bottom w:w="0" w:type="dxa"/>
                    <w:right w:w="0" w:type="dxa"/>
                  </w:tcMar>
                  <w:vAlign w:val="center"/>
                </w:tcPr>
                <w:p w14:paraId="7C55303A">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2.6</w:t>
                  </w:r>
                </w:p>
              </w:tc>
              <w:tc>
                <w:tcPr>
                  <w:tcW w:w="482" w:type="pct"/>
                  <w:tcBorders>
                    <w:tl2br w:val="nil"/>
                    <w:tr2bl w:val="nil"/>
                  </w:tcBorders>
                  <w:tcMar>
                    <w:top w:w="0" w:type="dxa"/>
                    <w:left w:w="0" w:type="dxa"/>
                    <w:bottom w:w="0" w:type="dxa"/>
                    <w:right w:w="0" w:type="dxa"/>
                  </w:tcMar>
                  <w:vAlign w:val="center"/>
                </w:tcPr>
                <w:p w14:paraId="3C415C20">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2.5</w:t>
                  </w:r>
                </w:p>
              </w:tc>
              <w:tc>
                <w:tcPr>
                  <w:tcW w:w="482" w:type="pct"/>
                  <w:tcBorders>
                    <w:tl2br w:val="nil"/>
                    <w:tr2bl w:val="nil"/>
                  </w:tcBorders>
                  <w:vAlign w:val="center"/>
                </w:tcPr>
                <w:p w14:paraId="4369FFB0">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2.8</w:t>
                  </w:r>
                </w:p>
              </w:tc>
              <w:tc>
                <w:tcPr>
                  <w:tcW w:w="488" w:type="pct"/>
                  <w:tcBorders>
                    <w:tl2br w:val="nil"/>
                    <w:tr2bl w:val="nil"/>
                  </w:tcBorders>
                  <w:vAlign w:val="center"/>
                </w:tcPr>
                <w:p w14:paraId="365439B9">
                  <w:pPr>
                    <w:jc w:val="center"/>
                    <w:rPr>
                      <w:rFonts w:hint="default"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2.7</w:t>
                  </w:r>
                </w:p>
              </w:tc>
              <w:tc>
                <w:tcPr>
                  <w:tcW w:w="484" w:type="pct"/>
                  <w:tcBorders>
                    <w:tl2br w:val="nil"/>
                    <w:tr2bl w:val="nil"/>
                  </w:tcBorders>
                  <w:shd w:val="clear" w:color="auto" w:fill="auto"/>
                  <w:vAlign w:val="center"/>
                </w:tcPr>
                <w:p w14:paraId="395DDBAC">
                  <w:pPr>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30</w:t>
                  </w:r>
                </w:p>
              </w:tc>
            </w:tr>
            <w:tr w14:paraId="6B546B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74" w:type="pct"/>
                  <w:vMerge w:val="continue"/>
                  <w:tcBorders>
                    <w:tl2br w:val="nil"/>
                    <w:tr2bl w:val="nil"/>
                  </w:tcBorders>
                  <w:vAlign w:val="center"/>
                </w:tcPr>
                <w:p w14:paraId="3AD59320">
                  <w:pPr>
                    <w:jc w:val="center"/>
                    <w:rPr>
                      <w:rFonts w:hint="eastAsia" w:ascii="Times New Roman" w:hAnsi="Times New Roman" w:eastAsia="宋体" w:cs="Times New Roman"/>
                      <w:color w:val="auto"/>
                      <w:kern w:val="0"/>
                      <w:highlight w:val="none"/>
                    </w:rPr>
                  </w:pPr>
                </w:p>
              </w:tc>
              <w:tc>
                <w:tcPr>
                  <w:tcW w:w="603" w:type="pct"/>
                  <w:vMerge w:val="continue"/>
                  <w:tcBorders>
                    <w:tl2br w:val="nil"/>
                    <w:tr2bl w:val="nil"/>
                  </w:tcBorders>
                  <w:tcMar>
                    <w:top w:w="0" w:type="dxa"/>
                    <w:left w:w="0" w:type="dxa"/>
                    <w:bottom w:w="0" w:type="dxa"/>
                    <w:right w:w="0" w:type="dxa"/>
                  </w:tcMar>
                  <w:vAlign w:val="center"/>
                </w:tcPr>
                <w:p w14:paraId="264B0883">
                  <w:pPr>
                    <w:jc w:val="center"/>
                    <w:rPr>
                      <w:rFonts w:hint="eastAsia" w:ascii="Times New Roman" w:hAnsi="Times New Roman" w:eastAsia="宋体" w:cs="Times New Roman"/>
                      <w:color w:val="auto"/>
                      <w:kern w:val="0"/>
                      <w:highlight w:val="none"/>
                    </w:rPr>
                  </w:pPr>
                </w:p>
              </w:tc>
              <w:tc>
                <w:tcPr>
                  <w:tcW w:w="1018" w:type="pct"/>
                  <w:tcBorders>
                    <w:tl2br w:val="nil"/>
                    <w:tr2bl w:val="nil"/>
                  </w:tcBorders>
                  <w:tcMar>
                    <w:top w:w="0" w:type="dxa"/>
                    <w:left w:w="0" w:type="dxa"/>
                    <w:bottom w:w="0" w:type="dxa"/>
                    <w:right w:w="0" w:type="dxa"/>
                  </w:tcMar>
                  <w:vAlign w:val="center"/>
                </w:tcPr>
                <w:p w14:paraId="5CB96BC4">
                  <w:pPr>
                    <w:jc w:val="center"/>
                    <w:rPr>
                      <w:rFonts w:hint="eastAsia" w:ascii="Times New Roman" w:hAnsi="Times New Roman" w:eastAsia="宋体" w:cs="Times New Roman"/>
                      <w:color w:val="auto"/>
                      <w:kern w:val="0"/>
                      <w:highlight w:val="none"/>
                    </w:rPr>
                  </w:pPr>
                  <w:r>
                    <w:rPr>
                      <w:rFonts w:hint="eastAsia" w:ascii="Times New Roman" w:hAnsi="Times New Roman" w:eastAsia="宋体" w:cs="Times New Roman"/>
                      <w:color w:val="auto"/>
                      <w:kern w:val="0"/>
                      <w:highlight w:val="none"/>
                    </w:rPr>
                    <w:t>化学需氧量（mg/L）</w:t>
                  </w:r>
                </w:p>
              </w:tc>
              <w:tc>
                <w:tcPr>
                  <w:tcW w:w="482" w:type="pct"/>
                  <w:tcBorders>
                    <w:tl2br w:val="nil"/>
                    <w:tr2bl w:val="nil"/>
                  </w:tcBorders>
                  <w:tcMar>
                    <w:top w:w="0" w:type="dxa"/>
                    <w:left w:w="0" w:type="dxa"/>
                    <w:bottom w:w="0" w:type="dxa"/>
                    <w:right w:w="0" w:type="dxa"/>
                  </w:tcMar>
                  <w:vAlign w:val="center"/>
                </w:tcPr>
                <w:p w14:paraId="00675E33">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w:t>
                  </w:r>
                </w:p>
              </w:tc>
              <w:tc>
                <w:tcPr>
                  <w:tcW w:w="482" w:type="pct"/>
                  <w:tcBorders>
                    <w:tl2br w:val="nil"/>
                    <w:tr2bl w:val="nil"/>
                  </w:tcBorders>
                  <w:tcMar>
                    <w:top w:w="0" w:type="dxa"/>
                    <w:left w:w="0" w:type="dxa"/>
                    <w:bottom w:w="0" w:type="dxa"/>
                    <w:right w:w="0" w:type="dxa"/>
                  </w:tcMar>
                  <w:vAlign w:val="center"/>
                </w:tcPr>
                <w:p w14:paraId="470E5D37">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7</w:t>
                  </w:r>
                </w:p>
              </w:tc>
              <w:tc>
                <w:tcPr>
                  <w:tcW w:w="482" w:type="pct"/>
                  <w:tcBorders>
                    <w:tl2br w:val="nil"/>
                    <w:tr2bl w:val="nil"/>
                  </w:tcBorders>
                  <w:tcMar>
                    <w:top w:w="0" w:type="dxa"/>
                    <w:left w:w="0" w:type="dxa"/>
                    <w:bottom w:w="0" w:type="dxa"/>
                    <w:right w:w="0" w:type="dxa"/>
                  </w:tcMar>
                  <w:vAlign w:val="center"/>
                </w:tcPr>
                <w:p w14:paraId="1842F5F3">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2" w:type="pct"/>
                  <w:tcBorders>
                    <w:tl2br w:val="nil"/>
                    <w:tr2bl w:val="nil"/>
                  </w:tcBorders>
                  <w:vAlign w:val="center"/>
                </w:tcPr>
                <w:p w14:paraId="1027E117">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8" w:type="pct"/>
                  <w:tcBorders>
                    <w:tl2br w:val="nil"/>
                    <w:tr2bl w:val="nil"/>
                  </w:tcBorders>
                  <w:vAlign w:val="center"/>
                </w:tcPr>
                <w:p w14:paraId="1C914EB8">
                  <w:pPr>
                    <w:jc w:val="center"/>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8</w:t>
                  </w:r>
                </w:p>
              </w:tc>
              <w:tc>
                <w:tcPr>
                  <w:tcW w:w="484" w:type="pct"/>
                  <w:tcBorders>
                    <w:tl2br w:val="nil"/>
                    <w:tr2bl w:val="nil"/>
                  </w:tcBorders>
                  <w:shd w:val="clear" w:color="auto" w:fill="auto"/>
                  <w:vAlign w:val="center"/>
                </w:tcPr>
                <w:p w14:paraId="0BF5AF99">
                  <w:pPr>
                    <w:jc w:val="center"/>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100</w:t>
                  </w:r>
                </w:p>
              </w:tc>
            </w:tr>
          </w:tbl>
          <w:p w14:paraId="5D234C75">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sz w:val="24"/>
                <w:highlight w:val="none"/>
                <w:lang w:eastAsia="zh-CN"/>
              </w:rPr>
            </w:pPr>
            <w:r>
              <w:rPr>
                <w:rFonts w:hint="eastAsia"/>
                <w:b/>
                <w:bCs/>
                <w:highlight w:val="none"/>
              </w:rPr>
              <w:t>注：</w:t>
            </w:r>
            <w:r>
              <w:rPr>
                <w:rFonts w:hint="eastAsia" w:ascii="Times New Roman" w:hAnsi="Times New Roman" w:eastAsia="宋体" w:cs="Times New Roman"/>
                <w:b/>
                <w:bCs/>
                <w:highlight w:val="none"/>
              </w:rPr>
              <w:t>“ND（检出限）”表示检测结果低于检出限。</w:t>
            </w:r>
            <w:r>
              <w:rPr>
                <w:rFonts w:hint="eastAsia"/>
                <w:b/>
                <w:bCs/>
                <w:highlight w:val="none"/>
              </w:rPr>
              <w:t>执行标准由客户指定。</w:t>
            </w:r>
          </w:p>
          <w:p w14:paraId="409DD83D">
            <w:pPr>
              <w:adjustRightInd/>
              <w:snapToGrid/>
              <w:spacing w:line="360" w:lineRule="auto"/>
              <w:ind w:firstLine="480" w:firstLineChars="200"/>
              <w:rPr>
                <w:rFonts w:hint="eastAsia" w:ascii="Times New Roman" w:hAnsi="Times New Roman" w:cs="Times New Roman"/>
                <w:b/>
                <w:bCs/>
                <w:color w:val="auto"/>
                <w:sz w:val="24"/>
                <w:highlight w:val="none"/>
                <w:lang w:eastAsia="zh-CN"/>
              </w:rPr>
            </w:pPr>
            <w:r>
              <w:rPr>
                <w:rFonts w:hint="eastAsia"/>
                <w:color w:val="auto"/>
                <w:sz w:val="24"/>
                <w:szCs w:val="24"/>
                <w:highlight w:val="none"/>
              </w:rPr>
              <w:t>由上表可知，</w:t>
            </w:r>
            <w:r>
              <w:rPr>
                <w:rFonts w:hint="eastAsia"/>
                <w:color w:val="auto"/>
                <w:sz w:val="24"/>
                <w:szCs w:val="24"/>
                <w:highlight w:val="none"/>
                <w:lang w:eastAsia="zh-CN"/>
              </w:rPr>
              <w:t>验收期间长山口生活垃圾卫生填埋场渗滤液污水处理站出口废水中pH值满足</w:t>
            </w:r>
            <w:r>
              <w:rPr>
                <w:rFonts w:hint="eastAsia"/>
                <w:color w:val="auto"/>
                <w:sz w:val="24"/>
                <w:szCs w:val="24"/>
                <w:highlight w:val="none"/>
              </w:rPr>
              <w:t>《污水综合排放标准》（GB8978-1996）表4三级标准要求</w:t>
            </w:r>
            <w:r>
              <w:rPr>
                <w:rFonts w:hint="eastAsia"/>
                <w:color w:val="auto"/>
                <w:sz w:val="24"/>
                <w:szCs w:val="24"/>
                <w:highlight w:val="none"/>
                <w:lang w:eastAsia="zh-CN"/>
              </w:rPr>
              <w:t>，化学需氧量、五日生化需氧量、悬浮物、动植物油排放浓度均满足《生活垃圾填埋场污染控制标准》GB16889-200</w:t>
            </w:r>
            <w:r>
              <w:rPr>
                <w:rFonts w:hint="eastAsia" w:ascii="Times New Roman" w:hAnsi="Times New Roman" w:cs="Times New Roman"/>
                <w:b w:val="0"/>
                <w:bCs w:val="0"/>
                <w:color w:val="auto"/>
                <w:sz w:val="24"/>
                <w:highlight w:val="none"/>
                <w:lang w:eastAsia="zh-CN"/>
              </w:rPr>
              <w:t>8）表2标准要求。</w:t>
            </w:r>
          </w:p>
          <w:p w14:paraId="2C539877">
            <w:pPr>
              <w:adjustRightInd/>
              <w:snapToGrid/>
              <w:spacing w:line="360" w:lineRule="auto"/>
              <w:ind w:firstLine="480" w:firstLineChars="200"/>
              <w:rPr>
                <w:rFonts w:hint="eastAsia" w:ascii="Times New Roman" w:hAnsi="Times New Roman" w:cs="Times New Roman"/>
                <w:b w:val="0"/>
                <w:bCs w:val="0"/>
                <w:color w:val="auto"/>
                <w:sz w:val="24"/>
                <w:highlight w:val="none"/>
                <w:lang w:val="en-US" w:eastAsia="zh-CN"/>
              </w:rPr>
            </w:pPr>
            <w:r>
              <w:rPr>
                <w:rFonts w:hint="eastAsia" w:ascii="Times New Roman" w:hAnsi="Times New Roman" w:cs="Times New Roman"/>
                <w:b w:val="0"/>
                <w:bCs w:val="0"/>
                <w:color w:val="auto"/>
                <w:sz w:val="24"/>
                <w:highlight w:val="none"/>
                <w:lang w:eastAsia="zh-CN"/>
              </w:rPr>
              <w:t>（</w:t>
            </w:r>
            <w:r>
              <w:rPr>
                <w:rFonts w:hint="eastAsia" w:ascii="Times New Roman" w:hAnsi="Times New Roman" w:cs="Times New Roman"/>
                <w:b w:val="0"/>
                <w:bCs w:val="0"/>
                <w:color w:val="auto"/>
                <w:sz w:val="24"/>
                <w:highlight w:val="none"/>
                <w:lang w:val="en-US" w:eastAsia="zh-CN"/>
              </w:rPr>
              <w:t>2</w:t>
            </w:r>
            <w:r>
              <w:rPr>
                <w:rFonts w:hint="eastAsia" w:ascii="Times New Roman" w:hAnsi="Times New Roman" w:cs="Times New Roman"/>
                <w:b w:val="0"/>
                <w:bCs w:val="0"/>
                <w:color w:val="auto"/>
                <w:sz w:val="24"/>
                <w:highlight w:val="none"/>
                <w:lang w:eastAsia="zh-CN"/>
              </w:rPr>
              <w:t>）</w:t>
            </w:r>
            <w:r>
              <w:rPr>
                <w:rFonts w:hint="eastAsia" w:ascii="Times New Roman" w:hAnsi="Times New Roman" w:cs="Times New Roman"/>
                <w:b w:val="0"/>
                <w:bCs w:val="0"/>
                <w:color w:val="auto"/>
                <w:sz w:val="24"/>
                <w:highlight w:val="none"/>
                <w:lang w:val="en-US" w:eastAsia="zh-CN"/>
              </w:rPr>
              <w:t>在线监测结果</w:t>
            </w:r>
          </w:p>
          <w:p w14:paraId="64036C35">
            <w:pPr>
              <w:adjustRightInd/>
              <w:snapToGrid/>
              <w:spacing w:line="360" w:lineRule="auto"/>
              <w:ind w:firstLine="480" w:firstLineChars="200"/>
              <w:rPr>
                <w:color w:val="auto"/>
                <w:sz w:val="24"/>
                <w:highlight w:val="none"/>
              </w:rPr>
            </w:pPr>
            <w:r>
              <w:rPr>
                <w:rFonts w:hint="eastAsia"/>
                <w:color w:val="auto"/>
                <w:sz w:val="24"/>
                <w:highlight w:val="none"/>
                <w:lang w:eastAsia="zh-CN"/>
              </w:rPr>
              <w:t>本项目</w:t>
            </w:r>
            <w:r>
              <w:rPr>
                <w:color w:val="auto"/>
                <w:sz w:val="24"/>
                <w:highlight w:val="none"/>
              </w:rPr>
              <w:t>验收监测期间，</w:t>
            </w:r>
            <w:r>
              <w:rPr>
                <w:rFonts w:hint="eastAsia"/>
                <w:color w:val="auto"/>
                <w:sz w:val="24"/>
                <w:highlight w:val="none"/>
              </w:rPr>
              <w:t>填埋场渗滤液处理站在线监测</w:t>
            </w:r>
            <w:r>
              <w:rPr>
                <w:rFonts w:hint="eastAsia"/>
                <w:color w:val="auto"/>
                <w:sz w:val="24"/>
                <w:highlight w:val="none"/>
                <w:lang w:eastAsia="zh-CN"/>
              </w:rPr>
              <w:t>数据</w:t>
            </w:r>
            <w:r>
              <w:rPr>
                <w:color w:val="auto"/>
                <w:sz w:val="24"/>
                <w:highlight w:val="none"/>
              </w:rPr>
              <w:t>见</w:t>
            </w:r>
            <w:r>
              <w:rPr>
                <w:rFonts w:hint="eastAsia"/>
                <w:color w:val="auto"/>
                <w:sz w:val="24"/>
                <w:highlight w:val="none"/>
              </w:rPr>
              <w:t>下</w:t>
            </w:r>
            <w:r>
              <w:rPr>
                <w:color w:val="auto"/>
                <w:sz w:val="24"/>
                <w:highlight w:val="none"/>
              </w:rPr>
              <w:t>表。</w:t>
            </w:r>
          </w:p>
          <w:p w14:paraId="429394C6">
            <w:pPr>
              <w:pStyle w:val="121"/>
              <w:adjustRightInd/>
              <w:snapToGrid/>
              <w:rPr>
                <w:color w:val="auto"/>
                <w:sz w:val="21"/>
                <w:highlight w:val="none"/>
              </w:rPr>
            </w:pPr>
            <w:r>
              <w:rPr>
                <w:rFonts w:hint="eastAsia"/>
                <w:color w:val="auto"/>
                <w:sz w:val="21"/>
                <w:highlight w:val="none"/>
              </w:rPr>
              <w:t>填埋场渗滤液处理站在线监测结果一览表</w:t>
            </w:r>
          </w:p>
          <w:tbl>
            <w:tblPr>
              <w:tblStyle w:val="30"/>
              <w:tblW w:w="497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42"/>
              <w:gridCol w:w="1002"/>
              <w:gridCol w:w="1484"/>
              <w:gridCol w:w="1219"/>
              <w:gridCol w:w="2009"/>
              <w:gridCol w:w="1361"/>
              <w:gridCol w:w="1199"/>
            </w:tblGrid>
            <w:tr w14:paraId="7F0BD1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tcBorders>
                    <w:bottom w:val="single" w:color="auto" w:sz="12" w:space="0"/>
                  </w:tcBorders>
                  <w:vAlign w:val="center"/>
                </w:tcPr>
                <w:p w14:paraId="1EAB5068">
                  <w:pPr>
                    <w:spacing w:line="240" w:lineRule="auto"/>
                    <w:jc w:val="center"/>
                    <w:rPr>
                      <w:rFonts w:hint="default" w:ascii="Times New Roman" w:hAnsi="Times New Roman" w:eastAsia="宋体" w:cs="Times New Roman"/>
                      <w:b/>
                      <w:bCs/>
                      <w:color w:val="auto"/>
                      <w:sz w:val="18"/>
                      <w:szCs w:val="18"/>
                      <w:highlight w:val="none"/>
                      <w:lang w:eastAsia="zh-CN"/>
                    </w:rPr>
                  </w:pPr>
                  <w:r>
                    <w:rPr>
                      <w:rFonts w:hint="default" w:ascii="Times New Roman" w:hAnsi="Times New Roman" w:eastAsia="宋体" w:cs="Times New Roman"/>
                      <w:b/>
                      <w:bCs/>
                      <w:color w:val="auto"/>
                      <w:sz w:val="18"/>
                      <w:szCs w:val="18"/>
                      <w:highlight w:val="none"/>
                      <w:lang w:eastAsia="zh-CN"/>
                    </w:rPr>
                    <w:t>位置</w:t>
                  </w:r>
                </w:p>
              </w:tc>
              <w:tc>
                <w:tcPr>
                  <w:tcW w:w="555" w:type="pct"/>
                  <w:tcBorders>
                    <w:bottom w:val="single" w:color="auto" w:sz="12" w:space="0"/>
                  </w:tcBorders>
                  <w:vAlign w:val="center"/>
                </w:tcPr>
                <w:p w14:paraId="37D40A67">
                  <w:pPr>
                    <w:spacing w:line="240" w:lineRule="auto"/>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日期</w:t>
                  </w:r>
                </w:p>
              </w:tc>
              <w:tc>
                <w:tcPr>
                  <w:tcW w:w="822" w:type="pct"/>
                  <w:tcBorders>
                    <w:bottom w:val="single" w:color="auto" w:sz="12" w:space="0"/>
                  </w:tcBorders>
                  <w:vAlign w:val="center"/>
                </w:tcPr>
                <w:p w14:paraId="31A787F0">
                  <w:pPr>
                    <w:spacing w:line="240" w:lineRule="auto"/>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lang w:eastAsia="zh-CN"/>
                    </w:rPr>
                    <w:t>在线</w:t>
                  </w:r>
                  <w:r>
                    <w:rPr>
                      <w:rFonts w:hint="default" w:ascii="Times New Roman" w:hAnsi="Times New Roman" w:eastAsia="宋体" w:cs="Times New Roman"/>
                      <w:b/>
                      <w:bCs/>
                      <w:color w:val="auto"/>
                      <w:sz w:val="18"/>
                      <w:szCs w:val="18"/>
                      <w:highlight w:val="none"/>
                    </w:rPr>
                    <w:t>监测项目</w:t>
                  </w:r>
                </w:p>
              </w:tc>
              <w:tc>
                <w:tcPr>
                  <w:tcW w:w="676" w:type="pct"/>
                  <w:tcBorders>
                    <w:bottom w:val="single" w:color="auto" w:sz="12" w:space="0"/>
                  </w:tcBorders>
                  <w:vAlign w:val="center"/>
                </w:tcPr>
                <w:p w14:paraId="7C170403">
                  <w:pPr>
                    <w:spacing w:line="240" w:lineRule="auto"/>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单位</w:t>
                  </w:r>
                </w:p>
              </w:tc>
              <w:tc>
                <w:tcPr>
                  <w:tcW w:w="1114" w:type="pct"/>
                  <w:tcBorders>
                    <w:bottom w:val="single" w:color="auto" w:sz="12" w:space="0"/>
                  </w:tcBorders>
                  <w:vAlign w:val="center"/>
                </w:tcPr>
                <w:p w14:paraId="5F66C2BA">
                  <w:pPr>
                    <w:spacing w:line="240" w:lineRule="auto"/>
                    <w:jc w:val="center"/>
                    <w:rPr>
                      <w:rFonts w:hint="default" w:ascii="Times New Roman" w:hAnsi="Times New Roman" w:eastAsia="宋体" w:cs="Times New Roman"/>
                      <w:b/>
                      <w:bCs/>
                      <w:color w:val="auto"/>
                      <w:sz w:val="18"/>
                      <w:szCs w:val="18"/>
                      <w:highlight w:val="none"/>
                      <w:lang w:eastAsia="zh-CN"/>
                    </w:rPr>
                  </w:pPr>
                  <w:r>
                    <w:rPr>
                      <w:rFonts w:hint="default" w:ascii="Times New Roman" w:hAnsi="Times New Roman" w:eastAsia="宋体" w:cs="Times New Roman"/>
                      <w:b/>
                      <w:bCs/>
                      <w:color w:val="auto"/>
                      <w:sz w:val="18"/>
                      <w:szCs w:val="18"/>
                      <w:highlight w:val="none"/>
                      <w:lang w:eastAsia="zh-CN"/>
                    </w:rPr>
                    <w:t>在线</w:t>
                  </w:r>
                  <w:r>
                    <w:rPr>
                      <w:rFonts w:hint="default" w:ascii="Times New Roman" w:hAnsi="Times New Roman" w:eastAsia="宋体" w:cs="Times New Roman"/>
                      <w:b/>
                      <w:bCs/>
                      <w:color w:val="auto"/>
                      <w:sz w:val="18"/>
                      <w:szCs w:val="18"/>
                      <w:highlight w:val="none"/>
                    </w:rPr>
                    <w:t>监测</w:t>
                  </w:r>
                  <w:r>
                    <w:rPr>
                      <w:rFonts w:hint="default" w:ascii="Times New Roman" w:hAnsi="Times New Roman" w:eastAsia="宋体" w:cs="Times New Roman"/>
                      <w:b/>
                      <w:bCs/>
                      <w:color w:val="auto"/>
                      <w:sz w:val="18"/>
                      <w:szCs w:val="18"/>
                      <w:highlight w:val="none"/>
                      <w:lang w:eastAsia="zh-CN"/>
                    </w:rPr>
                    <w:t>结果日均值</w:t>
                  </w:r>
                </w:p>
              </w:tc>
              <w:tc>
                <w:tcPr>
                  <w:tcW w:w="754" w:type="pct"/>
                  <w:tcBorders>
                    <w:bottom w:val="single" w:color="auto" w:sz="12" w:space="0"/>
                  </w:tcBorders>
                  <w:vAlign w:val="center"/>
                </w:tcPr>
                <w:p w14:paraId="1F43CAFD">
                  <w:pPr>
                    <w:spacing w:line="240" w:lineRule="auto"/>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标准限值</w:t>
                  </w:r>
                </w:p>
              </w:tc>
              <w:tc>
                <w:tcPr>
                  <w:tcW w:w="664" w:type="pct"/>
                  <w:tcBorders>
                    <w:bottom w:val="single" w:color="auto" w:sz="12" w:space="0"/>
                  </w:tcBorders>
                  <w:vAlign w:val="center"/>
                </w:tcPr>
                <w:p w14:paraId="7C601441">
                  <w:pPr>
                    <w:spacing w:line="240" w:lineRule="auto"/>
                    <w:jc w:val="center"/>
                    <w:rPr>
                      <w:rFonts w:hint="default" w:ascii="Times New Roman" w:hAnsi="Times New Roman" w:eastAsia="宋体" w:cs="Times New Roman"/>
                      <w:b/>
                      <w:bCs/>
                      <w:color w:val="auto"/>
                      <w:sz w:val="18"/>
                      <w:szCs w:val="18"/>
                      <w:highlight w:val="none"/>
                    </w:rPr>
                  </w:pPr>
                  <w:r>
                    <w:rPr>
                      <w:rFonts w:hint="default" w:ascii="Times New Roman" w:hAnsi="Times New Roman" w:eastAsia="宋体" w:cs="Times New Roman"/>
                      <w:b/>
                      <w:bCs/>
                      <w:color w:val="auto"/>
                      <w:sz w:val="18"/>
                      <w:szCs w:val="18"/>
                      <w:highlight w:val="none"/>
                    </w:rPr>
                    <w:t>达标情况</w:t>
                  </w:r>
                </w:p>
              </w:tc>
            </w:tr>
            <w:tr w14:paraId="7B7F16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restart"/>
                  <w:tcBorders>
                    <w:top w:val="single" w:color="auto" w:sz="12" w:space="0"/>
                  </w:tcBorders>
                  <w:vAlign w:val="center"/>
                </w:tcPr>
                <w:p w14:paraId="2A6F23A0">
                  <w:pPr>
                    <w:spacing w:line="240" w:lineRule="auto"/>
                    <w:jc w:val="center"/>
                    <w:rPr>
                      <w:rFonts w:hint="default" w:ascii="Times New Roman" w:hAnsi="Times New Roman" w:eastAsia="宋体" w:cs="Times New Roman"/>
                      <w:b w:val="0"/>
                      <w:bCs w:val="0"/>
                      <w:color w:val="auto"/>
                      <w:sz w:val="18"/>
                      <w:szCs w:val="18"/>
                      <w:highlight w:val="none"/>
                      <w:lang w:eastAsia="zh-CN"/>
                    </w:rPr>
                  </w:pPr>
                  <w:r>
                    <w:rPr>
                      <w:rFonts w:hint="default" w:ascii="Times New Roman" w:hAnsi="Times New Roman" w:eastAsia="宋体" w:cs="Times New Roman"/>
                      <w:b w:val="0"/>
                      <w:bCs w:val="0"/>
                      <w:color w:val="auto"/>
                      <w:sz w:val="18"/>
                      <w:szCs w:val="18"/>
                      <w:highlight w:val="none"/>
                    </w:rPr>
                    <w:t>填埋场渗滤液处理站</w:t>
                  </w:r>
                  <w:r>
                    <w:rPr>
                      <w:rFonts w:hint="default" w:ascii="Times New Roman" w:hAnsi="Times New Roman" w:eastAsia="宋体" w:cs="Times New Roman"/>
                      <w:b w:val="0"/>
                      <w:bCs w:val="0"/>
                      <w:color w:val="auto"/>
                      <w:sz w:val="18"/>
                      <w:szCs w:val="18"/>
                      <w:highlight w:val="none"/>
                      <w:lang w:eastAsia="zh-CN"/>
                    </w:rPr>
                    <w:t>出口</w:t>
                  </w:r>
                </w:p>
              </w:tc>
              <w:tc>
                <w:tcPr>
                  <w:tcW w:w="555" w:type="pct"/>
                  <w:vMerge w:val="restart"/>
                  <w:tcBorders>
                    <w:top w:val="single" w:color="auto" w:sz="12" w:space="0"/>
                  </w:tcBorders>
                  <w:shd w:val="clear"/>
                  <w:vAlign w:val="center"/>
                </w:tcPr>
                <w:p w14:paraId="040FCD80">
                  <w:pPr>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2024.12.10</w:t>
                  </w:r>
                </w:p>
              </w:tc>
              <w:tc>
                <w:tcPr>
                  <w:tcW w:w="822" w:type="pct"/>
                  <w:tcBorders>
                    <w:top w:val="single" w:color="auto" w:sz="12" w:space="0"/>
                  </w:tcBorders>
                  <w:vAlign w:val="center"/>
                </w:tcPr>
                <w:p w14:paraId="7BCD732E">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pH值</w:t>
                  </w:r>
                </w:p>
              </w:tc>
              <w:tc>
                <w:tcPr>
                  <w:tcW w:w="676" w:type="pct"/>
                  <w:tcBorders>
                    <w:top w:val="single" w:color="auto" w:sz="12" w:space="0"/>
                  </w:tcBorders>
                  <w:vAlign w:val="center"/>
                </w:tcPr>
                <w:p w14:paraId="0F4A82A1">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无量纲</w:t>
                  </w:r>
                </w:p>
              </w:tc>
              <w:tc>
                <w:tcPr>
                  <w:tcW w:w="1114" w:type="pct"/>
                  <w:tcBorders>
                    <w:top w:val="single" w:color="auto" w:sz="12" w:space="0"/>
                  </w:tcBorders>
                  <w:shd w:val="clear"/>
                  <w:vAlign w:val="center"/>
                </w:tcPr>
                <w:p w14:paraId="43E7A5FD">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7.3</w:t>
                  </w:r>
                </w:p>
              </w:tc>
              <w:tc>
                <w:tcPr>
                  <w:tcW w:w="754" w:type="pct"/>
                  <w:tcBorders>
                    <w:top w:val="single" w:color="auto" w:sz="12" w:space="0"/>
                  </w:tcBorders>
                  <w:vAlign w:val="center"/>
                </w:tcPr>
                <w:p w14:paraId="63F8F8B6">
                  <w:pPr>
                    <w:spacing w:line="240" w:lineRule="auto"/>
                    <w:jc w:val="center"/>
                    <w:rPr>
                      <w:rFonts w:hint="default" w:ascii="Times New Roman" w:hAnsi="Times New Roman" w:eastAsia="宋体" w:cs="Times New Roman"/>
                      <w:b w:val="0"/>
                      <w:bCs w:val="0"/>
                      <w:color w:val="auto"/>
                      <w:sz w:val="18"/>
                      <w:szCs w:val="18"/>
                      <w:highlight w:val="none"/>
                      <w:lang w:val="en-US" w:eastAsia="zh-CN"/>
                    </w:rPr>
                  </w:pPr>
                  <w:r>
                    <w:rPr>
                      <w:rFonts w:hint="default" w:ascii="Times New Roman" w:hAnsi="Times New Roman" w:eastAsia="宋体" w:cs="Times New Roman"/>
                      <w:b w:val="0"/>
                      <w:bCs w:val="0"/>
                      <w:color w:val="auto"/>
                      <w:sz w:val="18"/>
                      <w:szCs w:val="18"/>
                      <w:highlight w:val="none"/>
                      <w:lang w:val="en-US" w:eastAsia="zh-CN"/>
                    </w:rPr>
                    <w:t>6~9</w:t>
                  </w:r>
                </w:p>
              </w:tc>
              <w:tc>
                <w:tcPr>
                  <w:tcW w:w="664" w:type="pct"/>
                  <w:tcBorders>
                    <w:top w:val="single" w:color="auto" w:sz="12" w:space="0"/>
                  </w:tcBorders>
                  <w:vAlign w:val="center"/>
                </w:tcPr>
                <w:p w14:paraId="220C5AC7">
                  <w:pPr>
                    <w:spacing w:line="240" w:lineRule="auto"/>
                    <w:jc w:val="center"/>
                    <w:rPr>
                      <w:rFonts w:hint="default" w:ascii="Times New Roman" w:hAnsi="Times New Roman" w:eastAsia="宋体" w:cs="Times New Roman"/>
                      <w:b w:val="0"/>
                      <w:bCs w:val="0"/>
                      <w:color w:val="auto"/>
                      <w:sz w:val="18"/>
                      <w:szCs w:val="18"/>
                      <w:highlight w:val="none"/>
                      <w:lang w:eastAsia="zh-CN"/>
                    </w:rPr>
                  </w:pPr>
                  <w:r>
                    <w:rPr>
                      <w:rFonts w:hint="default" w:ascii="Times New Roman" w:hAnsi="Times New Roman" w:eastAsia="宋体" w:cs="Times New Roman"/>
                      <w:b w:val="0"/>
                      <w:bCs w:val="0"/>
                      <w:color w:val="auto"/>
                      <w:sz w:val="18"/>
                      <w:szCs w:val="18"/>
                      <w:highlight w:val="none"/>
                      <w:lang w:eastAsia="zh-CN"/>
                    </w:rPr>
                    <w:t>达标</w:t>
                  </w:r>
                </w:p>
              </w:tc>
            </w:tr>
            <w:tr w14:paraId="2B2AA0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continue"/>
                  <w:vAlign w:val="center"/>
                </w:tcPr>
                <w:p w14:paraId="3B4E7EC7">
                  <w:pPr>
                    <w:spacing w:line="240" w:lineRule="auto"/>
                    <w:jc w:val="center"/>
                    <w:rPr>
                      <w:rFonts w:hint="default" w:ascii="Times New Roman" w:hAnsi="Times New Roman" w:eastAsia="宋体" w:cs="Times New Roman"/>
                      <w:b w:val="0"/>
                      <w:bCs w:val="0"/>
                      <w:color w:val="auto"/>
                      <w:sz w:val="18"/>
                      <w:szCs w:val="18"/>
                      <w:highlight w:val="none"/>
                    </w:rPr>
                  </w:pPr>
                </w:p>
              </w:tc>
              <w:tc>
                <w:tcPr>
                  <w:tcW w:w="555" w:type="pct"/>
                  <w:vMerge w:val="continue"/>
                  <w:vAlign w:val="center"/>
                </w:tcPr>
                <w:p w14:paraId="041665DC">
                  <w:pPr>
                    <w:spacing w:line="240" w:lineRule="auto"/>
                    <w:jc w:val="center"/>
                    <w:rPr>
                      <w:rFonts w:hint="default" w:ascii="Times New Roman" w:hAnsi="Times New Roman" w:eastAsia="宋体" w:cs="Times New Roman"/>
                      <w:b w:val="0"/>
                      <w:bCs w:val="0"/>
                      <w:color w:val="auto"/>
                      <w:sz w:val="18"/>
                      <w:szCs w:val="18"/>
                      <w:highlight w:val="none"/>
                    </w:rPr>
                  </w:pPr>
                </w:p>
              </w:tc>
              <w:tc>
                <w:tcPr>
                  <w:tcW w:w="822" w:type="pct"/>
                  <w:vAlign w:val="center"/>
                </w:tcPr>
                <w:p w14:paraId="4A4AF13C">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化学需氧量</w:t>
                  </w:r>
                </w:p>
              </w:tc>
              <w:tc>
                <w:tcPr>
                  <w:tcW w:w="676" w:type="pct"/>
                  <w:vAlign w:val="center"/>
                </w:tcPr>
                <w:p w14:paraId="14A0370D">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mg/L</w:t>
                  </w:r>
                </w:p>
              </w:tc>
              <w:tc>
                <w:tcPr>
                  <w:tcW w:w="1114" w:type="pct"/>
                  <w:shd w:val="clear" w:color="auto" w:fill="auto"/>
                  <w:vAlign w:val="center"/>
                </w:tcPr>
                <w:p w14:paraId="4F899313">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10.432</w:t>
                  </w:r>
                </w:p>
              </w:tc>
              <w:tc>
                <w:tcPr>
                  <w:tcW w:w="754" w:type="pct"/>
                  <w:vAlign w:val="center"/>
                </w:tcPr>
                <w:p w14:paraId="2B21019F">
                  <w:pPr>
                    <w:spacing w:line="240" w:lineRule="auto"/>
                    <w:jc w:val="center"/>
                    <w:rPr>
                      <w:rFonts w:hint="default" w:ascii="Times New Roman" w:hAnsi="Times New Roman" w:eastAsia="宋体" w:cs="Times New Roman"/>
                      <w:b w:val="0"/>
                      <w:bCs w:val="0"/>
                      <w:color w:val="auto"/>
                      <w:sz w:val="18"/>
                      <w:szCs w:val="18"/>
                      <w:highlight w:val="none"/>
                      <w:lang w:val="en-US" w:eastAsia="zh-CN"/>
                    </w:rPr>
                  </w:pPr>
                  <w:r>
                    <w:rPr>
                      <w:rFonts w:hint="default" w:ascii="Times New Roman" w:hAnsi="Times New Roman" w:eastAsia="宋体" w:cs="Times New Roman"/>
                      <w:b w:val="0"/>
                      <w:bCs w:val="0"/>
                      <w:color w:val="auto"/>
                      <w:sz w:val="18"/>
                      <w:szCs w:val="18"/>
                      <w:highlight w:val="none"/>
                      <w:lang w:val="en-US" w:eastAsia="zh-CN"/>
                    </w:rPr>
                    <w:t>100</w:t>
                  </w:r>
                </w:p>
              </w:tc>
              <w:tc>
                <w:tcPr>
                  <w:tcW w:w="664" w:type="pct"/>
                  <w:vAlign w:val="center"/>
                </w:tcPr>
                <w:p w14:paraId="79662B00">
                  <w:pPr>
                    <w:spacing w:line="240" w:lineRule="auto"/>
                    <w:jc w:val="center"/>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lang w:eastAsia="zh-CN"/>
                    </w:rPr>
                    <w:t>达标</w:t>
                  </w:r>
                </w:p>
              </w:tc>
            </w:tr>
            <w:tr w14:paraId="610F16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continue"/>
                  <w:vAlign w:val="center"/>
                </w:tcPr>
                <w:p w14:paraId="48D5B1B1">
                  <w:pPr>
                    <w:spacing w:line="240" w:lineRule="auto"/>
                    <w:jc w:val="center"/>
                    <w:rPr>
                      <w:rFonts w:hint="default" w:ascii="Times New Roman" w:hAnsi="Times New Roman" w:eastAsia="宋体" w:cs="Times New Roman"/>
                      <w:b w:val="0"/>
                      <w:bCs w:val="0"/>
                      <w:color w:val="auto"/>
                      <w:sz w:val="18"/>
                      <w:szCs w:val="18"/>
                      <w:highlight w:val="none"/>
                    </w:rPr>
                  </w:pPr>
                </w:p>
              </w:tc>
              <w:tc>
                <w:tcPr>
                  <w:tcW w:w="555" w:type="pct"/>
                  <w:vMerge w:val="continue"/>
                  <w:vAlign w:val="center"/>
                </w:tcPr>
                <w:p w14:paraId="14890139">
                  <w:pPr>
                    <w:spacing w:line="240" w:lineRule="auto"/>
                    <w:jc w:val="center"/>
                    <w:rPr>
                      <w:rFonts w:hint="default" w:ascii="Times New Roman" w:hAnsi="Times New Roman" w:eastAsia="宋体" w:cs="Times New Roman"/>
                      <w:b w:val="0"/>
                      <w:bCs w:val="0"/>
                      <w:color w:val="auto"/>
                      <w:sz w:val="18"/>
                      <w:szCs w:val="18"/>
                      <w:highlight w:val="none"/>
                    </w:rPr>
                  </w:pPr>
                </w:p>
              </w:tc>
              <w:tc>
                <w:tcPr>
                  <w:tcW w:w="822" w:type="pct"/>
                  <w:vAlign w:val="center"/>
                </w:tcPr>
                <w:p w14:paraId="6BEA0802">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氨氮</w:t>
                  </w:r>
                </w:p>
              </w:tc>
              <w:tc>
                <w:tcPr>
                  <w:tcW w:w="676" w:type="pct"/>
                  <w:vAlign w:val="center"/>
                </w:tcPr>
                <w:p w14:paraId="7042652D">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mg/L</w:t>
                  </w:r>
                </w:p>
              </w:tc>
              <w:tc>
                <w:tcPr>
                  <w:tcW w:w="1114" w:type="pct"/>
                  <w:shd w:val="clear" w:color="auto" w:fill="auto"/>
                  <w:vAlign w:val="center"/>
                </w:tcPr>
                <w:p w14:paraId="1C1C6000">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0.142</w:t>
                  </w:r>
                </w:p>
              </w:tc>
              <w:tc>
                <w:tcPr>
                  <w:tcW w:w="754" w:type="pct"/>
                  <w:vAlign w:val="center"/>
                </w:tcPr>
                <w:p w14:paraId="23458B59">
                  <w:pPr>
                    <w:spacing w:line="240" w:lineRule="auto"/>
                    <w:jc w:val="center"/>
                    <w:rPr>
                      <w:rFonts w:hint="default" w:ascii="Times New Roman" w:hAnsi="Times New Roman" w:eastAsia="宋体" w:cs="Times New Roman"/>
                      <w:b w:val="0"/>
                      <w:bCs w:val="0"/>
                      <w:color w:val="auto"/>
                      <w:sz w:val="18"/>
                      <w:szCs w:val="18"/>
                      <w:highlight w:val="none"/>
                      <w:lang w:val="en-US" w:eastAsia="zh-CN"/>
                    </w:rPr>
                  </w:pPr>
                  <w:r>
                    <w:rPr>
                      <w:rFonts w:hint="default" w:ascii="Times New Roman" w:hAnsi="Times New Roman" w:eastAsia="宋体" w:cs="Times New Roman"/>
                      <w:b w:val="0"/>
                      <w:bCs w:val="0"/>
                      <w:color w:val="auto"/>
                      <w:sz w:val="18"/>
                      <w:szCs w:val="18"/>
                      <w:highlight w:val="none"/>
                      <w:lang w:val="en-US" w:eastAsia="zh-CN"/>
                    </w:rPr>
                    <w:t>25</w:t>
                  </w:r>
                </w:p>
              </w:tc>
              <w:tc>
                <w:tcPr>
                  <w:tcW w:w="664" w:type="pct"/>
                  <w:vAlign w:val="center"/>
                </w:tcPr>
                <w:p w14:paraId="54A3B78B">
                  <w:pPr>
                    <w:spacing w:line="240" w:lineRule="auto"/>
                    <w:jc w:val="center"/>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lang w:eastAsia="zh-CN"/>
                    </w:rPr>
                    <w:t>达标</w:t>
                  </w:r>
                </w:p>
              </w:tc>
            </w:tr>
            <w:tr w14:paraId="20A232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continue"/>
                  <w:vAlign w:val="center"/>
                </w:tcPr>
                <w:p w14:paraId="24489CC9">
                  <w:pPr>
                    <w:spacing w:line="240" w:lineRule="auto"/>
                    <w:jc w:val="center"/>
                    <w:rPr>
                      <w:rFonts w:hint="default" w:ascii="Times New Roman" w:hAnsi="Times New Roman" w:eastAsia="宋体" w:cs="Times New Roman"/>
                      <w:b w:val="0"/>
                      <w:bCs w:val="0"/>
                      <w:color w:val="auto"/>
                      <w:sz w:val="18"/>
                      <w:szCs w:val="18"/>
                      <w:highlight w:val="none"/>
                    </w:rPr>
                  </w:pPr>
                </w:p>
              </w:tc>
              <w:tc>
                <w:tcPr>
                  <w:tcW w:w="555" w:type="pct"/>
                  <w:vMerge w:val="restart"/>
                  <w:vAlign w:val="center"/>
                </w:tcPr>
                <w:p w14:paraId="2C855D9F">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eastAsia" w:ascii="Times New Roman" w:hAnsi="Times New Roman" w:eastAsia="宋体" w:cs="Times New Roman"/>
                      <w:color w:val="auto"/>
                      <w:kern w:val="0"/>
                      <w:highlight w:val="none"/>
                      <w:lang w:val="en-US" w:eastAsia="zh-CN"/>
                    </w:rPr>
                    <w:t>2024.12.11</w:t>
                  </w:r>
                </w:p>
              </w:tc>
              <w:tc>
                <w:tcPr>
                  <w:tcW w:w="0" w:type="auto"/>
                  <w:vAlign w:val="center"/>
                </w:tcPr>
                <w:p w14:paraId="495BA273">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pH值</w:t>
                  </w:r>
                </w:p>
              </w:tc>
              <w:tc>
                <w:tcPr>
                  <w:tcW w:w="676" w:type="pct"/>
                  <w:vAlign w:val="center"/>
                </w:tcPr>
                <w:p w14:paraId="33AB3B8F">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无量纲</w:t>
                  </w:r>
                </w:p>
              </w:tc>
              <w:tc>
                <w:tcPr>
                  <w:tcW w:w="1114" w:type="pct"/>
                  <w:shd w:val="clear"/>
                  <w:vAlign w:val="center"/>
                </w:tcPr>
                <w:p w14:paraId="5EC605AA">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7.9</w:t>
                  </w:r>
                </w:p>
              </w:tc>
              <w:tc>
                <w:tcPr>
                  <w:tcW w:w="754" w:type="pct"/>
                  <w:vAlign w:val="center"/>
                </w:tcPr>
                <w:p w14:paraId="6EDD9FA9">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6~9</w:t>
                  </w:r>
                </w:p>
              </w:tc>
              <w:tc>
                <w:tcPr>
                  <w:tcW w:w="664" w:type="pct"/>
                  <w:vAlign w:val="center"/>
                </w:tcPr>
                <w:p w14:paraId="6F4990C9">
                  <w:pPr>
                    <w:spacing w:line="240" w:lineRule="auto"/>
                    <w:jc w:val="center"/>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lang w:eastAsia="zh-CN"/>
                    </w:rPr>
                    <w:t>达标</w:t>
                  </w:r>
                </w:p>
              </w:tc>
            </w:tr>
            <w:tr w14:paraId="2F5CD4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continue"/>
                  <w:vAlign w:val="center"/>
                </w:tcPr>
                <w:p w14:paraId="718C8705">
                  <w:pPr>
                    <w:spacing w:line="240" w:lineRule="auto"/>
                    <w:jc w:val="center"/>
                    <w:rPr>
                      <w:rFonts w:hint="default" w:ascii="Times New Roman" w:hAnsi="Times New Roman" w:eastAsia="宋体" w:cs="Times New Roman"/>
                      <w:b w:val="0"/>
                      <w:bCs w:val="0"/>
                      <w:color w:val="auto"/>
                      <w:sz w:val="18"/>
                      <w:szCs w:val="18"/>
                      <w:highlight w:val="none"/>
                    </w:rPr>
                  </w:pPr>
                </w:p>
              </w:tc>
              <w:tc>
                <w:tcPr>
                  <w:tcW w:w="555" w:type="pct"/>
                  <w:vMerge w:val="continue"/>
                  <w:vAlign w:val="center"/>
                </w:tcPr>
                <w:p w14:paraId="36054F35">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p>
              </w:tc>
              <w:tc>
                <w:tcPr>
                  <w:tcW w:w="0" w:type="auto"/>
                  <w:vAlign w:val="center"/>
                </w:tcPr>
                <w:p w14:paraId="68939A04">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化学需氧量</w:t>
                  </w:r>
                </w:p>
              </w:tc>
              <w:tc>
                <w:tcPr>
                  <w:tcW w:w="676" w:type="pct"/>
                  <w:vAlign w:val="center"/>
                </w:tcPr>
                <w:p w14:paraId="0D1CA1CE">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mg/L</w:t>
                  </w:r>
                </w:p>
              </w:tc>
              <w:tc>
                <w:tcPr>
                  <w:tcW w:w="1114" w:type="pct"/>
                  <w:shd w:val="clear" w:color="auto" w:fill="auto"/>
                  <w:vAlign w:val="center"/>
                </w:tcPr>
                <w:p w14:paraId="2EAB73C7">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11.024</w:t>
                  </w:r>
                </w:p>
              </w:tc>
              <w:tc>
                <w:tcPr>
                  <w:tcW w:w="754" w:type="pct"/>
                  <w:vAlign w:val="center"/>
                </w:tcPr>
                <w:p w14:paraId="122DAEE3">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100</w:t>
                  </w:r>
                </w:p>
              </w:tc>
              <w:tc>
                <w:tcPr>
                  <w:tcW w:w="664" w:type="pct"/>
                  <w:vAlign w:val="center"/>
                </w:tcPr>
                <w:p w14:paraId="66C5D162">
                  <w:pPr>
                    <w:spacing w:line="240" w:lineRule="auto"/>
                    <w:jc w:val="center"/>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lang w:eastAsia="zh-CN"/>
                    </w:rPr>
                    <w:t>达标</w:t>
                  </w:r>
                </w:p>
              </w:tc>
            </w:tr>
            <w:tr w14:paraId="055D60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411" w:type="pct"/>
                  <w:vMerge w:val="continue"/>
                  <w:vAlign w:val="center"/>
                </w:tcPr>
                <w:p w14:paraId="1E85F3EB">
                  <w:pPr>
                    <w:spacing w:line="240" w:lineRule="auto"/>
                    <w:jc w:val="center"/>
                    <w:rPr>
                      <w:rFonts w:hint="default" w:ascii="Times New Roman" w:hAnsi="Times New Roman" w:eastAsia="宋体" w:cs="Times New Roman"/>
                      <w:b w:val="0"/>
                      <w:bCs w:val="0"/>
                      <w:color w:val="auto"/>
                      <w:sz w:val="18"/>
                      <w:szCs w:val="18"/>
                      <w:highlight w:val="none"/>
                    </w:rPr>
                  </w:pPr>
                </w:p>
              </w:tc>
              <w:tc>
                <w:tcPr>
                  <w:tcW w:w="555" w:type="pct"/>
                  <w:vMerge w:val="continue"/>
                  <w:vAlign w:val="center"/>
                </w:tcPr>
                <w:p w14:paraId="6B20EA88">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p>
              </w:tc>
              <w:tc>
                <w:tcPr>
                  <w:tcW w:w="0" w:type="auto"/>
                  <w:vAlign w:val="center"/>
                </w:tcPr>
                <w:p w14:paraId="0E56D316">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氨氮</w:t>
                  </w:r>
                </w:p>
              </w:tc>
              <w:tc>
                <w:tcPr>
                  <w:tcW w:w="676" w:type="pct"/>
                  <w:vAlign w:val="center"/>
                </w:tcPr>
                <w:p w14:paraId="33D0E618">
                  <w:pPr>
                    <w:spacing w:line="240" w:lineRule="auto"/>
                    <w:jc w:val="center"/>
                    <w:rPr>
                      <w:rFonts w:hint="default" w:ascii="Times New Roman" w:hAnsi="Times New Roman" w:eastAsia="宋体" w:cs="Times New Roman"/>
                      <w:b w:val="0"/>
                      <w:bCs w:val="0"/>
                      <w:color w:val="auto"/>
                      <w:kern w:val="0"/>
                      <w:sz w:val="18"/>
                      <w:szCs w:val="18"/>
                      <w:highlight w:val="none"/>
                      <w:lang w:val="en-US" w:eastAsia="zh-CN" w:bidi="ar-SA"/>
                    </w:rPr>
                  </w:pPr>
                  <w:r>
                    <w:rPr>
                      <w:rFonts w:hint="default" w:ascii="Times New Roman" w:hAnsi="Times New Roman" w:eastAsia="宋体" w:cs="Times New Roman"/>
                      <w:b w:val="0"/>
                      <w:bCs w:val="0"/>
                      <w:color w:val="auto"/>
                      <w:kern w:val="0"/>
                      <w:sz w:val="18"/>
                      <w:szCs w:val="18"/>
                      <w:highlight w:val="none"/>
                    </w:rPr>
                    <w:t>mg/L</w:t>
                  </w:r>
                </w:p>
              </w:tc>
              <w:tc>
                <w:tcPr>
                  <w:tcW w:w="1114" w:type="pct"/>
                  <w:shd w:val="clear" w:color="auto" w:fill="auto"/>
                  <w:vAlign w:val="center"/>
                </w:tcPr>
                <w:p w14:paraId="153C0359">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0.115</w:t>
                  </w:r>
                </w:p>
              </w:tc>
              <w:tc>
                <w:tcPr>
                  <w:tcW w:w="754" w:type="pct"/>
                  <w:vAlign w:val="center"/>
                </w:tcPr>
                <w:p w14:paraId="434B3DC5">
                  <w:pPr>
                    <w:spacing w:line="240" w:lineRule="auto"/>
                    <w:jc w:val="center"/>
                    <w:rPr>
                      <w:rFonts w:hint="default" w:ascii="Times New Roman" w:hAnsi="Times New Roman" w:eastAsia="宋体" w:cs="Times New Roman"/>
                      <w:b w:val="0"/>
                      <w:bCs w:val="0"/>
                      <w:color w:val="auto"/>
                      <w:kern w:val="2"/>
                      <w:sz w:val="18"/>
                      <w:szCs w:val="18"/>
                      <w:highlight w:val="none"/>
                      <w:lang w:val="en-US" w:eastAsia="zh-CN" w:bidi="ar-SA"/>
                    </w:rPr>
                  </w:pPr>
                  <w:r>
                    <w:rPr>
                      <w:rFonts w:hint="default" w:ascii="Times New Roman" w:hAnsi="Times New Roman" w:eastAsia="宋体" w:cs="Times New Roman"/>
                      <w:b w:val="0"/>
                      <w:bCs w:val="0"/>
                      <w:color w:val="auto"/>
                      <w:sz w:val="18"/>
                      <w:szCs w:val="18"/>
                      <w:highlight w:val="none"/>
                      <w:lang w:val="en-US" w:eastAsia="zh-CN"/>
                    </w:rPr>
                    <w:t>25</w:t>
                  </w:r>
                </w:p>
              </w:tc>
              <w:tc>
                <w:tcPr>
                  <w:tcW w:w="664" w:type="pct"/>
                  <w:vAlign w:val="center"/>
                </w:tcPr>
                <w:p w14:paraId="1DE3D71E">
                  <w:pPr>
                    <w:spacing w:line="240" w:lineRule="auto"/>
                    <w:jc w:val="center"/>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lang w:eastAsia="zh-CN"/>
                    </w:rPr>
                    <w:t>达标</w:t>
                  </w:r>
                </w:p>
              </w:tc>
            </w:tr>
          </w:tbl>
          <w:p w14:paraId="436DBEC3">
            <w:pPr>
              <w:adjustRightInd/>
              <w:snapToGrid/>
              <w:spacing w:line="360" w:lineRule="auto"/>
              <w:ind w:firstLine="480" w:firstLineChars="200"/>
              <w:rPr>
                <w:rFonts w:hint="eastAsia" w:eastAsia="宋体"/>
                <w:color w:val="auto"/>
                <w:highlight w:val="none"/>
                <w:lang w:val="en-US" w:eastAsia="zh-CN"/>
              </w:rPr>
            </w:pPr>
            <w:r>
              <w:rPr>
                <w:rFonts w:hint="eastAsia"/>
                <w:color w:val="auto"/>
                <w:sz w:val="24"/>
                <w:szCs w:val="24"/>
                <w:highlight w:val="none"/>
              </w:rPr>
              <w:t>由上表可知，</w:t>
            </w:r>
            <w:r>
              <w:rPr>
                <w:rFonts w:hint="eastAsia"/>
                <w:color w:val="auto"/>
                <w:sz w:val="24"/>
                <w:szCs w:val="24"/>
                <w:highlight w:val="none"/>
                <w:lang w:eastAsia="zh-CN"/>
              </w:rPr>
              <w:t>本项目各类废水</w:t>
            </w:r>
            <w:r>
              <w:rPr>
                <w:rFonts w:hint="eastAsia"/>
                <w:color w:val="auto"/>
                <w:kern w:val="0"/>
                <w:sz w:val="24"/>
                <w:szCs w:val="24"/>
                <w:highlight w:val="none"/>
              </w:rPr>
              <w:t>经</w:t>
            </w:r>
            <w:r>
              <w:rPr>
                <w:rFonts w:hint="eastAsia"/>
                <w:color w:val="auto"/>
                <w:sz w:val="24"/>
                <w:highlight w:val="none"/>
              </w:rPr>
              <w:t>填埋场</w:t>
            </w:r>
            <w:r>
              <w:rPr>
                <w:rFonts w:hint="eastAsia"/>
                <w:color w:val="auto"/>
                <w:kern w:val="0"/>
                <w:sz w:val="24"/>
                <w:szCs w:val="24"/>
                <w:highlight w:val="none"/>
              </w:rPr>
              <w:t>渗滤液处理站处理</w:t>
            </w:r>
            <w:r>
              <w:rPr>
                <w:rFonts w:hint="eastAsia"/>
                <w:color w:val="auto"/>
                <w:kern w:val="0"/>
                <w:sz w:val="24"/>
                <w:szCs w:val="24"/>
                <w:highlight w:val="none"/>
                <w:lang w:eastAsia="zh-CN"/>
              </w:rPr>
              <w:t>后，</w:t>
            </w:r>
            <w:r>
              <w:rPr>
                <w:rFonts w:eastAsiaTheme="minorEastAsia"/>
                <w:color w:val="auto"/>
                <w:sz w:val="24"/>
                <w:highlight w:val="none"/>
              </w:rPr>
              <w:t>pH值、化学需氧量、氨氮排放浓度满足</w:t>
            </w:r>
            <w:r>
              <w:rPr>
                <w:rFonts w:hint="eastAsia" w:eastAsiaTheme="minorEastAsia"/>
                <w:color w:val="auto"/>
                <w:sz w:val="24"/>
                <w:highlight w:val="none"/>
              </w:rPr>
              <w:t>《生活垃圾填埋场污染控制标准》（GB16889-2008）表2现有和新建生活垃圾填埋场水污染物排放质量浓度限值</w:t>
            </w:r>
            <w:r>
              <w:rPr>
                <w:rFonts w:eastAsiaTheme="minorEastAsia"/>
                <w:color w:val="auto"/>
                <w:sz w:val="24"/>
                <w:highlight w:val="none"/>
              </w:rPr>
              <w:t>要求</w:t>
            </w:r>
            <w:r>
              <w:rPr>
                <w:rFonts w:hint="eastAsia"/>
                <w:color w:val="auto"/>
                <w:sz w:val="24"/>
                <w:highlight w:val="none"/>
              </w:rPr>
              <w:t>。</w:t>
            </w:r>
          </w:p>
          <w:p w14:paraId="2F1BFE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7.2.</w:t>
            </w:r>
            <w:r>
              <w:rPr>
                <w:rFonts w:hint="eastAsia" w:ascii="Times New Roman" w:hAnsi="Times New Roman" w:eastAsia="黑体" w:cs="Times New Roman"/>
                <w:bCs/>
                <w:color w:val="auto"/>
                <w:sz w:val="24"/>
                <w:szCs w:val="24"/>
                <w:highlight w:val="none"/>
                <w:lang w:val="en-US" w:eastAsia="zh-CN"/>
              </w:rPr>
              <w:t>3</w:t>
            </w:r>
            <w:r>
              <w:rPr>
                <w:rFonts w:hint="eastAsia" w:ascii="Times New Roman" w:hAnsi="Times New Roman" w:eastAsia="黑体" w:cs="Times New Roman"/>
                <w:bCs/>
                <w:color w:val="auto"/>
                <w:sz w:val="24"/>
                <w:szCs w:val="24"/>
                <w:highlight w:val="none"/>
              </w:rPr>
              <w:t>废气监测结果及分析</w:t>
            </w:r>
          </w:p>
          <w:p w14:paraId="1F2F8890">
            <w:pPr>
              <w:adjustRightInd/>
              <w:snapToGrid/>
              <w:spacing w:line="360" w:lineRule="auto"/>
              <w:ind w:firstLine="480" w:firstLineChars="200"/>
              <w:rPr>
                <w:color w:val="auto"/>
                <w:sz w:val="24"/>
                <w:highlight w:val="none"/>
              </w:rPr>
            </w:pPr>
            <w:r>
              <w:rPr>
                <w:rFonts w:hint="eastAsia"/>
                <w:color w:val="auto"/>
                <w:sz w:val="24"/>
                <w:highlight w:val="none"/>
              </w:rPr>
              <w:t>（1）有组织废气监测结果</w:t>
            </w:r>
          </w:p>
          <w:p w14:paraId="13ADEF86">
            <w:pPr>
              <w:adjustRightInd/>
              <w:snapToGrid/>
              <w:spacing w:line="360" w:lineRule="auto"/>
              <w:ind w:firstLine="480" w:firstLineChars="200"/>
              <w:rPr>
                <w:rFonts w:hint="default"/>
                <w:lang w:val="en-US" w:eastAsia="zh-CN"/>
              </w:rPr>
            </w:pPr>
            <w:r>
              <w:rPr>
                <w:rFonts w:hint="eastAsia" w:ascii="Times New Roman" w:hAnsi="Times New Roman" w:eastAsia="宋体" w:cs="Times New Roman"/>
                <w:color w:val="auto"/>
                <w:sz w:val="24"/>
                <w:szCs w:val="24"/>
                <w:highlight w:val="none"/>
                <w:lang w:eastAsia="zh-CN"/>
              </w:rPr>
              <w:t>故续建工程共监测了</w:t>
            </w:r>
            <w:r>
              <w:rPr>
                <w:rFonts w:hint="eastAsia" w:ascii="Times New Roman" w:hAnsi="Times New Roman" w:eastAsia="宋体" w:cs="Times New Roman"/>
                <w:color w:val="auto"/>
                <w:sz w:val="24"/>
                <w:szCs w:val="24"/>
                <w:highlight w:val="none"/>
                <w:lang w:val="en-US" w:eastAsia="zh-CN"/>
              </w:rPr>
              <w:t>DA005、DA007、DA010三个排放口的监测数据。</w:t>
            </w:r>
          </w:p>
          <w:p w14:paraId="7F54D035">
            <w:pPr>
              <w:adjustRightInd/>
              <w:snapToGrid/>
              <w:spacing w:line="360" w:lineRule="auto"/>
              <w:ind w:firstLine="480" w:firstLineChars="200"/>
              <w:rPr>
                <w:color w:val="auto"/>
                <w:sz w:val="24"/>
                <w:highlight w:val="none"/>
              </w:rPr>
            </w:pPr>
            <w:r>
              <w:rPr>
                <w:rFonts w:hint="eastAsia"/>
                <w:color w:val="auto"/>
                <w:sz w:val="24"/>
                <w:highlight w:val="none"/>
                <w:lang w:eastAsia="zh-CN"/>
              </w:rPr>
              <w:t>续建工程</w:t>
            </w:r>
            <w:r>
              <w:rPr>
                <w:rFonts w:hint="eastAsia"/>
                <w:color w:val="auto"/>
                <w:sz w:val="24"/>
                <w:highlight w:val="none"/>
              </w:rPr>
              <w:t>有组织废气监测结果见下表</w:t>
            </w:r>
            <w:r>
              <w:rPr>
                <w:color w:val="auto"/>
                <w:sz w:val="24"/>
                <w:highlight w:val="none"/>
              </w:rPr>
              <w:t>。</w:t>
            </w:r>
          </w:p>
          <w:p w14:paraId="7C41A2E0">
            <w:pPr>
              <w:pStyle w:val="121"/>
              <w:adjustRightInd/>
              <w:snapToGrid/>
              <w:rPr>
                <w:color w:val="auto"/>
                <w:sz w:val="21"/>
                <w:highlight w:val="none"/>
              </w:rPr>
            </w:pPr>
            <w:r>
              <w:rPr>
                <w:rFonts w:hint="eastAsia"/>
                <w:color w:val="auto"/>
                <w:sz w:val="21"/>
                <w:highlight w:val="none"/>
              </w:rPr>
              <w:t>有组织废气监测结果一览表</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48"/>
              <w:gridCol w:w="742"/>
              <w:gridCol w:w="976"/>
              <w:gridCol w:w="1490"/>
              <w:gridCol w:w="913"/>
              <w:gridCol w:w="913"/>
              <w:gridCol w:w="924"/>
              <w:gridCol w:w="829"/>
              <w:gridCol w:w="880"/>
              <w:gridCol w:w="755"/>
            </w:tblGrid>
            <w:tr w14:paraId="12539A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57" w:type="pct"/>
                  <w:vMerge w:val="restart"/>
                  <w:vAlign w:val="center"/>
                </w:tcPr>
                <w:p w14:paraId="285F2839">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监测</w:t>
                  </w:r>
                </w:p>
                <w:p w14:paraId="7B397F2F">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点位</w:t>
                  </w:r>
                </w:p>
              </w:tc>
              <w:tc>
                <w:tcPr>
                  <w:tcW w:w="409" w:type="pct"/>
                  <w:vMerge w:val="restart"/>
                  <w:vAlign w:val="center"/>
                </w:tcPr>
                <w:p w14:paraId="2A1D514E">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监测</w:t>
                  </w:r>
                </w:p>
                <w:p w14:paraId="536AC98D">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时间</w:t>
                  </w:r>
                </w:p>
              </w:tc>
              <w:tc>
                <w:tcPr>
                  <w:tcW w:w="1359" w:type="pct"/>
                  <w:gridSpan w:val="2"/>
                  <w:vMerge w:val="restart"/>
                  <w:vAlign w:val="center"/>
                </w:tcPr>
                <w:p w14:paraId="327DC99B">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监测项目</w:t>
                  </w:r>
                </w:p>
              </w:tc>
              <w:tc>
                <w:tcPr>
                  <w:tcW w:w="1515" w:type="pct"/>
                  <w:gridSpan w:val="3"/>
                  <w:vAlign w:val="center"/>
                </w:tcPr>
                <w:p w14:paraId="1FBFF949">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监测结果</w:t>
                  </w:r>
                </w:p>
              </w:tc>
              <w:tc>
                <w:tcPr>
                  <w:tcW w:w="457" w:type="pct"/>
                  <w:vMerge w:val="restart"/>
                  <w:vAlign w:val="center"/>
                </w:tcPr>
                <w:p w14:paraId="115AF187">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最大值</w:t>
                  </w:r>
                </w:p>
              </w:tc>
              <w:tc>
                <w:tcPr>
                  <w:tcW w:w="485" w:type="pct"/>
                  <w:vMerge w:val="restart"/>
                  <w:vAlign w:val="center"/>
                </w:tcPr>
                <w:p w14:paraId="669883E3">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标准</w:t>
                  </w:r>
                </w:p>
                <w:p w14:paraId="4888287A">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限值</w:t>
                  </w:r>
                </w:p>
              </w:tc>
              <w:tc>
                <w:tcPr>
                  <w:tcW w:w="416" w:type="pct"/>
                  <w:vMerge w:val="restart"/>
                  <w:vAlign w:val="center"/>
                </w:tcPr>
                <w:p w14:paraId="35248B68">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结果</w:t>
                  </w:r>
                </w:p>
                <w:p w14:paraId="2B82BFDC">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评价</w:t>
                  </w:r>
                </w:p>
              </w:tc>
            </w:tr>
            <w:tr w14:paraId="388C84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57" w:type="pct"/>
                  <w:vMerge w:val="continue"/>
                  <w:vAlign w:val="center"/>
                </w:tcPr>
                <w:p w14:paraId="3BCD3AB6">
                  <w:pPr>
                    <w:widowControl/>
                    <w:jc w:val="center"/>
                    <w:rPr>
                      <w:rFonts w:hint="default" w:ascii="Times New Roman" w:hAnsi="Times New Roman" w:eastAsia="宋体" w:cs="Times New Roman"/>
                      <w:b/>
                      <w:bCs/>
                      <w:color w:val="auto"/>
                      <w:sz w:val="18"/>
                      <w:szCs w:val="18"/>
                      <w:highlight w:val="none"/>
                    </w:rPr>
                  </w:pPr>
                </w:p>
              </w:tc>
              <w:tc>
                <w:tcPr>
                  <w:tcW w:w="409" w:type="pct"/>
                  <w:vMerge w:val="continue"/>
                  <w:vAlign w:val="center"/>
                </w:tcPr>
                <w:p w14:paraId="009EA3EA">
                  <w:pPr>
                    <w:widowControl/>
                    <w:jc w:val="center"/>
                    <w:rPr>
                      <w:rFonts w:hint="default" w:ascii="Times New Roman" w:hAnsi="Times New Roman" w:eastAsia="宋体" w:cs="Times New Roman"/>
                      <w:b/>
                      <w:bCs/>
                      <w:color w:val="auto"/>
                      <w:sz w:val="18"/>
                      <w:szCs w:val="18"/>
                      <w:highlight w:val="none"/>
                    </w:rPr>
                  </w:pPr>
                </w:p>
              </w:tc>
              <w:tc>
                <w:tcPr>
                  <w:tcW w:w="1359" w:type="pct"/>
                  <w:gridSpan w:val="2"/>
                  <w:vMerge w:val="continue"/>
                  <w:vAlign w:val="center"/>
                </w:tcPr>
                <w:p w14:paraId="6AFE8422">
                  <w:pPr>
                    <w:widowControl/>
                    <w:jc w:val="center"/>
                    <w:rPr>
                      <w:rFonts w:hint="default" w:ascii="Times New Roman" w:hAnsi="Times New Roman" w:eastAsia="宋体" w:cs="Times New Roman"/>
                      <w:b/>
                      <w:bCs/>
                      <w:color w:val="auto"/>
                      <w:sz w:val="18"/>
                      <w:szCs w:val="18"/>
                      <w:highlight w:val="none"/>
                    </w:rPr>
                  </w:pPr>
                </w:p>
              </w:tc>
              <w:tc>
                <w:tcPr>
                  <w:tcW w:w="503" w:type="pct"/>
                  <w:vAlign w:val="center"/>
                </w:tcPr>
                <w:p w14:paraId="5AFC4115">
                  <w:pPr>
                    <w:widowControl/>
                    <w:jc w:val="center"/>
                    <w:rPr>
                      <w:rFonts w:hint="default" w:ascii="Times New Roman" w:hAnsi="Times New Roman" w:eastAsia="宋体" w:cs="Times New Roman"/>
                      <w:b/>
                      <w:bCs/>
                      <w:color w:val="auto"/>
                      <w:kern w:val="0"/>
                      <w:sz w:val="18"/>
                      <w:szCs w:val="18"/>
                      <w:highlight w:val="none"/>
                    </w:rPr>
                  </w:pPr>
                  <w:r>
                    <w:rPr>
                      <w:rFonts w:hint="default" w:ascii="Times New Roman" w:hAnsi="Times New Roman" w:eastAsia="宋体" w:cs="Times New Roman"/>
                      <w:b/>
                      <w:bCs/>
                      <w:color w:val="auto"/>
                      <w:kern w:val="0"/>
                      <w:sz w:val="18"/>
                      <w:szCs w:val="18"/>
                      <w:highlight w:val="none"/>
                    </w:rPr>
                    <w:t>第1次</w:t>
                  </w:r>
                </w:p>
              </w:tc>
              <w:tc>
                <w:tcPr>
                  <w:tcW w:w="503" w:type="pct"/>
                  <w:vAlign w:val="center"/>
                </w:tcPr>
                <w:p w14:paraId="31316F21">
                  <w:pPr>
                    <w:widowControl/>
                    <w:jc w:val="center"/>
                    <w:rPr>
                      <w:rFonts w:hint="default" w:ascii="Times New Roman" w:hAnsi="Times New Roman" w:eastAsia="宋体" w:cs="Times New Roman"/>
                      <w:b/>
                      <w:bCs/>
                      <w:color w:val="auto"/>
                      <w:kern w:val="0"/>
                      <w:sz w:val="18"/>
                      <w:szCs w:val="18"/>
                      <w:highlight w:val="none"/>
                      <w:lang w:val="en-US" w:eastAsia="zh-CN" w:bidi="ar-SA"/>
                    </w:rPr>
                  </w:pPr>
                  <w:r>
                    <w:rPr>
                      <w:rFonts w:hint="default" w:ascii="Times New Roman" w:hAnsi="Times New Roman" w:eastAsia="宋体" w:cs="Times New Roman"/>
                      <w:b/>
                      <w:bCs/>
                      <w:color w:val="auto"/>
                      <w:kern w:val="0"/>
                      <w:sz w:val="18"/>
                      <w:szCs w:val="18"/>
                      <w:highlight w:val="none"/>
                    </w:rPr>
                    <w:t>第2次</w:t>
                  </w:r>
                </w:p>
              </w:tc>
              <w:tc>
                <w:tcPr>
                  <w:tcW w:w="509" w:type="pct"/>
                  <w:tcBorders>
                    <w:bottom w:val="single" w:color="auto" w:sz="12" w:space="0"/>
                  </w:tcBorders>
                  <w:vAlign w:val="center"/>
                </w:tcPr>
                <w:p w14:paraId="410B8997">
                  <w:pPr>
                    <w:widowControl/>
                    <w:jc w:val="center"/>
                    <w:rPr>
                      <w:rFonts w:hint="default" w:ascii="Times New Roman" w:hAnsi="Times New Roman" w:eastAsia="宋体" w:cs="Times New Roman"/>
                      <w:b/>
                      <w:bCs/>
                      <w:color w:val="auto"/>
                      <w:kern w:val="0"/>
                      <w:sz w:val="18"/>
                      <w:szCs w:val="18"/>
                      <w:highlight w:val="none"/>
                      <w:lang w:val="en-US" w:eastAsia="zh-CN" w:bidi="ar-SA"/>
                    </w:rPr>
                  </w:pPr>
                  <w:r>
                    <w:rPr>
                      <w:rFonts w:hint="default" w:ascii="Times New Roman" w:hAnsi="Times New Roman" w:eastAsia="宋体" w:cs="Times New Roman"/>
                      <w:b/>
                      <w:bCs/>
                      <w:color w:val="auto"/>
                      <w:kern w:val="0"/>
                      <w:sz w:val="18"/>
                      <w:szCs w:val="18"/>
                      <w:highlight w:val="none"/>
                    </w:rPr>
                    <w:t>第3次</w:t>
                  </w:r>
                </w:p>
              </w:tc>
              <w:tc>
                <w:tcPr>
                  <w:tcW w:w="457" w:type="pct"/>
                  <w:vMerge w:val="continue"/>
                  <w:vAlign w:val="center"/>
                </w:tcPr>
                <w:p w14:paraId="6862666B">
                  <w:pPr>
                    <w:widowControl/>
                    <w:jc w:val="center"/>
                    <w:rPr>
                      <w:rFonts w:hint="default" w:ascii="Times New Roman" w:hAnsi="Times New Roman" w:eastAsia="宋体" w:cs="Times New Roman"/>
                      <w:b w:val="0"/>
                      <w:bCs w:val="0"/>
                      <w:color w:val="auto"/>
                      <w:kern w:val="0"/>
                      <w:sz w:val="18"/>
                      <w:szCs w:val="18"/>
                      <w:highlight w:val="none"/>
                    </w:rPr>
                  </w:pPr>
                </w:p>
              </w:tc>
              <w:tc>
                <w:tcPr>
                  <w:tcW w:w="485" w:type="pct"/>
                  <w:vMerge w:val="continue"/>
                  <w:vAlign w:val="center"/>
                </w:tcPr>
                <w:p w14:paraId="23262C89">
                  <w:pPr>
                    <w:widowControl/>
                    <w:jc w:val="center"/>
                    <w:rPr>
                      <w:rFonts w:hint="default" w:ascii="Times New Roman" w:hAnsi="Times New Roman" w:eastAsia="宋体" w:cs="Times New Roman"/>
                      <w:b w:val="0"/>
                      <w:bCs w:val="0"/>
                      <w:color w:val="auto"/>
                      <w:kern w:val="0"/>
                      <w:sz w:val="18"/>
                      <w:szCs w:val="18"/>
                      <w:highlight w:val="none"/>
                    </w:rPr>
                  </w:pPr>
                </w:p>
              </w:tc>
              <w:tc>
                <w:tcPr>
                  <w:tcW w:w="416" w:type="pct"/>
                  <w:vMerge w:val="continue"/>
                  <w:vAlign w:val="center"/>
                </w:tcPr>
                <w:p w14:paraId="6A861316">
                  <w:pPr>
                    <w:widowControl/>
                    <w:jc w:val="center"/>
                    <w:rPr>
                      <w:rFonts w:hint="default" w:ascii="Times New Roman" w:hAnsi="Times New Roman" w:eastAsia="宋体" w:cs="Times New Roman"/>
                      <w:b w:val="0"/>
                      <w:bCs w:val="0"/>
                      <w:color w:val="auto"/>
                      <w:kern w:val="0"/>
                      <w:sz w:val="18"/>
                      <w:szCs w:val="18"/>
                      <w:highlight w:val="none"/>
                    </w:rPr>
                  </w:pPr>
                </w:p>
              </w:tc>
            </w:tr>
            <w:tr w14:paraId="684E7F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restart"/>
                  <w:tcBorders>
                    <w:top w:val="single" w:color="auto" w:sz="12" w:space="0"/>
                    <w:tl2br w:val="nil"/>
                    <w:tr2bl w:val="nil"/>
                  </w:tcBorders>
                  <w:vAlign w:val="center"/>
                </w:tcPr>
                <w:p w14:paraId="494311D5">
                  <w:pPr>
                    <w:widowControl/>
                    <w:jc w:val="center"/>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DA005废气排放口◎YQ1</w:t>
                  </w:r>
                </w:p>
                <w:p w14:paraId="6CB03D01">
                  <w:pPr>
                    <w:widowControl/>
                    <w:jc w:val="center"/>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H=15m</w:t>
                  </w:r>
                </w:p>
              </w:tc>
              <w:tc>
                <w:tcPr>
                  <w:tcW w:w="409" w:type="pct"/>
                  <w:vMerge w:val="restart"/>
                  <w:tcBorders>
                    <w:top w:val="single" w:color="auto" w:sz="12" w:space="0"/>
                    <w:tl2br w:val="nil"/>
                    <w:tr2bl w:val="nil"/>
                  </w:tcBorders>
                  <w:vAlign w:val="center"/>
                </w:tcPr>
                <w:p w14:paraId="19EF383E">
                  <w:pPr>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10</w:t>
                  </w:r>
                </w:p>
              </w:tc>
              <w:tc>
                <w:tcPr>
                  <w:tcW w:w="538" w:type="pct"/>
                  <w:tcBorders>
                    <w:top w:val="single" w:color="auto" w:sz="12" w:space="0"/>
                    <w:tl2br w:val="nil"/>
                    <w:tr2bl w:val="nil"/>
                  </w:tcBorders>
                  <w:vAlign w:val="center"/>
                </w:tcPr>
                <w:p w14:paraId="7AF111B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tcBorders>
                    <w:top w:val="single" w:color="auto" w:sz="12" w:space="0"/>
                    <w:tl2br w:val="nil"/>
                    <w:tr2bl w:val="nil"/>
                  </w:tcBorders>
                  <w:vAlign w:val="center"/>
                </w:tcPr>
                <w:p w14:paraId="39B01EB8">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tcBorders>
                    <w:top w:val="single" w:color="auto" w:sz="12" w:space="0"/>
                    <w:tl2br w:val="nil"/>
                    <w:tr2bl w:val="nil"/>
                  </w:tcBorders>
                  <w:shd w:val="clear" w:color="auto" w:fill="auto"/>
                  <w:vAlign w:val="center"/>
                </w:tcPr>
                <w:p w14:paraId="06FE0E0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2173</w:t>
                  </w:r>
                </w:p>
              </w:tc>
              <w:tc>
                <w:tcPr>
                  <w:tcW w:w="503" w:type="pct"/>
                  <w:tcBorders>
                    <w:top w:val="single" w:color="auto" w:sz="12" w:space="0"/>
                    <w:tl2br w:val="nil"/>
                    <w:tr2bl w:val="nil"/>
                  </w:tcBorders>
                  <w:shd w:val="clear" w:color="auto" w:fill="auto"/>
                  <w:vAlign w:val="center"/>
                </w:tcPr>
                <w:p w14:paraId="66E3B53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2353</w:t>
                  </w:r>
                </w:p>
              </w:tc>
              <w:tc>
                <w:tcPr>
                  <w:tcW w:w="509" w:type="pct"/>
                  <w:tcBorders>
                    <w:top w:val="single" w:color="auto" w:sz="12" w:space="0"/>
                    <w:tl2br w:val="nil"/>
                    <w:tr2bl w:val="nil"/>
                  </w:tcBorders>
                  <w:shd w:val="clear" w:color="auto" w:fill="auto"/>
                  <w:vAlign w:val="center"/>
                </w:tcPr>
                <w:p w14:paraId="4A20A8F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2167</w:t>
                  </w:r>
                </w:p>
              </w:tc>
              <w:tc>
                <w:tcPr>
                  <w:tcW w:w="457" w:type="pct"/>
                  <w:tcBorders>
                    <w:top w:val="single" w:color="auto" w:sz="12" w:space="0"/>
                    <w:tl2br w:val="nil"/>
                    <w:tr2bl w:val="nil"/>
                  </w:tcBorders>
                  <w:shd w:val="clear" w:color="auto" w:fill="auto"/>
                  <w:vAlign w:val="center"/>
                </w:tcPr>
                <w:p w14:paraId="35D192A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2353</w:t>
                  </w:r>
                </w:p>
              </w:tc>
              <w:tc>
                <w:tcPr>
                  <w:tcW w:w="485" w:type="pct"/>
                  <w:tcBorders>
                    <w:top w:val="single" w:color="auto" w:sz="12" w:space="0"/>
                    <w:tl2br w:val="nil"/>
                    <w:tr2bl w:val="nil"/>
                  </w:tcBorders>
                  <w:vAlign w:val="center"/>
                </w:tcPr>
                <w:p w14:paraId="5F95E5B9">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c>
                <w:tcPr>
                  <w:tcW w:w="416" w:type="pct"/>
                  <w:tcBorders>
                    <w:top w:val="single" w:color="auto" w:sz="12" w:space="0"/>
                    <w:tl2br w:val="nil"/>
                    <w:tr2bl w:val="nil"/>
                  </w:tcBorders>
                  <w:vAlign w:val="center"/>
                </w:tcPr>
                <w:p w14:paraId="3EA178FB">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68DB1A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65E2A66">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5D27329">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6423510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tcBorders>
                    <w:tl2br w:val="nil"/>
                    <w:tr2bl w:val="nil"/>
                  </w:tcBorders>
                  <w:vAlign w:val="center"/>
                </w:tcPr>
                <w:p w14:paraId="4EBFF44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7FFFD8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335.7</w:t>
                  </w:r>
                </w:p>
              </w:tc>
              <w:tc>
                <w:tcPr>
                  <w:tcW w:w="503" w:type="pct"/>
                  <w:tcBorders>
                    <w:tl2br w:val="nil"/>
                    <w:tr2bl w:val="nil"/>
                  </w:tcBorders>
                  <w:shd w:val="clear" w:color="auto" w:fill="auto"/>
                  <w:vAlign w:val="center"/>
                </w:tcPr>
                <w:p w14:paraId="371A067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329.2</w:t>
                  </w:r>
                </w:p>
              </w:tc>
              <w:tc>
                <w:tcPr>
                  <w:tcW w:w="509" w:type="pct"/>
                  <w:tcBorders>
                    <w:tl2br w:val="nil"/>
                    <w:tr2bl w:val="nil"/>
                  </w:tcBorders>
                  <w:shd w:val="clear" w:color="auto" w:fill="auto"/>
                  <w:vAlign w:val="center"/>
                </w:tcPr>
                <w:p w14:paraId="39C4F6E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332.7</w:t>
                  </w:r>
                </w:p>
              </w:tc>
              <w:tc>
                <w:tcPr>
                  <w:tcW w:w="457" w:type="pct"/>
                  <w:tcBorders>
                    <w:tl2br w:val="nil"/>
                    <w:tr2bl w:val="nil"/>
                  </w:tcBorders>
                  <w:shd w:val="clear" w:color="auto" w:fill="auto"/>
                  <w:vAlign w:val="center"/>
                </w:tcPr>
                <w:p w14:paraId="2EA8243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335.7</w:t>
                  </w:r>
                </w:p>
              </w:tc>
              <w:tc>
                <w:tcPr>
                  <w:tcW w:w="485" w:type="pct"/>
                  <w:tcBorders>
                    <w:tl2br w:val="nil"/>
                    <w:tr2bl w:val="nil"/>
                  </w:tcBorders>
                  <w:vAlign w:val="center"/>
                </w:tcPr>
                <w:p w14:paraId="5E270FE0">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51517B36">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57E760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C2706A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AE1B80F">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318F79FB">
                  <w:pPr>
                    <w:autoSpaceDN w:val="0"/>
                    <w:jc w:val="center"/>
                    <w:textAlignment w:val="center"/>
                    <w:rPr>
                      <w:rFonts w:hint="eastAsia" w:ascii="Times New Roman" w:hAnsi="Times New Roman" w:eastAsia="宋体" w:cs="Times New Roman"/>
                      <w:color w:val="auto"/>
                      <w:sz w:val="18"/>
                      <w:szCs w:val="18"/>
                      <w:highlight w:val="none"/>
                      <w:lang w:eastAsia="zh-CN"/>
                    </w:rPr>
                  </w:pPr>
                  <w:r>
                    <w:rPr>
                      <w:rFonts w:hint="eastAsia" w:cs="Times New Roman"/>
                      <w:color w:val="auto"/>
                      <w:sz w:val="18"/>
                      <w:szCs w:val="18"/>
                      <w:highlight w:val="none"/>
                      <w:lang w:eastAsia="zh-CN"/>
                    </w:rPr>
                    <w:t>烟气湿度</w:t>
                  </w:r>
                </w:p>
              </w:tc>
              <w:tc>
                <w:tcPr>
                  <w:tcW w:w="821" w:type="pct"/>
                  <w:tcBorders>
                    <w:tl2br w:val="nil"/>
                    <w:tr2bl w:val="nil"/>
                  </w:tcBorders>
                  <w:vAlign w:val="center"/>
                </w:tcPr>
                <w:p w14:paraId="4CBCE796">
                  <w:pPr>
                    <w:autoSpaceDN w:val="0"/>
                    <w:jc w:val="center"/>
                    <w:textAlignment w:val="center"/>
                    <w:rPr>
                      <w:rFonts w:hint="default" w:ascii="Times New Roman" w:hAnsi="Times New Roman" w:eastAsia="宋体" w:cs="Times New Roman"/>
                      <w:color w:val="auto"/>
                      <w:sz w:val="18"/>
                      <w:szCs w:val="18"/>
                      <w:highlight w:val="none"/>
                    </w:rPr>
                  </w:pPr>
                  <w:r>
                    <w:rPr>
                      <w:rFonts w:hint="eastAsia"/>
                      <w:color w:val="000000" w:themeColor="text1"/>
                      <w:lang w:val="en-US" w:eastAsia="zh-CN"/>
                      <w14:textFill>
                        <w14:solidFill>
                          <w14:schemeClr w14:val="tx1"/>
                        </w14:solidFill>
                      </w14:textFill>
                    </w:rPr>
                    <w:t>%</w:t>
                  </w:r>
                </w:p>
              </w:tc>
              <w:tc>
                <w:tcPr>
                  <w:tcW w:w="503" w:type="pct"/>
                  <w:tcBorders>
                    <w:tl2br w:val="nil"/>
                    <w:tr2bl w:val="nil"/>
                  </w:tcBorders>
                  <w:shd w:val="clear" w:color="auto" w:fill="auto"/>
                  <w:vAlign w:val="center"/>
                </w:tcPr>
                <w:p w14:paraId="44251CD6">
                  <w:pPr>
                    <w:autoSpaceDN w:val="0"/>
                    <w:jc w:val="center"/>
                    <w:textAlignment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8.10</w:t>
                  </w:r>
                </w:p>
              </w:tc>
              <w:tc>
                <w:tcPr>
                  <w:tcW w:w="503" w:type="pct"/>
                  <w:tcBorders>
                    <w:tl2br w:val="nil"/>
                    <w:tr2bl w:val="nil"/>
                  </w:tcBorders>
                  <w:shd w:val="clear" w:color="auto" w:fill="auto"/>
                  <w:vAlign w:val="center"/>
                </w:tcPr>
                <w:p w14:paraId="6EB0E418">
                  <w:pPr>
                    <w:autoSpaceDN w:val="0"/>
                    <w:jc w:val="center"/>
                    <w:textAlignment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7.72</w:t>
                  </w:r>
                </w:p>
              </w:tc>
              <w:tc>
                <w:tcPr>
                  <w:tcW w:w="509" w:type="pct"/>
                  <w:tcBorders>
                    <w:tl2br w:val="nil"/>
                    <w:tr2bl w:val="nil"/>
                  </w:tcBorders>
                  <w:shd w:val="clear" w:color="auto" w:fill="auto"/>
                  <w:vAlign w:val="center"/>
                </w:tcPr>
                <w:p w14:paraId="7160DD7C">
                  <w:pPr>
                    <w:autoSpaceDN w:val="0"/>
                    <w:jc w:val="center"/>
                    <w:textAlignment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7.66</w:t>
                  </w:r>
                </w:p>
              </w:tc>
              <w:tc>
                <w:tcPr>
                  <w:tcW w:w="457" w:type="pct"/>
                  <w:tcBorders>
                    <w:tl2br w:val="nil"/>
                    <w:tr2bl w:val="nil"/>
                  </w:tcBorders>
                  <w:shd w:val="clear" w:color="auto" w:fill="auto"/>
                  <w:vAlign w:val="center"/>
                </w:tcPr>
                <w:p w14:paraId="58227207">
                  <w:pPr>
                    <w:autoSpaceDN w:val="0"/>
                    <w:jc w:val="center"/>
                    <w:textAlignment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8.1</w:t>
                  </w:r>
                  <w:r>
                    <w:rPr>
                      <w:rFonts w:hint="eastAsia" w:ascii="Times New Roman" w:hAnsi="Times New Roman" w:eastAsia="宋体" w:cs="Times New Roman"/>
                      <w:color w:val="auto"/>
                      <w:sz w:val="18"/>
                      <w:szCs w:val="18"/>
                      <w:highlight w:val="none"/>
                      <w:lang w:val="en-US" w:eastAsia="zh-CN"/>
                    </w:rPr>
                    <w:t>0</w:t>
                  </w:r>
                </w:p>
              </w:tc>
              <w:tc>
                <w:tcPr>
                  <w:tcW w:w="485" w:type="pct"/>
                  <w:tcBorders>
                    <w:tl2br w:val="nil"/>
                    <w:tr2bl w:val="nil"/>
                  </w:tcBorders>
                  <w:vAlign w:val="center"/>
                </w:tcPr>
                <w:p w14:paraId="7C2056CD">
                  <w:pPr>
                    <w:widowControl/>
                    <w:jc w:val="center"/>
                    <w:rPr>
                      <w:rFonts w:hint="default" w:ascii="Times New Roman" w:hAnsi="Times New Roman" w:eastAsia="宋体" w:cs="Times New Roman"/>
                      <w:color w:val="auto"/>
                      <w:kern w:val="0"/>
                      <w:sz w:val="18"/>
                      <w:szCs w:val="18"/>
                      <w:highlight w:val="none"/>
                      <w:lang w:val="en-US" w:eastAsia="zh-CN"/>
                    </w:rPr>
                  </w:pPr>
                </w:p>
              </w:tc>
              <w:tc>
                <w:tcPr>
                  <w:tcW w:w="416" w:type="pct"/>
                  <w:tcBorders>
                    <w:tl2br w:val="nil"/>
                    <w:tr2bl w:val="nil"/>
                  </w:tcBorders>
                  <w:vAlign w:val="center"/>
                </w:tcPr>
                <w:p w14:paraId="3DF19366">
                  <w:pPr>
                    <w:widowControl/>
                    <w:jc w:val="center"/>
                    <w:rPr>
                      <w:rFonts w:hint="default" w:ascii="Times New Roman" w:hAnsi="Times New Roman" w:eastAsia="宋体" w:cs="Times New Roman"/>
                      <w:color w:val="auto"/>
                      <w:kern w:val="0"/>
                      <w:sz w:val="18"/>
                      <w:szCs w:val="18"/>
                      <w:highlight w:val="none"/>
                      <w:lang w:val="en-US" w:eastAsia="zh-CN"/>
                    </w:rPr>
                  </w:pPr>
                </w:p>
              </w:tc>
            </w:tr>
            <w:tr w14:paraId="27BAC7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F16BB7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E380464">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1530A62B">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tcBorders>
                    <w:tl2br w:val="nil"/>
                    <w:tr2bl w:val="nil"/>
                  </w:tcBorders>
                  <w:vAlign w:val="center"/>
                </w:tcPr>
                <w:p w14:paraId="7B996BA5">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tcBorders>
                    <w:tl2br w:val="nil"/>
                    <w:tr2bl w:val="nil"/>
                  </w:tcBorders>
                  <w:shd w:val="clear" w:color="auto" w:fill="auto"/>
                  <w:vAlign w:val="center"/>
                </w:tcPr>
                <w:p w14:paraId="425CC0D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15.1</w:t>
                  </w:r>
                </w:p>
              </w:tc>
              <w:tc>
                <w:tcPr>
                  <w:tcW w:w="503" w:type="pct"/>
                  <w:tcBorders>
                    <w:tl2br w:val="nil"/>
                    <w:tr2bl w:val="nil"/>
                  </w:tcBorders>
                  <w:shd w:val="clear" w:color="auto" w:fill="auto"/>
                  <w:vAlign w:val="center"/>
                </w:tcPr>
                <w:p w14:paraId="5C35ACE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16.1</w:t>
                  </w:r>
                </w:p>
              </w:tc>
              <w:tc>
                <w:tcPr>
                  <w:tcW w:w="509" w:type="pct"/>
                  <w:tcBorders>
                    <w:tl2br w:val="nil"/>
                    <w:tr2bl w:val="nil"/>
                  </w:tcBorders>
                  <w:shd w:val="clear" w:color="auto" w:fill="auto"/>
                  <w:vAlign w:val="center"/>
                </w:tcPr>
                <w:p w14:paraId="6848C6E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14.9</w:t>
                  </w:r>
                </w:p>
              </w:tc>
              <w:tc>
                <w:tcPr>
                  <w:tcW w:w="457" w:type="pct"/>
                  <w:tcBorders>
                    <w:tl2br w:val="nil"/>
                    <w:tr2bl w:val="nil"/>
                  </w:tcBorders>
                  <w:shd w:val="clear" w:color="auto" w:fill="auto"/>
                  <w:vAlign w:val="center"/>
                </w:tcPr>
                <w:p w14:paraId="78FB997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16.1</w:t>
                  </w:r>
                </w:p>
              </w:tc>
              <w:tc>
                <w:tcPr>
                  <w:tcW w:w="485" w:type="pct"/>
                  <w:tcBorders>
                    <w:tl2br w:val="nil"/>
                    <w:tr2bl w:val="nil"/>
                  </w:tcBorders>
                  <w:vAlign w:val="center"/>
                </w:tcPr>
                <w:p w14:paraId="1D8A03AC">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0E285534">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241D65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7C6783A">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27DD686">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743C962B">
                  <w:pPr>
                    <w:autoSpaceDN w:val="0"/>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tcBorders>
                    <w:tl2br w:val="nil"/>
                    <w:tr2bl w:val="nil"/>
                  </w:tcBorders>
                  <w:vAlign w:val="center"/>
                </w:tcPr>
                <w:p w14:paraId="1C2BFB6C">
                  <w:pPr>
                    <w:autoSpaceDN w:val="0"/>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B238D9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9.2</w:t>
                  </w:r>
                </w:p>
              </w:tc>
              <w:tc>
                <w:tcPr>
                  <w:tcW w:w="503" w:type="pct"/>
                  <w:tcBorders>
                    <w:tl2br w:val="nil"/>
                    <w:tr2bl w:val="nil"/>
                  </w:tcBorders>
                  <w:shd w:val="clear" w:color="auto" w:fill="auto"/>
                  <w:vAlign w:val="center"/>
                </w:tcPr>
                <w:p w14:paraId="28AB0C0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9.6</w:t>
                  </w:r>
                </w:p>
              </w:tc>
              <w:tc>
                <w:tcPr>
                  <w:tcW w:w="509" w:type="pct"/>
                  <w:tcBorders>
                    <w:tl2br w:val="nil"/>
                    <w:tr2bl w:val="nil"/>
                  </w:tcBorders>
                  <w:shd w:val="clear" w:color="auto" w:fill="auto"/>
                  <w:vAlign w:val="center"/>
                </w:tcPr>
                <w:p w14:paraId="013B1CB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10.2</w:t>
                  </w:r>
                </w:p>
              </w:tc>
              <w:tc>
                <w:tcPr>
                  <w:tcW w:w="457" w:type="pct"/>
                  <w:tcBorders>
                    <w:tl2br w:val="nil"/>
                    <w:tr2bl w:val="nil"/>
                  </w:tcBorders>
                  <w:shd w:val="clear" w:color="auto" w:fill="auto"/>
                  <w:vAlign w:val="center"/>
                </w:tcPr>
                <w:p w14:paraId="56A9693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10.2</w:t>
                  </w:r>
                </w:p>
              </w:tc>
              <w:tc>
                <w:tcPr>
                  <w:tcW w:w="485" w:type="pct"/>
                  <w:tcBorders>
                    <w:tl2br w:val="nil"/>
                    <w:tr2bl w:val="nil"/>
                  </w:tcBorders>
                  <w:vAlign w:val="center"/>
                </w:tcPr>
                <w:p w14:paraId="13CCF0D6">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45F0931B">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78A819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063EB2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02ACF68">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799B365D">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tcBorders>
                    <w:tl2br w:val="nil"/>
                    <w:tr2bl w:val="nil"/>
                  </w:tcBorders>
                  <w:vAlign w:val="center"/>
                </w:tcPr>
                <w:p w14:paraId="63D5F29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722AF0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w:t>
                  </w:r>
                </w:p>
              </w:tc>
              <w:tc>
                <w:tcPr>
                  <w:tcW w:w="503" w:type="pct"/>
                  <w:tcBorders>
                    <w:tl2br w:val="nil"/>
                    <w:tr2bl w:val="nil"/>
                  </w:tcBorders>
                  <w:shd w:val="clear" w:color="auto" w:fill="auto"/>
                  <w:vAlign w:val="center"/>
                </w:tcPr>
                <w:p w14:paraId="2212D04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w:t>
                  </w:r>
                </w:p>
              </w:tc>
              <w:tc>
                <w:tcPr>
                  <w:tcW w:w="509" w:type="pct"/>
                  <w:tcBorders>
                    <w:tl2br w:val="nil"/>
                    <w:tr2bl w:val="nil"/>
                  </w:tcBorders>
                  <w:shd w:val="clear" w:color="auto" w:fill="auto"/>
                  <w:vAlign w:val="center"/>
                </w:tcPr>
                <w:p w14:paraId="144FD8B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1.7</w:t>
                  </w:r>
                </w:p>
              </w:tc>
              <w:tc>
                <w:tcPr>
                  <w:tcW w:w="457" w:type="pct"/>
                  <w:tcBorders>
                    <w:tl2br w:val="nil"/>
                    <w:tr2bl w:val="nil"/>
                  </w:tcBorders>
                  <w:shd w:val="clear" w:color="auto" w:fill="auto"/>
                  <w:vAlign w:val="center"/>
                </w:tcPr>
                <w:p w14:paraId="057043D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2.3</w:t>
                  </w:r>
                </w:p>
              </w:tc>
              <w:tc>
                <w:tcPr>
                  <w:tcW w:w="485" w:type="pct"/>
                  <w:tcBorders>
                    <w:tl2br w:val="nil"/>
                    <w:tr2bl w:val="nil"/>
                  </w:tcBorders>
                  <w:vAlign w:val="center"/>
                </w:tcPr>
                <w:p w14:paraId="5E7230CC">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43D646A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54927F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7F7C7F6">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FB0AC21">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1334EDAB">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309FC469">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23227D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2.7</w:t>
                  </w:r>
                </w:p>
              </w:tc>
              <w:tc>
                <w:tcPr>
                  <w:tcW w:w="503" w:type="pct"/>
                  <w:tcBorders>
                    <w:tl2br w:val="nil"/>
                    <w:tr2bl w:val="nil"/>
                  </w:tcBorders>
                  <w:shd w:val="clear" w:color="auto" w:fill="auto"/>
                  <w:vAlign w:val="center"/>
                </w:tcPr>
                <w:p w14:paraId="7E9B569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3.5</w:t>
                  </w:r>
                </w:p>
              </w:tc>
              <w:tc>
                <w:tcPr>
                  <w:tcW w:w="509" w:type="pct"/>
                  <w:tcBorders>
                    <w:tl2br w:val="nil"/>
                    <w:tr2bl w:val="nil"/>
                  </w:tcBorders>
                  <w:shd w:val="clear" w:color="auto" w:fill="auto"/>
                  <w:vAlign w:val="center"/>
                </w:tcPr>
                <w:p w14:paraId="33329EB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2.8</w:t>
                  </w:r>
                </w:p>
              </w:tc>
              <w:tc>
                <w:tcPr>
                  <w:tcW w:w="457" w:type="pct"/>
                  <w:tcBorders>
                    <w:tl2br w:val="nil"/>
                    <w:tr2bl w:val="nil"/>
                  </w:tcBorders>
                  <w:shd w:val="clear" w:color="auto" w:fill="auto"/>
                  <w:vAlign w:val="center"/>
                </w:tcPr>
                <w:p w14:paraId="574DDC4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3.5</w:t>
                  </w:r>
                </w:p>
              </w:tc>
              <w:tc>
                <w:tcPr>
                  <w:tcW w:w="485" w:type="pct"/>
                  <w:tcBorders>
                    <w:tl2br w:val="nil"/>
                    <w:tr2bl w:val="nil"/>
                  </w:tcBorders>
                  <w:vAlign w:val="center"/>
                </w:tcPr>
                <w:p w14:paraId="1074C1F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20</w:t>
                  </w:r>
                </w:p>
              </w:tc>
              <w:tc>
                <w:tcPr>
                  <w:tcW w:w="416" w:type="pct"/>
                  <w:tcBorders>
                    <w:tl2br w:val="nil"/>
                    <w:tr2bl w:val="nil"/>
                  </w:tcBorders>
                  <w:vAlign w:val="center"/>
                </w:tcPr>
                <w:p w14:paraId="5BDC0F43">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6E3B48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DDDEE5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F37EDA4">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3480E64">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4A20A594">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79FE454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0.00391</w:t>
                  </w:r>
                </w:p>
              </w:tc>
              <w:tc>
                <w:tcPr>
                  <w:tcW w:w="503" w:type="pct"/>
                  <w:tcBorders>
                    <w:tl2br w:val="nil"/>
                    <w:tr2bl w:val="nil"/>
                  </w:tcBorders>
                  <w:shd w:val="clear" w:color="auto" w:fill="auto"/>
                  <w:vAlign w:val="center"/>
                </w:tcPr>
                <w:p w14:paraId="4B9605B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0.00541</w:t>
                  </w:r>
                </w:p>
              </w:tc>
              <w:tc>
                <w:tcPr>
                  <w:tcW w:w="509" w:type="pct"/>
                  <w:tcBorders>
                    <w:tl2br w:val="nil"/>
                    <w:tr2bl w:val="nil"/>
                  </w:tcBorders>
                  <w:shd w:val="clear" w:color="auto" w:fill="auto"/>
                  <w:vAlign w:val="center"/>
                </w:tcPr>
                <w:p w14:paraId="53711AB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0.00368</w:t>
                  </w:r>
                </w:p>
              </w:tc>
              <w:tc>
                <w:tcPr>
                  <w:tcW w:w="457" w:type="pct"/>
                  <w:tcBorders>
                    <w:tl2br w:val="nil"/>
                    <w:tr2bl w:val="nil"/>
                  </w:tcBorders>
                  <w:shd w:val="clear" w:color="auto" w:fill="auto"/>
                  <w:vAlign w:val="center"/>
                </w:tcPr>
                <w:p w14:paraId="38D097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0.00541</w:t>
                  </w:r>
                </w:p>
              </w:tc>
              <w:tc>
                <w:tcPr>
                  <w:tcW w:w="485" w:type="pct"/>
                  <w:tcBorders>
                    <w:tl2br w:val="nil"/>
                    <w:tr2bl w:val="nil"/>
                  </w:tcBorders>
                  <w:vAlign w:val="center"/>
                </w:tcPr>
                <w:p w14:paraId="20FC44B1">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0580EE14">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30167D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82FE38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0E9202E">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3D40573F">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tcBorders>
                    <w:tl2br w:val="nil"/>
                    <w:tr2bl w:val="nil"/>
                  </w:tcBorders>
                  <w:vAlign w:val="center"/>
                </w:tcPr>
                <w:p w14:paraId="25D94D23">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58A1D43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503" w:type="pct"/>
                  <w:tcBorders>
                    <w:tl2br w:val="nil"/>
                    <w:tr2bl w:val="nil"/>
                  </w:tcBorders>
                  <w:shd w:val="clear" w:color="auto" w:fill="auto"/>
                  <w:vAlign w:val="center"/>
                </w:tcPr>
                <w:p w14:paraId="63D92C9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w:t>
                  </w:r>
                </w:p>
              </w:tc>
              <w:tc>
                <w:tcPr>
                  <w:tcW w:w="509" w:type="pct"/>
                  <w:tcBorders>
                    <w:tl2br w:val="nil"/>
                    <w:tr2bl w:val="nil"/>
                  </w:tcBorders>
                  <w:shd w:val="clear" w:color="auto" w:fill="auto"/>
                  <w:vAlign w:val="center"/>
                </w:tcPr>
                <w:p w14:paraId="7FAB476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w:t>
                  </w:r>
                </w:p>
              </w:tc>
              <w:tc>
                <w:tcPr>
                  <w:tcW w:w="457" w:type="pct"/>
                  <w:tcBorders>
                    <w:tl2br w:val="nil"/>
                    <w:tr2bl w:val="nil"/>
                  </w:tcBorders>
                  <w:shd w:val="clear" w:color="auto" w:fill="auto"/>
                  <w:vAlign w:val="center"/>
                </w:tcPr>
                <w:p w14:paraId="74715DF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10</w:t>
                  </w:r>
                </w:p>
              </w:tc>
              <w:tc>
                <w:tcPr>
                  <w:tcW w:w="485" w:type="pct"/>
                  <w:tcBorders>
                    <w:tl2br w:val="nil"/>
                    <w:tr2bl w:val="nil"/>
                  </w:tcBorders>
                  <w:vAlign w:val="center"/>
                </w:tcPr>
                <w:p w14:paraId="343B3521">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0CEDC4FE">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0DAC14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F9C1E3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467CEB9">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3CF25B0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3F5AE82A">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976519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w:t>
                  </w:r>
                </w:p>
              </w:tc>
              <w:tc>
                <w:tcPr>
                  <w:tcW w:w="503" w:type="pct"/>
                  <w:tcBorders>
                    <w:tl2br w:val="nil"/>
                    <w:tr2bl w:val="nil"/>
                  </w:tcBorders>
                  <w:shd w:val="clear" w:color="auto" w:fill="auto"/>
                  <w:vAlign w:val="center"/>
                </w:tcPr>
                <w:p w14:paraId="14AD352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14</w:t>
                  </w:r>
                </w:p>
              </w:tc>
              <w:tc>
                <w:tcPr>
                  <w:tcW w:w="509" w:type="pct"/>
                  <w:tcBorders>
                    <w:tl2br w:val="nil"/>
                    <w:tr2bl w:val="nil"/>
                  </w:tcBorders>
                  <w:shd w:val="clear" w:color="auto" w:fill="auto"/>
                  <w:vAlign w:val="center"/>
                </w:tcPr>
                <w:p w14:paraId="5052262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w:t>
                  </w:r>
                </w:p>
              </w:tc>
              <w:tc>
                <w:tcPr>
                  <w:tcW w:w="457" w:type="pct"/>
                  <w:tcBorders>
                    <w:tl2br w:val="nil"/>
                    <w:tr2bl w:val="nil"/>
                  </w:tcBorders>
                  <w:shd w:val="clear" w:color="auto" w:fill="auto"/>
                  <w:vAlign w:val="center"/>
                </w:tcPr>
                <w:p w14:paraId="305680C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15</w:t>
                  </w:r>
                </w:p>
              </w:tc>
              <w:tc>
                <w:tcPr>
                  <w:tcW w:w="485" w:type="pct"/>
                  <w:tcBorders>
                    <w:tl2br w:val="nil"/>
                    <w:tr2bl w:val="nil"/>
                  </w:tcBorders>
                  <w:vAlign w:val="center"/>
                </w:tcPr>
                <w:p w14:paraId="0A0FB969">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50</w:t>
                  </w:r>
                </w:p>
              </w:tc>
              <w:tc>
                <w:tcPr>
                  <w:tcW w:w="416" w:type="pct"/>
                  <w:tcBorders>
                    <w:tl2br w:val="nil"/>
                    <w:tr2bl w:val="nil"/>
                  </w:tcBorders>
                  <w:vAlign w:val="center"/>
                </w:tcPr>
                <w:p w14:paraId="1C321E1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34A0D3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CDA3D46">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E10F465">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6D09FB5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76130990">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28B907D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0.0217</w:t>
                  </w:r>
                </w:p>
              </w:tc>
              <w:tc>
                <w:tcPr>
                  <w:tcW w:w="503" w:type="pct"/>
                  <w:tcBorders>
                    <w:tl2br w:val="nil"/>
                    <w:tr2bl w:val="nil"/>
                  </w:tcBorders>
                  <w:shd w:val="clear" w:color="auto" w:fill="auto"/>
                  <w:vAlign w:val="center"/>
                </w:tcPr>
                <w:p w14:paraId="59D4B65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0.0212</w:t>
                  </w:r>
                </w:p>
              </w:tc>
              <w:tc>
                <w:tcPr>
                  <w:tcW w:w="509" w:type="pct"/>
                  <w:tcBorders>
                    <w:tl2br w:val="nil"/>
                    <w:tr2bl w:val="nil"/>
                  </w:tcBorders>
                  <w:shd w:val="clear" w:color="auto" w:fill="auto"/>
                  <w:vAlign w:val="center"/>
                </w:tcPr>
                <w:p w14:paraId="302FFDC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0.0173</w:t>
                  </w:r>
                </w:p>
              </w:tc>
              <w:tc>
                <w:tcPr>
                  <w:tcW w:w="457" w:type="pct"/>
                  <w:tcBorders>
                    <w:tl2br w:val="nil"/>
                    <w:tr2bl w:val="nil"/>
                  </w:tcBorders>
                  <w:shd w:val="clear" w:color="auto" w:fill="auto"/>
                  <w:vAlign w:val="center"/>
                </w:tcPr>
                <w:p w14:paraId="2DC868D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0.0217</w:t>
                  </w:r>
                </w:p>
              </w:tc>
              <w:tc>
                <w:tcPr>
                  <w:tcW w:w="485" w:type="pct"/>
                  <w:tcBorders>
                    <w:tl2br w:val="nil"/>
                    <w:tr2bl w:val="nil"/>
                  </w:tcBorders>
                  <w:vAlign w:val="center"/>
                </w:tcPr>
                <w:p w14:paraId="1B772932">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2C7B3D8F">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47C196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2EC517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48562D0">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1590245B">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tcBorders>
                    <w:tl2br w:val="nil"/>
                    <w:tr2bl w:val="nil"/>
                  </w:tcBorders>
                  <w:vAlign w:val="center"/>
                </w:tcPr>
                <w:p w14:paraId="674EC3DF">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2B0E1A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32</w:t>
                  </w:r>
                </w:p>
              </w:tc>
              <w:tc>
                <w:tcPr>
                  <w:tcW w:w="503" w:type="pct"/>
                  <w:tcBorders>
                    <w:tl2br w:val="nil"/>
                    <w:tr2bl w:val="nil"/>
                  </w:tcBorders>
                  <w:shd w:val="clear" w:color="auto" w:fill="auto"/>
                  <w:vAlign w:val="center"/>
                </w:tcPr>
                <w:p w14:paraId="79D5F9B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509" w:type="pct"/>
                  <w:tcBorders>
                    <w:tl2br w:val="nil"/>
                    <w:tr2bl w:val="nil"/>
                  </w:tcBorders>
                  <w:shd w:val="clear" w:color="auto" w:fill="auto"/>
                  <w:vAlign w:val="center"/>
                </w:tcPr>
                <w:p w14:paraId="3880CD6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457" w:type="pct"/>
                  <w:tcBorders>
                    <w:tl2br w:val="nil"/>
                    <w:tr2bl w:val="nil"/>
                  </w:tcBorders>
                  <w:shd w:val="clear" w:color="auto" w:fill="auto"/>
                  <w:vAlign w:val="center"/>
                </w:tcPr>
                <w:p w14:paraId="40FD3BA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32</w:t>
                  </w:r>
                </w:p>
              </w:tc>
              <w:tc>
                <w:tcPr>
                  <w:tcW w:w="485" w:type="pct"/>
                  <w:tcBorders>
                    <w:tl2br w:val="nil"/>
                    <w:tr2bl w:val="nil"/>
                  </w:tcBorders>
                  <w:vAlign w:val="center"/>
                </w:tcPr>
                <w:p w14:paraId="48EFFE76">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33CB0150">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4FAD80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6AD4C17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09411E7">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1D89119">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425A43D2">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500305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47</w:t>
                  </w:r>
                </w:p>
              </w:tc>
              <w:tc>
                <w:tcPr>
                  <w:tcW w:w="503" w:type="pct"/>
                  <w:tcBorders>
                    <w:tl2br w:val="nil"/>
                    <w:tr2bl w:val="nil"/>
                  </w:tcBorders>
                  <w:shd w:val="clear" w:color="auto" w:fill="auto"/>
                  <w:vAlign w:val="center"/>
                </w:tcPr>
                <w:p w14:paraId="349EBEA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31</w:t>
                  </w:r>
                </w:p>
              </w:tc>
              <w:tc>
                <w:tcPr>
                  <w:tcW w:w="509" w:type="pct"/>
                  <w:tcBorders>
                    <w:tl2br w:val="nil"/>
                    <w:tr2bl w:val="nil"/>
                  </w:tcBorders>
                  <w:shd w:val="clear" w:color="auto" w:fill="auto"/>
                  <w:vAlign w:val="center"/>
                </w:tcPr>
                <w:p w14:paraId="7D0C13F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32</w:t>
                  </w:r>
                </w:p>
              </w:tc>
              <w:tc>
                <w:tcPr>
                  <w:tcW w:w="457" w:type="pct"/>
                  <w:tcBorders>
                    <w:tl2br w:val="nil"/>
                    <w:tr2bl w:val="nil"/>
                  </w:tcBorders>
                  <w:shd w:val="clear" w:color="auto" w:fill="auto"/>
                  <w:vAlign w:val="center"/>
                </w:tcPr>
                <w:p w14:paraId="6E9693F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47</w:t>
                  </w:r>
                </w:p>
              </w:tc>
              <w:tc>
                <w:tcPr>
                  <w:tcW w:w="485" w:type="pct"/>
                  <w:tcBorders>
                    <w:tl2br w:val="nil"/>
                    <w:tr2bl w:val="nil"/>
                  </w:tcBorders>
                  <w:vAlign w:val="center"/>
                </w:tcPr>
                <w:p w14:paraId="50B2647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150</w:t>
                  </w:r>
                </w:p>
              </w:tc>
              <w:tc>
                <w:tcPr>
                  <w:tcW w:w="416" w:type="pct"/>
                  <w:tcBorders>
                    <w:tl2br w:val="nil"/>
                    <w:tr2bl w:val="nil"/>
                  </w:tcBorders>
                  <w:vAlign w:val="center"/>
                </w:tcPr>
                <w:p w14:paraId="340F462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2BA375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66D62E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6FEBE56">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4638A2F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p>
              </w:tc>
              <w:tc>
                <w:tcPr>
                  <w:tcW w:w="821" w:type="pct"/>
                  <w:tcBorders>
                    <w:tl2br w:val="nil"/>
                    <w:tr2bl w:val="nil"/>
                  </w:tcBorders>
                  <w:vAlign w:val="center"/>
                </w:tcPr>
                <w:p w14:paraId="56B043B1">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1FB2165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0.0695</w:t>
                  </w:r>
                </w:p>
              </w:tc>
              <w:tc>
                <w:tcPr>
                  <w:tcW w:w="503" w:type="pct"/>
                  <w:tcBorders>
                    <w:tl2br w:val="nil"/>
                    <w:tr2bl w:val="nil"/>
                  </w:tcBorders>
                  <w:shd w:val="clear" w:color="auto" w:fill="auto"/>
                  <w:vAlign w:val="center"/>
                </w:tcPr>
                <w:p w14:paraId="0A03548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0.0471</w:t>
                  </w:r>
                </w:p>
              </w:tc>
              <w:tc>
                <w:tcPr>
                  <w:tcW w:w="509" w:type="pct"/>
                  <w:tcBorders>
                    <w:tl2br w:val="nil"/>
                    <w:tr2bl w:val="nil"/>
                  </w:tcBorders>
                  <w:shd w:val="clear" w:color="auto" w:fill="auto"/>
                  <w:vAlign w:val="center"/>
                </w:tcPr>
                <w:p w14:paraId="36C7A0E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0.0433</w:t>
                  </w:r>
                </w:p>
              </w:tc>
              <w:tc>
                <w:tcPr>
                  <w:tcW w:w="457" w:type="pct"/>
                  <w:tcBorders>
                    <w:tl2br w:val="nil"/>
                    <w:tr2bl w:val="nil"/>
                  </w:tcBorders>
                  <w:shd w:val="clear" w:color="auto" w:fill="auto"/>
                  <w:vAlign w:val="center"/>
                </w:tcPr>
                <w:p w14:paraId="7A43081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0.0695</w:t>
                  </w:r>
                </w:p>
              </w:tc>
              <w:tc>
                <w:tcPr>
                  <w:tcW w:w="485" w:type="pct"/>
                  <w:tcBorders>
                    <w:tl2br w:val="nil"/>
                    <w:tr2bl w:val="nil"/>
                  </w:tcBorders>
                  <w:vAlign w:val="center"/>
                </w:tcPr>
                <w:p w14:paraId="1BA7F4B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13A49C99">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5A93B8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A552A8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CECEF18">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1F2EC8B6">
                  <w:pPr>
                    <w:widowControl/>
                    <w:jc w:val="center"/>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kern w:val="0"/>
                      <w:sz w:val="18"/>
                      <w:szCs w:val="18"/>
                      <w:highlight w:val="none"/>
                    </w:rPr>
                    <w:t>氨</w:t>
                  </w:r>
                </w:p>
              </w:tc>
              <w:tc>
                <w:tcPr>
                  <w:tcW w:w="821" w:type="pct"/>
                  <w:tcBorders>
                    <w:tl2br w:val="nil"/>
                    <w:tr2bl w:val="nil"/>
                  </w:tcBorders>
                  <w:vAlign w:val="center"/>
                </w:tcPr>
                <w:p w14:paraId="0C3BADF7">
                  <w:pPr>
                    <w:pStyle w:val="129"/>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tcBorders>
                    <w:tl2br w:val="nil"/>
                    <w:tr2bl w:val="nil"/>
                  </w:tcBorders>
                  <w:shd w:val="clear" w:color="auto" w:fill="auto"/>
                  <w:vAlign w:val="center"/>
                </w:tcPr>
                <w:p w14:paraId="6B8061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5.93</w:t>
                  </w:r>
                </w:p>
              </w:tc>
              <w:tc>
                <w:tcPr>
                  <w:tcW w:w="503" w:type="pct"/>
                  <w:tcBorders>
                    <w:tl2br w:val="nil"/>
                    <w:tr2bl w:val="nil"/>
                  </w:tcBorders>
                  <w:shd w:val="clear" w:color="auto" w:fill="auto"/>
                  <w:vAlign w:val="center"/>
                </w:tcPr>
                <w:p w14:paraId="323904E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2.75</w:t>
                  </w:r>
                </w:p>
              </w:tc>
              <w:tc>
                <w:tcPr>
                  <w:tcW w:w="509" w:type="pct"/>
                  <w:tcBorders>
                    <w:tl2br w:val="nil"/>
                    <w:tr2bl w:val="nil"/>
                  </w:tcBorders>
                  <w:shd w:val="clear" w:color="auto" w:fill="auto"/>
                  <w:vAlign w:val="center"/>
                </w:tcPr>
                <w:p w14:paraId="444DE72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4.54</w:t>
                  </w:r>
                </w:p>
              </w:tc>
              <w:tc>
                <w:tcPr>
                  <w:tcW w:w="457" w:type="pct"/>
                  <w:tcBorders>
                    <w:tl2br w:val="nil"/>
                    <w:tr2bl w:val="nil"/>
                  </w:tcBorders>
                  <w:shd w:val="clear" w:color="auto" w:fill="auto"/>
                  <w:vAlign w:val="center"/>
                </w:tcPr>
                <w:p w14:paraId="5347842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5.93</w:t>
                  </w:r>
                </w:p>
              </w:tc>
              <w:tc>
                <w:tcPr>
                  <w:tcW w:w="485" w:type="pct"/>
                  <w:tcBorders>
                    <w:tl2br w:val="nil"/>
                    <w:tr2bl w:val="nil"/>
                  </w:tcBorders>
                  <w:vAlign w:val="center"/>
                </w:tcPr>
                <w:p w14:paraId="71EE559F">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32AB352C">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19037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7F478F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3A6FD82">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2A8DE9F">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39986672">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784408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0.0129</w:t>
                  </w:r>
                </w:p>
              </w:tc>
              <w:tc>
                <w:tcPr>
                  <w:tcW w:w="503" w:type="pct"/>
                  <w:tcBorders>
                    <w:tl2br w:val="nil"/>
                    <w:tr2bl w:val="nil"/>
                  </w:tcBorders>
                  <w:shd w:val="clear" w:color="auto" w:fill="auto"/>
                  <w:vAlign w:val="center"/>
                </w:tcPr>
                <w:p w14:paraId="0072F05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0.00647</w:t>
                  </w:r>
                </w:p>
              </w:tc>
              <w:tc>
                <w:tcPr>
                  <w:tcW w:w="509" w:type="pct"/>
                  <w:tcBorders>
                    <w:tl2br w:val="nil"/>
                    <w:tr2bl w:val="nil"/>
                  </w:tcBorders>
                  <w:shd w:val="clear" w:color="auto" w:fill="auto"/>
                  <w:vAlign w:val="center"/>
                </w:tcPr>
                <w:p w14:paraId="7B298A9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0.00984</w:t>
                  </w:r>
                </w:p>
              </w:tc>
              <w:tc>
                <w:tcPr>
                  <w:tcW w:w="457" w:type="pct"/>
                  <w:tcBorders>
                    <w:tl2br w:val="nil"/>
                    <w:tr2bl w:val="nil"/>
                  </w:tcBorders>
                  <w:shd w:val="clear" w:color="auto" w:fill="auto"/>
                  <w:vAlign w:val="center"/>
                </w:tcPr>
                <w:p w14:paraId="75C089E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0.0129</w:t>
                  </w:r>
                </w:p>
              </w:tc>
              <w:tc>
                <w:tcPr>
                  <w:tcW w:w="485" w:type="pct"/>
                  <w:tcBorders>
                    <w:tl2br w:val="nil"/>
                    <w:tr2bl w:val="nil"/>
                  </w:tcBorders>
                  <w:vAlign w:val="center"/>
                </w:tcPr>
                <w:p w14:paraId="7D9CB99F">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4.9</w:t>
                  </w:r>
                </w:p>
              </w:tc>
              <w:tc>
                <w:tcPr>
                  <w:tcW w:w="416" w:type="pct"/>
                  <w:tcBorders>
                    <w:tl2br w:val="nil"/>
                    <w:tr2bl w:val="nil"/>
                  </w:tcBorders>
                  <w:vAlign w:val="center"/>
                </w:tcPr>
                <w:p w14:paraId="4BC45537">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4E672D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11CE60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1B83055">
                  <w:pPr>
                    <w:widowControl/>
                    <w:jc w:val="center"/>
                    <w:rPr>
                      <w:rFonts w:hint="default" w:ascii="Times New Roman" w:hAnsi="Times New Roman" w:eastAsia="宋体" w:cs="Times New Roman"/>
                      <w:color w:val="auto"/>
                      <w:kern w:val="0"/>
                      <w:sz w:val="18"/>
                      <w:szCs w:val="18"/>
                      <w:highlight w:val="none"/>
                    </w:rPr>
                  </w:pPr>
                </w:p>
              </w:tc>
              <w:tc>
                <w:tcPr>
                  <w:tcW w:w="1359" w:type="pct"/>
                  <w:gridSpan w:val="2"/>
                  <w:tcBorders>
                    <w:tl2br w:val="nil"/>
                    <w:tr2bl w:val="nil"/>
                  </w:tcBorders>
                  <w:vAlign w:val="center"/>
                </w:tcPr>
                <w:p w14:paraId="1242A734">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林格曼黑度（级）</w:t>
                  </w:r>
                </w:p>
              </w:tc>
              <w:tc>
                <w:tcPr>
                  <w:tcW w:w="503" w:type="pct"/>
                  <w:tcBorders>
                    <w:tl2br w:val="nil"/>
                    <w:tr2bl w:val="nil"/>
                  </w:tcBorders>
                  <w:shd w:val="clear" w:color="auto" w:fill="auto"/>
                  <w:vAlign w:val="center"/>
                </w:tcPr>
                <w:p w14:paraId="3A337DD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&lt;1</w:t>
                  </w:r>
                </w:p>
              </w:tc>
              <w:tc>
                <w:tcPr>
                  <w:tcW w:w="503" w:type="pct"/>
                  <w:tcBorders>
                    <w:tl2br w:val="nil"/>
                    <w:tr2bl w:val="nil"/>
                  </w:tcBorders>
                  <w:shd w:val="clear" w:color="auto" w:fill="auto"/>
                  <w:vAlign w:val="center"/>
                </w:tcPr>
                <w:p w14:paraId="44EA38A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003D97B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49A31C0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&lt;1</w:t>
                  </w:r>
                </w:p>
              </w:tc>
              <w:tc>
                <w:tcPr>
                  <w:tcW w:w="485" w:type="pct"/>
                  <w:tcBorders>
                    <w:tl2br w:val="nil"/>
                    <w:tr2bl w:val="nil"/>
                  </w:tcBorders>
                  <w:vAlign w:val="center"/>
                </w:tcPr>
                <w:p w14:paraId="475AE234">
                  <w:pPr>
                    <w:widowControl/>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w:t>
                  </w:r>
                </w:p>
              </w:tc>
              <w:tc>
                <w:tcPr>
                  <w:tcW w:w="416" w:type="pct"/>
                  <w:tcBorders>
                    <w:tl2br w:val="nil"/>
                    <w:tr2bl w:val="nil"/>
                  </w:tcBorders>
                  <w:vAlign w:val="center"/>
                </w:tcPr>
                <w:p w14:paraId="39D1B6B1">
                  <w:pPr>
                    <w:widowControl/>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eastAsia="zh-CN"/>
                    </w:rPr>
                    <w:t>达标</w:t>
                  </w:r>
                </w:p>
              </w:tc>
            </w:tr>
            <w:tr w14:paraId="447BCE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E86FBB7">
                  <w:pPr>
                    <w:widowControl/>
                    <w:jc w:val="center"/>
                    <w:rPr>
                      <w:rFonts w:hint="default" w:ascii="Times New Roman" w:hAnsi="Times New Roman" w:eastAsia="宋体" w:cs="Times New Roman"/>
                      <w:color w:val="auto"/>
                      <w:sz w:val="18"/>
                      <w:szCs w:val="18"/>
                      <w:highlight w:val="none"/>
                    </w:rPr>
                  </w:pPr>
                </w:p>
              </w:tc>
              <w:tc>
                <w:tcPr>
                  <w:tcW w:w="409" w:type="pct"/>
                  <w:vMerge w:val="restart"/>
                  <w:tcBorders>
                    <w:tl2br w:val="nil"/>
                    <w:tr2bl w:val="nil"/>
                  </w:tcBorders>
                  <w:vAlign w:val="center"/>
                </w:tcPr>
                <w:p w14:paraId="762BCE07">
                  <w:pPr>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11</w:t>
                  </w:r>
                </w:p>
              </w:tc>
              <w:tc>
                <w:tcPr>
                  <w:tcW w:w="538" w:type="pct"/>
                  <w:tcBorders>
                    <w:tl2br w:val="nil"/>
                    <w:tr2bl w:val="nil"/>
                  </w:tcBorders>
                  <w:vAlign w:val="center"/>
                </w:tcPr>
                <w:p w14:paraId="49F7933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tcBorders>
                    <w:tl2br w:val="nil"/>
                    <w:tr2bl w:val="nil"/>
                  </w:tcBorders>
                  <w:vAlign w:val="center"/>
                </w:tcPr>
                <w:p w14:paraId="18B770B5">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tcBorders>
                    <w:tl2br w:val="nil"/>
                    <w:tr2bl w:val="nil"/>
                  </w:tcBorders>
                  <w:shd w:val="clear" w:color="auto" w:fill="auto"/>
                  <w:vAlign w:val="center"/>
                </w:tcPr>
                <w:p w14:paraId="0FAB3EB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1824</w:t>
                  </w:r>
                </w:p>
              </w:tc>
              <w:tc>
                <w:tcPr>
                  <w:tcW w:w="503" w:type="pct"/>
                  <w:tcBorders>
                    <w:tl2br w:val="nil"/>
                    <w:tr2bl w:val="nil"/>
                  </w:tcBorders>
                  <w:shd w:val="clear" w:color="auto" w:fill="auto"/>
                  <w:vAlign w:val="center"/>
                </w:tcPr>
                <w:p w14:paraId="64AA9FE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1803</w:t>
                  </w:r>
                </w:p>
              </w:tc>
              <w:tc>
                <w:tcPr>
                  <w:tcW w:w="509" w:type="pct"/>
                  <w:tcBorders>
                    <w:tl2br w:val="nil"/>
                    <w:tr2bl w:val="nil"/>
                  </w:tcBorders>
                  <w:shd w:val="clear" w:color="auto" w:fill="auto"/>
                  <w:vAlign w:val="center"/>
                </w:tcPr>
                <w:p w14:paraId="1E815A7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1901</w:t>
                  </w:r>
                </w:p>
              </w:tc>
              <w:tc>
                <w:tcPr>
                  <w:tcW w:w="457" w:type="pct"/>
                  <w:tcBorders>
                    <w:tl2br w:val="nil"/>
                    <w:tr2bl w:val="nil"/>
                  </w:tcBorders>
                  <w:shd w:val="clear" w:color="auto" w:fill="auto"/>
                  <w:vAlign w:val="center"/>
                </w:tcPr>
                <w:p w14:paraId="3215788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1901</w:t>
                  </w:r>
                </w:p>
              </w:tc>
              <w:tc>
                <w:tcPr>
                  <w:tcW w:w="485" w:type="pct"/>
                  <w:tcBorders>
                    <w:tl2br w:val="nil"/>
                    <w:tr2bl w:val="nil"/>
                  </w:tcBorders>
                  <w:vAlign w:val="center"/>
                </w:tcPr>
                <w:p w14:paraId="3F4345E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464CC2C0">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1680B6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345D39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F0C6D22">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2C0D6AC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tcBorders>
                    <w:tl2br w:val="nil"/>
                    <w:tr2bl w:val="nil"/>
                  </w:tcBorders>
                  <w:vAlign w:val="center"/>
                </w:tcPr>
                <w:p w14:paraId="6F37345B">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5ACA625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365.2</w:t>
                  </w:r>
                </w:p>
              </w:tc>
              <w:tc>
                <w:tcPr>
                  <w:tcW w:w="503" w:type="pct"/>
                  <w:tcBorders>
                    <w:tl2br w:val="nil"/>
                    <w:tr2bl w:val="nil"/>
                  </w:tcBorders>
                  <w:shd w:val="clear" w:color="auto" w:fill="auto"/>
                  <w:vAlign w:val="center"/>
                </w:tcPr>
                <w:p w14:paraId="6AA67FA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355.8</w:t>
                  </w:r>
                </w:p>
              </w:tc>
              <w:tc>
                <w:tcPr>
                  <w:tcW w:w="509" w:type="pct"/>
                  <w:tcBorders>
                    <w:tl2br w:val="nil"/>
                    <w:tr2bl w:val="nil"/>
                  </w:tcBorders>
                  <w:shd w:val="clear" w:color="auto" w:fill="auto"/>
                  <w:vAlign w:val="center"/>
                </w:tcPr>
                <w:p w14:paraId="114976E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356.9</w:t>
                  </w:r>
                </w:p>
              </w:tc>
              <w:tc>
                <w:tcPr>
                  <w:tcW w:w="457" w:type="pct"/>
                  <w:tcBorders>
                    <w:tl2br w:val="nil"/>
                    <w:tr2bl w:val="nil"/>
                  </w:tcBorders>
                  <w:shd w:val="clear" w:color="auto" w:fill="auto"/>
                  <w:vAlign w:val="center"/>
                </w:tcPr>
                <w:p w14:paraId="2806E7A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365.2</w:t>
                  </w:r>
                </w:p>
              </w:tc>
              <w:tc>
                <w:tcPr>
                  <w:tcW w:w="485" w:type="pct"/>
                  <w:tcBorders>
                    <w:tl2br w:val="nil"/>
                    <w:tr2bl w:val="nil"/>
                  </w:tcBorders>
                  <w:vAlign w:val="center"/>
                </w:tcPr>
                <w:p w14:paraId="3D18511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5518F018">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1F05D8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B81BA8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C0D26F5">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360C561B">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烟气湿度</w:t>
                  </w:r>
                </w:p>
              </w:tc>
              <w:tc>
                <w:tcPr>
                  <w:tcW w:w="821" w:type="pct"/>
                  <w:tcBorders>
                    <w:tl2br w:val="nil"/>
                    <w:tr2bl w:val="nil"/>
                  </w:tcBorders>
                  <w:vAlign w:val="center"/>
                </w:tcPr>
                <w:p w14:paraId="167ECE4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olor w:val="000000" w:themeColor="text1"/>
                      <w:lang w:val="en-US" w:eastAsia="zh-CN"/>
                      <w14:textFill>
                        <w14:solidFill>
                          <w14:schemeClr w14:val="tx1"/>
                        </w14:solidFill>
                      </w14:textFill>
                    </w:rPr>
                    <w:t>%</w:t>
                  </w:r>
                </w:p>
              </w:tc>
              <w:tc>
                <w:tcPr>
                  <w:tcW w:w="503" w:type="pct"/>
                  <w:tcBorders>
                    <w:tl2br w:val="nil"/>
                    <w:tr2bl w:val="nil"/>
                  </w:tcBorders>
                  <w:shd w:val="clear" w:color="auto" w:fill="auto"/>
                  <w:vAlign w:val="center"/>
                </w:tcPr>
                <w:p w14:paraId="712734F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7.43</w:t>
                  </w:r>
                </w:p>
              </w:tc>
              <w:tc>
                <w:tcPr>
                  <w:tcW w:w="503" w:type="pct"/>
                  <w:tcBorders>
                    <w:tl2br w:val="nil"/>
                    <w:tr2bl w:val="nil"/>
                  </w:tcBorders>
                  <w:shd w:val="clear" w:color="auto" w:fill="auto"/>
                  <w:vAlign w:val="center"/>
                </w:tcPr>
                <w:p w14:paraId="3A98714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7.51</w:t>
                  </w:r>
                </w:p>
              </w:tc>
              <w:tc>
                <w:tcPr>
                  <w:tcW w:w="509" w:type="pct"/>
                  <w:tcBorders>
                    <w:tl2br w:val="nil"/>
                    <w:tr2bl w:val="nil"/>
                  </w:tcBorders>
                  <w:shd w:val="clear" w:color="auto" w:fill="auto"/>
                  <w:vAlign w:val="center"/>
                </w:tcPr>
                <w:p w14:paraId="3C059C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7.56</w:t>
                  </w:r>
                </w:p>
              </w:tc>
              <w:tc>
                <w:tcPr>
                  <w:tcW w:w="457" w:type="pct"/>
                  <w:tcBorders>
                    <w:tl2br w:val="nil"/>
                    <w:tr2bl w:val="nil"/>
                  </w:tcBorders>
                  <w:shd w:val="clear" w:color="auto" w:fill="auto"/>
                  <w:vAlign w:val="center"/>
                </w:tcPr>
                <w:p w14:paraId="0142D20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7.56</w:t>
                  </w:r>
                </w:p>
              </w:tc>
              <w:tc>
                <w:tcPr>
                  <w:tcW w:w="485" w:type="pct"/>
                  <w:tcBorders>
                    <w:tl2br w:val="nil"/>
                    <w:tr2bl w:val="nil"/>
                  </w:tcBorders>
                  <w:vAlign w:val="center"/>
                </w:tcPr>
                <w:p w14:paraId="708AD51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4AB08236">
                  <w:pPr>
                    <w:widowControl/>
                    <w:jc w:val="center"/>
                    <w:rPr>
                      <w:rFonts w:hint="default" w:ascii="Times New Roman" w:hAnsi="Times New Roman" w:eastAsia="宋体" w:cs="Times New Roman"/>
                      <w:color w:val="auto"/>
                      <w:kern w:val="0"/>
                      <w:sz w:val="18"/>
                      <w:szCs w:val="18"/>
                      <w:highlight w:val="none"/>
                      <w:lang w:val="en-US" w:eastAsia="zh-CN"/>
                    </w:rPr>
                  </w:pPr>
                </w:p>
              </w:tc>
            </w:tr>
            <w:tr w14:paraId="098357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ACD570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DC9CD08">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1627029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tcBorders>
                    <w:tl2br w:val="nil"/>
                    <w:tr2bl w:val="nil"/>
                  </w:tcBorders>
                  <w:vAlign w:val="center"/>
                </w:tcPr>
                <w:p w14:paraId="6E9C2673">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tcBorders>
                    <w:tl2br w:val="nil"/>
                    <w:tr2bl w:val="nil"/>
                  </w:tcBorders>
                  <w:shd w:val="clear" w:color="auto" w:fill="auto"/>
                  <w:vAlign w:val="center"/>
                </w:tcPr>
                <w:p w14:paraId="63767D3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13.3</w:t>
                  </w:r>
                </w:p>
              </w:tc>
              <w:tc>
                <w:tcPr>
                  <w:tcW w:w="503" w:type="pct"/>
                  <w:tcBorders>
                    <w:tl2br w:val="nil"/>
                    <w:tr2bl w:val="nil"/>
                  </w:tcBorders>
                  <w:shd w:val="clear" w:color="auto" w:fill="auto"/>
                  <w:vAlign w:val="center"/>
                </w:tcPr>
                <w:p w14:paraId="6EDC6F5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13.0</w:t>
                  </w:r>
                </w:p>
              </w:tc>
              <w:tc>
                <w:tcPr>
                  <w:tcW w:w="509" w:type="pct"/>
                  <w:tcBorders>
                    <w:tl2br w:val="nil"/>
                    <w:tr2bl w:val="nil"/>
                  </w:tcBorders>
                  <w:shd w:val="clear" w:color="auto" w:fill="auto"/>
                  <w:vAlign w:val="center"/>
                </w:tcPr>
                <w:p w14:paraId="3EB7687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13.7</w:t>
                  </w:r>
                </w:p>
              </w:tc>
              <w:tc>
                <w:tcPr>
                  <w:tcW w:w="457" w:type="pct"/>
                  <w:tcBorders>
                    <w:tl2br w:val="nil"/>
                    <w:tr2bl w:val="nil"/>
                  </w:tcBorders>
                  <w:shd w:val="clear" w:color="auto" w:fill="auto"/>
                  <w:vAlign w:val="center"/>
                </w:tcPr>
                <w:p w14:paraId="576A120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13.7</w:t>
                  </w:r>
                </w:p>
              </w:tc>
              <w:tc>
                <w:tcPr>
                  <w:tcW w:w="485" w:type="pct"/>
                  <w:tcBorders>
                    <w:tl2br w:val="nil"/>
                    <w:tr2bl w:val="nil"/>
                  </w:tcBorders>
                  <w:vAlign w:val="center"/>
                </w:tcPr>
                <w:p w14:paraId="7C167FE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5BC91793">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692ED9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37F0E4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A792703">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53D426E0">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tcBorders>
                    <w:tl2br w:val="nil"/>
                    <w:tr2bl w:val="nil"/>
                  </w:tcBorders>
                  <w:vAlign w:val="center"/>
                </w:tcPr>
                <w:p w14:paraId="2E0D1D68">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8603F8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6.8</w:t>
                  </w:r>
                </w:p>
              </w:tc>
              <w:tc>
                <w:tcPr>
                  <w:tcW w:w="503" w:type="pct"/>
                  <w:tcBorders>
                    <w:tl2br w:val="nil"/>
                    <w:tr2bl w:val="nil"/>
                  </w:tcBorders>
                  <w:shd w:val="clear" w:color="auto" w:fill="auto"/>
                  <w:vAlign w:val="center"/>
                </w:tcPr>
                <w:p w14:paraId="377B5CF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6.6</w:t>
                  </w:r>
                </w:p>
              </w:tc>
              <w:tc>
                <w:tcPr>
                  <w:tcW w:w="509" w:type="pct"/>
                  <w:tcBorders>
                    <w:tl2br w:val="nil"/>
                    <w:tr2bl w:val="nil"/>
                  </w:tcBorders>
                  <w:shd w:val="clear" w:color="auto" w:fill="auto"/>
                  <w:vAlign w:val="center"/>
                </w:tcPr>
                <w:p w14:paraId="00C1B84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7.1</w:t>
                  </w:r>
                </w:p>
              </w:tc>
              <w:tc>
                <w:tcPr>
                  <w:tcW w:w="457" w:type="pct"/>
                  <w:tcBorders>
                    <w:tl2br w:val="nil"/>
                    <w:tr2bl w:val="nil"/>
                  </w:tcBorders>
                  <w:shd w:val="clear" w:color="auto" w:fill="auto"/>
                  <w:vAlign w:val="center"/>
                </w:tcPr>
                <w:p w14:paraId="7763619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7.1</w:t>
                  </w:r>
                </w:p>
              </w:tc>
              <w:tc>
                <w:tcPr>
                  <w:tcW w:w="485" w:type="pct"/>
                  <w:tcBorders>
                    <w:tl2br w:val="nil"/>
                    <w:tr2bl w:val="nil"/>
                  </w:tcBorders>
                  <w:vAlign w:val="center"/>
                </w:tcPr>
                <w:p w14:paraId="73EF25C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6AC9BE1B">
                  <w:pPr>
                    <w:widowControl/>
                    <w:jc w:val="center"/>
                    <w:rPr>
                      <w:rFonts w:hint="default" w:ascii="Times New Roman" w:hAnsi="Times New Roman" w:eastAsia="宋体" w:cs="Times New Roman"/>
                      <w:color w:val="auto"/>
                      <w:kern w:val="0"/>
                      <w:sz w:val="18"/>
                      <w:szCs w:val="18"/>
                      <w:highlight w:val="none"/>
                      <w:lang w:val="en-US" w:eastAsia="zh-CN"/>
                    </w:rPr>
                  </w:pPr>
                  <w:r>
                    <w:rPr>
                      <w:rFonts w:hint="default" w:ascii="Times New Roman" w:hAnsi="Times New Roman" w:eastAsia="宋体" w:cs="Times New Roman"/>
                      <w:color w:val="auto"/>
                      <w:kern w:val="0"/>
                      <w:sz w:val="18"/>
                      <w:szCs w:val="18"/>
                      <w:highlight w:val="none"/>
                      <w:lang w:val="en-US" w:eastAsia="zh-CN"/>
                    </w:rPr>
                    <w:t>/</w:t>
                  </w:r>
                </w:p>
              </w:tc>
            </w:tr>
            <w:tr w14:paraId="0989FE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424E93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AD7D4D9">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4EB74F28">
                  <w:pPr>
                    <w:widowControl/>
                    <w:jc w:val="center"/>
                    <w:rPr>
                      <w:rFonts w:hint="default" w:ascii="Times New Roman" w:hAnsi="Times New Roman" w:eastAsia="宋体" w:cs="Times New Roman"/>
                      <w:color w:val="auto"/>
                      <w:kern w:val="0"/>
                      <w:sz w:val="18"/>
                      <w:szCs w:val="18"/>
                      <w:highlight w:val="none"/>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tcBorders>
                    <w:tl2br w:val="nil"/>
                    <w:tr2bl w:val="nil"/>
                  </w:tcBorders>
                  <w:vAlign w:val="center"/>
                </w:tcPr>
                <w:p w14:paraId="1F81803F">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7900CF8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1.4</w:t>
                  </w:r>
                </w:p>
              </w:tc>
              <w:tc>
                <w:tcPr>
                  <w:tcW w:w="503" w:type="pct"/>
                  <w:tcBorders>
                    <w:tl2br w:val="nil"/>
                    <w:tr2bl w:val="nil"/>
                  </w:tcBorders>
                  <w:shd w:val="clear" w:color="auto" w:fill="auto"/>
                  <w:vAlign w:val="center"/>
                </w:tcPr>
                <w:p w14:paraId="34F2237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w:t>
                  </w:r>
                </w:p>
              </w:tc>
              <w:tc>
                <w:tcPr>
                  <w:tcW w:w="509" w:type="pct"/>
                  <w:tcBorders>
                    <w:tl2br w:val="nil"/>
                    <w:tr2bl w:val="nil"/>
                  </w:tcBorders>
                  <w:shd w:val="clear" w:color="auto" w:fill="auto"/>
                  <w:vAlign w:val="center"/>
                </w:tcPr>
                <w:p w14:paraId="0401794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w:t>
                  </w:r>
                </w:p>
              </w:tc>
              <w:tc>
                <w:tcPr>
                  <w:tcW w:w="457" w:type="pct"/>
                  <w:tcBorders>
                    <w:tl2br w:val="nil"/>
                    <w:tr2bl w:val="nil"/>
                  </w:tcBorders>
                  <w:shd w:val="clear" w:color="auto" w:fill="auto"/>
                  <w:vAlign w:val="center"/>
                </w:tcPr>
                <w:p w14:paraId="4496CFB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2.2</w:t>
                  </w:r>
                </w:p>
              </w:tc>
              <w:tc>
                <w:tcPr>
                  <w:tcW w:w="485" w:type="pct"/>
                  <w:tcBorders>
                    <w:tl2br w:val="nil"/>
                    <w:tr2bl w:val="nil"/>
                  </w:tcBorders>
                  <w:vAlign w:val="center"/>
                </w:tcPr>
                <w:p w14:paraId="17857FD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5E771A69">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20A24D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6EA1F6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5AF8AE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3EA82D9F">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72721FDF">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2F06AA0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1.7</w:t>
                  </w:r>
                </w:p>
              </w:tc>
              <w:tc>
                <w:tcPr>
                  <w:tcW w:w="503" w:type="pct"/>
                  <w:tcBorders>
                    <w:tl2br w:val="nil"/>
                    <w:tr2bl w:val="nil"/>
                  </w:tcBorders>
                  <w:shd w:val="clear" w:color="auto" w:fill="auto"/>
                  <w:vAlign w:val="center"/>
                </w:tcPr>
                <w:p w14:paraId="1DDC489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w:t>
                  </w:r>
                </w:p>
              </w:tc>
              <w:tc>
                <w:tcPr>
                  <w:tcW w:w="509" w:type="pct"/>
                  <w:tcBorders>
                    <w:tl2br w:val="nil"/>
                    <w:tr2bl w:val="nil"/>
                  </w:tcBorders>
                  <w:shd w:val="clear" w:color="auto" w:fill="auto"/>
                  <w:vAlign w:val="center"/>
                </w:tcPr>
                <w:p w14:paraId="70817A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2.8</w:t>
                  </w:r>
                </w:p>
              </w:tc>
              <w:tc>
                <w:tcPr>
                  <w:tcW w:w="457" w:type="pct"/>
                  <w:tcBorders>
                    <w:tl2br w:val="nil"/>
                    <w:tr2bl w:val="nil"/>
                  </w:tcBorders>
                  <w:shd w:val="clear" w:color="auto" w:fill="auto"/>
                  <w:vAlign w:val="center"/>
                </w:tcPr>
                <w:p w14:paraId="1CEDFDB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2.8</w:t>
                  </w:r>
                </w:p>
              </w:tc>
              <w:tc>
                <w:tcPr>
                  <w:tcW w:w="485" w:type="pct"/>
                  <w:tcBorders>
                    <w:tl2br w:val="nil"/>
                    <w:tr2bl w:val="nil"/>
                  </w:tcBorders>
                  <w:vAlign w:val="center"/>
                </w:tcPr>
                <w:p w14:paraId="3400FC9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416" w:type="pct"/>
                  <w:tcBorders>
                    <w:tl2br w:val="nil"/>
                    <w:tr2bl w:val="nil"/>
                  </w:tcBorders>
                  <w:vAlign w:val="center"/>
                </w:tcPr>
                <w:p w14:paraId="4206F4E2">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00C684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C37EB6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843D0B1">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06671637">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262B0F3B">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4EFB923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0.00255</w:t>
                  </w:r>
                </w:p>
              </w:tc>
              <w:tc>
                <w:tcPr>
                  <w:tcW w:w="503" w:type="pct"/>
                  <w:tcBorders>
                    <w:tl2br w:val="nil"/>
                    <w:tr2bl w:val="nil"/>
                  </w:tcBorders>
                  <w:shd w:val="clear" w:color="auto" w:fill="auto"/>
                  <w:vAlign w:val="center"/>
                </w:tcPr>
                <w:p w14:paraId="24E1C2A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0.00234</w:t>
                  </w:r>
                </w:p>
              </w:tc>
              <w:tc>
                <w:tcPr>
                  <w:tcW w:w="509" w:type="pct"/>
                  <w:tcBorders>
                    <w:tl2br w:val="nil"/>
                    <w:tr2bl w:val="nil"/>
                  </w:tcBorders>
                  <w:shd w:val="clear" w:color="auto" w:fill="auto"/>
                  <w:vAlign w:val="center"/>
                </w:tcPr>
                <w:p w14:paraId="7EB075B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0.00418</w:t>
                  </w:r>
                </w:p>
              </w:tc>
              <w:tc>
                <w:tcPr>
                  <w:tcW w:w="457" w:type="pct"/>
                  <w:tcBorders>
                    <w:tl2br w:val="nil"/>
                    <w:tr2bl w:val="nil"/>
                  </w:tcBorders>
                  <w:shd w:val="clear" w:color="auto" w:fill="auto"/>
                  <w:vAlign w:val="center"/>
                </w:tcPr>
                <w:p w14:paraId="4632D06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0.00418</w:t>
                  </w:r>
                </w:p>
              </w:tc>
              <w:tc>
                <w:tcPr>
                  <w:tcW w:w="485" w:type="pct"/>
                  <w:tcBorders>
                    <w:tl2br w:val="nil"/>
                    <w:tr2bl w:val="nil"/>
                  </w:tcBorders>
                  <w:vAlign w:val="center"/>
                </w:tcPr>
                <w:p w14:paraId="022B091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1B2DC0F3">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25A614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F2D8696">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49833B4">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30AFCB16">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tcBorders>
                    <w:tl2br w:val="nil"/>
                    <w:tr2bl w:val="nil"/>
                  </w:tcBorders>
                  <w:vAlign w:val="center"/>
                </w:tcPr>
                <w:p w14:paraId="1A9E7CDD">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0511B13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w:t>
                  </w:r>
                </w:p>
              </w:tc>
              <w:tc>
                <w:tcPr>
                  <w:tcW w:w="503" w:type="pct"/>
                  <w:tcBorders>
                    <w:tl2br w:val="nil"/>
                    <w:tr2bl w:val="nil"/>
                  </w:tcBorders>
                  <w:shd w:val="clear" w:color="auto" w:fill="auto"/>
                  <w:vAlign w:val="center"/>
                </w:tcPr>
                <w:p w14:paraId="7C27ACC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w:t>
                  </w:r>
                </w:p>
              </w:tc>
              <w:tc>
                <w:tcPr>
                  <w:tcW w:w="509" w:type="pct"/>
                  <w:tcBorders>
                    <w:tl2br w:val="nil"/>
                    <w:tr2bl w:val="nil"/>
                  </w:tcBorders>
                  <w:shd w:val="clear" w:color="auto" w:fill="auto"/>
                  <w:vAlign w:val="center"/>
                </w:tcPr>
                <w:p w14:paraId="0B64755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w:t>
                  </w:r>
                </w:p>
              </w:tc>
              <w:tc>
                <w:tcPr>
                  <w:tcW w:w="457" w:type="pct"/>
                  <w:tcBorders>
                    <w:tl2br w:val="nil"/>
                    <w:tr2bl w:val="nil"/>
                  </w:tcBorders>
                  <w:shd w:val="clear" w:color="auto" w:fill="auto"/>
                  <w:vAlign w:val="center"/>
                </w:tcPr>
                <w:p w14:paraId="30AE0F6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9</w:t>
                  </w:r>
                </w:p>
              </w:tc>
              <w:tc>
                <w:tcPr>
                  <w:tcW w:w="485" w:type="pct"/>
                  <w:tcBorders>
                    <w:tl2br w:val="nil"/>
                    <w:tr2bl w:val="nil"/>
                  </w:tcBorders>
                  <w:vAlign w:val="center"/>
                </w:tcPr>
                <w:p w14:paraId="4F5E6B8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4892D54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00F958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D665CBC">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FEEA377">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E0DE0AA">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584EF611">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6E827C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11</w:t>
                  </w:r>
                </w:p>
              </w:tc>
              <w:tc>
                <w:tcPr>
                  <w:tcW w:w="503" w:type="pct"/>
                  <w:tcBorders>
                    <w:tl2br w:val="nil"/>
                    <w:tr2bl w:val="nil"/>
                  </w:tcBorders>
                  <w:shd w:val="clear" w:color="auto" w:fill="auto"/>
                  <w:vAlign w:val="center"/>
                </w:tcPr>
                <w:p w14:paraId="724D8E0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w:t>
                  </w:r>
                </w:p>
              </w:tc>
              <w:tc>
                <w:tcPr>
                  <w:tcW w:w="509" w:type="pct"/>
                  <w:tcBorders>
                    <w:tl2br w:val="nil"/>
                    <w:tr2bl w:val="nil"/>
                  </w:tcBorders>
                  <w:shd w:val="clear" w:color="auto" w:fill="auto"/>
                  <w:vAlign w:val="center"/>
                </w:tcPr>
                <w:p w14:paraId="3700B2E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w:t>
                  </w:r>
                </w:p>
              </w:tc>
              <w:tc>
                <w:tcPr>
                  <w:tcW w:w="457" w:type="pct"/>
                  <w:tcBorders>
                    <w:tl2br w:val="nil"/>
                    <w:tr2bl w:val="nil"/>
                  </w:tcBorders>
                  <w:shd w:val="clear" w:color="auto" w:fill="auto"/>
                  <w:vAlign w:val="center"/>
                </w:tcPr>
                <w:p w14:paraId="7D97980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11</w:t>
                  </w:r>
                </w:p>
              </w:tc>
              <w:tc>
                <w:tcPr>
                  <w:tcW w:w="485" w:type="pct"/>
                  <w:tcBorders>
                    <w:tl2br w:val="nil"/>
                    <w:tr2bl w:val="nil"/>
                  </w:tcBorders>
                  <w:vAlign w:val="center"/>
                </w:tcPr>
                <w:p w14:paraId="41F29F5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50</w:t>
                  </w:r>
                </w:p>
              </w:tc>
              <w:tc>
                <w:tcPr>
                  <w:tcW w:w="416" w:type="pct"/>
                  <w:tcBorders>
                    <w:tl2br w:val="nil"/>
                    <w:tr2bl w:val="nil"/>
                  </w:tcBorders>
                  <w:vAlign w:val="center"/>
                </w:tcPr>
                <w:p w14:paraId="07CBF54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320839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C8E333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363D254">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615A9511">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41AEAE3A">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CD2544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0.0164</w:t>
                  </w:r>
                </w:p>
              </w:tc>
              <w:tc>
                <w:tcPr>
                  <w:tcW w:w="503" w:type="pct"/>
                  <w:tcBorders>
                    <w:tl2br w:val="nil"/>
                    <w:tr2bl w:val="nil"/>
                  </w:tcBorders>
                  <w:shd w:val="clear" w:color="auto" w:fill="auto"/>
                  <w:vAlign w:val="center"/>
                </w:tcPr>
                <w:p w14:paraId="639BA15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0.0108</w:t>
                  </w:r>
                </w:p>
              </w:tc>
              <w:tc>
                <w:tcPr>
                  <w:tcW w:w="509" w:type="pct"/>
                  <w:tcBorders>
                    <w:tl2br w:val="nil"/>
                    <w:tr2bl w:val="nil"/>
                  </w:tcBorders>
                  <w:shd w:val="clear" w:color="auto" w:fill="auto"/>
                  <w:vAlign w:val="center"/>
                </w:tcPr>
                <w:p w14:paraId="41FE801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0.0114</w:t>
                  </w:r>
                </w:p>
              </w:tc>
              <w:tc>
                <w:tcPr>
                  <w:tcW w:w="457" w:type="pct"/>
                  <w:tcBorders>
                    <w:tl2br w:val="nil"/>
                    <w:tr2bl w:val="nil"/>
                  </w:tcBorders>
                  <w:shd w:val="clear" w:color="auto" w:fill="auto"/>
                  <w:vAlign w:val="center"/>
                </w:tcPr>
                <w:p w14:paraId="20961E2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0.0164</w:t>
                  </w:r>
                </w:p>
              </w:tc>
              <w:tc>
                <w:tcPr>
                  <w:tcW w:w="485" w:type="pct"/>
                  <w:tcBorders>
                    <w:tl2br w:val="nil"/>
                    <w:tr2bl w:val="nil"/>
                  </w:tcBorders>
                  <w:vAlign w:val="center"/>
                </w:tcPr>
                <w:p w14:paraId="5E24472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45DFAF2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39E71E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CF3884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0F83674">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3652AE2E">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tcBorders>
                    <w:tl2br w:val="nil"/>
                    <w:tr2bl w:val="nil"/>
                  </w:tcBorders>
                  <w:vAlign w:val="center"/>
                </w:tcPr>
                <w:p w14:paraId="61AAF4D9">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6B809D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39</w:t>
                  </w:r>
                </w:p>
              </w:tc>
              <w:tc>
                <w:tcPr>
                  <w:tcW w:w="503" w:type="pct"/>
                  <w:tcBorders>
                    <w:tl2br w:val="nil"/>
                    <w:tr2bl w:val="nil"/>
                  </w:tcBorders>
                  <w:shd w:val="clear" w:color="auto" w:fill="auto"/>
                  <w:vAlign w:val="center"/>
                </w:tcPr>
                <w:p w14:paraId="2447C2A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57</w:t>
                  </w:r>
                </w:p>
              </w:tc>
              <w:tc>
                <w:tcPr>
                  <w:tcW w:w="509" w:type="pct"/>
                  <w:tcBorders>
                    <w:tl2br w:val="nil"/>
                    <w:tr2bl w:val="nil"/>
                  </w:tcBorders>
                  <w:shd w:val="clear" w:color="auto" w:fill="auto"/>
                  <w:vAlign w:val="center"/>
                </w:tcPr>
                <w:p w14:paraId="0A32CC9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32</w:t>
                  </w:r>
                </w:p>
              </w:tc>
              <w:tc>
                <w:tcPr>
                  <w:tcW w:w="457" w:type="pct"/>
                  <w:tcBorders>
                    <w:tl2br w:val="nil"/>
                    <w:tr2bl w:val="nil"/>
                  </w:tcBorders>
                  <w:shd w:val="clear" w:color="auto" w:fill="auto"/>
                  <w:vAlign w:val="center"/>
                </w:tcPr>
                <w:p w14:paraId="635E6DC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57</w:t>
                  </w:r>
                </w:p>
              </w:tc>
              <w:tc>
                <w:tcPr>
                  <w:tcW w:w="485" w:type="pct"/>
                  <w:tcBorders>
                    <w:tl2br w:val="nil"/>
                    <w:tr2bl w:val="nil"/>
                  </w:tcBorders>
                  <w:vAlign w:val="center"/>
                </w:tcPr>
                <w:p w14:paraId="6DA9E23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061C2C17">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0F589A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DEF27D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57DF17B">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B4191A9">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2C19E414">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2FB09D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48</w:t>
                  </w:r>
                </w:p>
              </w:tc>
              <w:tc>
                <w:tcPr>
                  <w:tcW w:w="503" w:type="pct"/>
                  <w:tcBorders>
                    <w:tl2br w:val="nil"/>
                    <w:tr2bl w:val="nil"/>
                  </w:tcBorders>
                  <w:shd w:val="clear" w:color="auto" w:fill="auto"/>
                  <w:vAlign w:val="center"/>
                </w:tcPr>
                <w:p w14:paraId="4653894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69</w:t>
                  </w:r>
                </w:p>
              </w:tc>
              <w:tc>
                <w:tcPr>
                  <w:tcW w:w="509" w:type="pct"/>
                  <w:tcBorders>
                    <w:tl2br w:val="nil"/>
                    <w:tr2bl w:val="nil"/>
                  </w:tcBorders>
                  <w:shd w:val="clear" w:color="auto" w:fill="auto"/>
                  <w:vAlign w:val="center"/>
                </w:tcPr>
                <w:p w14:paraId="3B297FB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40</w:t>
                  </w:r>
                </w:p>
              </w:tc>
              <w:tc>
                <w:tcPr>
                  <w:tcW w:w="457" w:type="pct"/>
                  <w:tcBorders>
                    <w:tl2br w:val="nil"/>
                    <w:tr2bl w:val="nil"/>
                  </w:tcBorders>
                  <w:shd w:val="clear" w:color="auto" w:fill="auto"/>
                  <w:vAlign w:val="center"/>
                </w:tcPr>
                <w:p w14:paraId="0C0C419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69</w:t>
                  </w:r>
                </w:p>
              </w:tc>
              <w:tc>
                <w:tcPr>
                  <w:tcW w:w="485" w:type="pct"/>
                  <w:tcBorders>
                    <w:tl2br w:val="nil"/>
                    <w:tr2bl w:val="nil"/>
                  </w:tcBorders>
                  <w:vAlign w:val="center"/>
                </w:tcPr>
                <w:p w14:paraId="3E49DBE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150</w:t>
                  </w:r>
                </w:p>
              </w:tc>
              <w:tc>
                <w:tcPr>
                  <w:tcW w:w="416" w:type="pct"/>
                  <w:tcBorders>
                    <w:tl2br w:val="nil"/>
                    <w:tr2bl w:val="nil"/>
                  </w:tcBorders>
                  <w:vAlign w:val="center"/>
                </w:tcPr>
                <w:p w14:paraId="2F090EBA">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08B821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A6B13A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D6A79A2">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1B8EA325">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49FC6459">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42F3C5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0.0711</w:t>
                  </w:r>
                </w:p>
              </w:tc>
              <w:tc>
                <w:tcPr>
                  <w:tcW w:w="503" w:type="pct"/>
                  <w:tcBorders>
                    <w:tl2br w:val="nil"/>
                    <w:tr2bl w:val="nil"/>
                  </w:tcBorders>
                  <w:shd w:val="clear" w:color="auto" w:fill="auto"/>
                  <w:vAlign w:val="center"/>
                </w:tcPr>
                <w:p w14:paraId="1DF0421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0.103</w:t>
                  </w:r>
                </w:p>
              </w:tc>
              <w:tc>
                <w:tcPr>
                  <w:tcW w:w="509" w:type="pct"/>
                  <w:tcBorders>
                    <w:tl2br w:val="nil"/>
                    <w:tr2bl w:val="nil"/>
                  </w:tcBorders>
                  <w:shd w:val="clear" w:color="auto" w:fill="auto"/>
                  <w:vAlign w:val="center"/>
                </w:tcPr>
                <w:p w14:paraId="08091C1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0.0608</w:t>
                  </w:r>
                </w:p>
              </w:tc>
              <w:tc>
                <w:tcPr>
                  <w:tcW w:w="457" w:type="pct"/>
                  <w:tcBorders>
                    <w:tl2br w:val="nil"/>
                    <w:tr2bl w:val="nil"/>
                  </w:tcBorders>
                  <w:shd w:val="clear" w:color="auto" w:fill="auto"/>
                  <w:vAlign w:val="center"/>
                </w:tcPr>
                <w:p w14:paraId="4A34600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0.103</w:t>
                  </w:r>
                </w:p>
              </w:tc>
              <w:tc>
                <w:tcPr>
                  <w:tcW w:w="485" w:type="pct"/>
                  <w:tcBorders>
                    <w:tl2br w:val="nil"/>
                    <w:tr2bl w:val="nil"/>
                  </w:tcBorders>
                  <w:vAlign w:val="center"/>
                </w:tcPr>
                <w:p w14:paraId="592AC34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302E274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4C907D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836F86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BF86F0E">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11AC5FB3">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氨</w:t>
                  </w:r>
                </w:p>
              </w:tc>
              <w:tc>
                <w:tcPr>
                  <w:tcW w:w="821" w:type="pct"/>
                  <w:tcBorders>
                    <w:tl2br w:val="nil"/>
                    <w:tr2bl w:val="nil"/>
                  </w:tcBorders>
                  <w:vAlign w:val="center"/>
                </w:tcPr>
                <w:p w14:paraId="08DF8CC4">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tcBorders>
                    <w:tl2br w:val="nil"/>
                    <w:tr2bl w:val="nil"/>
                  </w:tcBorders>
                  <w:shd w:val="clear" w:color="auto" w:fill="auto"/>
                  <w:vAlign w:val="center"/>
                </w:tcPr>
                <w:p w14:paraId="4ED62E0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7.78</w:t>
                  </w:r>
                </w:p>
              </w:tc>
              <w:tc>
                <w:tcPr>
                  <w:tcW w:w="503" w:type="pct"/>
                  <w:tcBorders>
                    <w:tl2br w:val="nil"/>
                    <w:tr2bl w:val="nil"/>
                  </w:tcBorders>
                  <w:shd w:val="clear" w:color="auto" w:fill="auto"/>
                  <w:vAlign w:val="center"/>
                </w:tcPr>
                <w:p w14:paraId="0806F96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8.98</w:t>
                  </w:r>
                </w:p>
              </w:tc>
              <w:tc>
                <w:tcPr>
                  <w:tcW w:w="509" w:type="pct"/>
                  <w:tcBorders>
                    <w:tl2br w:val="nil"/>
                    <w:tr2bl w:val="nil"/>
                  </w:tcBorders>
                  <w:shd w:val="clear" w:color="auto" w:fill="auto"/>
                  <w:vAlign w:val="center"/>
                </w:tcPr>
                <w:p w14:paraId="3D03C53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4.27</w:t>
                  </w:r>
                </w:p>
              </w:tc>
              <w:tc>
                <w:tcPr>
                  <w:tcW w:w="457" w:type="pct"/>
                  <w:tcBorders>
                    <w:tl2br w:val="nil"/>
                    <w:tr2bl w:val="nil"/>
                  </w:tcBorders>
                  <w:shd w:val="clear" w:color="auto" w:fill="auto"/>
                  <w:vAlign w:val="center"/>
                </w:tcPr>
                <w:p w14:paraId="0B221AB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8.98</w:t>
                  </w:r>
                </w:p>
              </w:tc>
              <w:tc>
                <w:tcPr>
                  <w:tcW w:w="485" w:type="pct"/>
                  <w:tcBorders>
                    <w:tl2br w:val="nil"/>
                    <w:tr2bl w:val="nil"/>
                  </w:tcBorders>
                  <w:vAlign w:val="center"/>
                </w:tcPr>
                <w:p w14:paraId="7F0A105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5F555FC6">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7F0179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532AAD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D6C7CE7">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69385611">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4B1FC814">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5F4714C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0.0142</w:t>
                  </w:r>
                </w:p>
              </w:tc>
              <w:tc>
                <w:tcPr>
                  <w:tcW w:w="503" w:type="pct"/>
                  <w:tcBorders>
                    <w:tl2br w:val="nil"/>
                    <w:tr2bl w:val="nil"/>
                  </w:tcBorders>
                  <w:shd w:val="clear" w:color="auto" w:fill="auto"/>
                  <w:vAlign w:val="center"/>
                </w:tcPr>
                <w:p w14:paraId="0EECBB1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0.0162</w:t>
                  </w:r>
                </w:p>
              </w:tc>
              <w:tc>
                <w:tcPr>
                  <w:tcW w:w="509" w:type="pct"/>
                  <w:tcBorders>
                    <w:tl2br w:val="nil"/>
                    <w:tr2bl w:val="nil"/>
                  </w:tcBorders>
                  <w:shd w:val="clear" w:color="auto" w:fill="auto"/>
                  <w:vAlign w:val="center"/>
                </w:tcPr>
                <w:p w14:paraId="120EF02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0.00812</w:t>
                  </w:r>
                </w:p>
              </w:tc>
              <w:tc>
                <w:tcPr>
                  <w:tcW w:w="457" w:type="pct"/>
                  <w:tcBorders>
                    <w:tl2br w:val="nil"/>
                    <w:tr2bl w:val="nil"/>
                  </w:tcBorders>
                  <w:shd w:val="clear" w:color="auto" w:fill="auto"/>
                  <w:vAlign w:val="center"/>
                </w:tcPr>
                <w:p w14:paraId="2661BE8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0.0162</w:t>
                  </w:r>
                </w:p>
              </w:tc>
              <w:tc>
                <w:tcPr>
                  <w:tcW w:w="485" w:type="pct"/>
                  <w:tcBorders>
                    <w:tl2br w:val="nil"/>
                    <w:tr2bl w:val="nil"/>
                  </w:tcBorders>
                  <w:vAlign w:val="center"/>
                </w:tcPr>
                <w:p w14:paraId="347BA23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4.9</w:t>
                  </w:r>
                </w:p>
              </w:tc>
              <w:tc>
                <w:tcPr>
                  <w:tcW w:w="416" w:type="pct"/>
                  <w:tcBorders>
                    <w:tl2br w:val="nil"/>
                    <w:tr2bl w:val="nil"/>
                  </w:tcBorders>
                  <w:vAlign w:val="center"/>
                </w:tcPr>
                <w:p w14:paraId="37FDCEB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719D24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7D38D2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DA3FBFA">
                  <w:pPr>
                    <w:widowControl/>
                    <w:jc w:val="center"/>
                    <w:rPr>
                      <w:rFonts w:hint="default" w:ascii="Times New Roman" w:hAnsi="Times New Roman" w:eastAsia="宋体" w:cs="Times New Roman"/>
                      <w:color w:val="auto"/>
                      <w:kern w:val="0"/>
                      <w:sz w:val="18"/>
                      <w:szCs w:val="18"/>
                      <w:highlight w:val="none"/>
                    </w:rPr>
                  </w:pPr>
                </w:p>
              </w:tc>
              <w:tc>
                <w:tcPr>
                  <w:tcW w:w="1359" w:type="pct"/>
                  <w:gridSpan w:val="2"/>
                  <w:tcBorders>
                    <w:tl2br w:val="nil"/>
                    <w:tr2bl w:val="nil"/>
                  </w:tcBorders>
                  <w:vAlign w:val="center"/>
                </w:tcPr>
                <w:p w14:paraId="4449FAA1">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林格曼黑度（级）</w:t>
                  </w:r>
                </w:p>
              </w:tc>
              <w:tc>
                <w:tcPr>
                  <w:tcW w:w="503" w:type="pct"/>
                  <w:tcBorders>
                    <w:tl2br w:val="nil"/>
                    <w:tr2bl w:val="nil"/>
                  </w:tcBorders>
                  <w:shd w:val="clear" w:color="auto" w:fill="auto"/>
                  <w:vAlign w:val="center"/>
                </w:tcPr>
                <w:p w14:paraId="55E0B5B3">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503" w:type="pct"/>
                  <w:tcBorders>
                    <w:tl2br w:val="nil"/>
                    <w:tr2bl w:val="nil"/>
                  </w:tcBorders>
                  <w:shd w:val="clear" w:color="auto" w:fill="auto"/>
                  <w:vAlign w:val="center"/>
                </w:tcPr>
                <w:p w14:paraId="40673FD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4A31310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7B5A2CE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485" w:type="pct"/>
                  <w:tcBorders>
                    <w:tl2br w:val="nil"/>
                    <w:tr2bl w:val="nil"/>
                  </w:tcBorders>
                  <w:vAlign w:val="center"/>
                </w:tcPr>
                <w:p w14:paraId="57803032">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w:t>
                  </w:r>
                </w:p>
              </w:tc>
              <w:tc>
                <w:tcPr>
                  <w:tcW w:w="416" w:type="pct"/>
                  <w:tcBorders>
                    <w:tl2br w:val="nil"/>
                    <w:tr2bl w:val="nil"/>
                  </w:tcBorders>
                  <w:vAlign w:val="center"/>
                </w:tcPr>
                <w:p w14:paraId="242C5D50">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eastAsia="zh-CN"/>
                    </w:rPr>
                    <w:t>达标</w:t>
                  </w:r>
                </w:p>
              </w:tc>
            </w:tr>
            <w:tr w14:paraId="67BF8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restart"/>
                  <w:tcBorders>
                    <w:tl2br w:val="nil"/>
                    <w:tr2bl w:val="nil"/>
                  </w:tcBorders>
                  <w:vAlign w:val="center"/>
                </w:tcPr>
                <w:p w14:paraId="61B48D3E">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val="en-US" w:eastAsia="zh-CN" w:bidi="ar-SA"/>
                    </w:rPr>
                    <w:t>DA007废气排放口◎YQ2</w:t>
                  </w:r>
                </w:p>
                <w:p w14:paraId="304689E4">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val="en-US" w:eastAsia="zh-CN" w:bidi="ar-SA"/>
                    </w:rPr>
                    <w:t>H=15m</w:t>
                  </w:r>
                </w:p>
              </w:tc>
              <w:tc>
                <w:tcPr>
                  <w:tcW w:w="409" w:type="pct"/>
                  <w:vMerge w:val="restart"/>
                  <w:tcBorders>
                    <w:tl2br w:val="nil"/>
                    <w:tr2bl w:val="nil"/>
                  </w:tcBorders>
                  <w:shd w:val="clear" w:color="auto" w:fill="auto"/>
                  <w:vAlign w:val="center"/>
                </w:tcPr>
                <w:p w14:paraId="2F3B8A51">
                  <w:pPr>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10</w:t>
                  </w:r>
                </w:p>
                <w:p w14:paraId="18118A24">
                  <w:pPr>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63DE30EB">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tcBorders>
                    <w:tl2br w:val="nil"/>
                    <w:tr2bl w:val="nil"/>
                  </w:tcBorders>
                  <w:vAlign w:val="center"/>
                </w:tcPr>
                <w:p w14:paraId="74532FB3">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tcBorders>
                    <w:tl2br w:val="nil"/>
                    <w:tr2bl w:val="nil"/>
                  </w:tcBorders>
                  <w:shd w:val="clear" w:color="auto" w:fill="auto"/>
                  <w:vAlign w:val="center"/>
                </w:tcPr>
                <w:p w14:paraId="6BC451E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2524</w:t>
                  </w:r>
                </w:p>
              </w:tc>
              <w:tc>
                <w:tcPr>
                  <w:tcW w:w="503" w:type="pct"/>
                  <w:tcBorders>
                    <w:tl2br w:val="nil"/>
                    <w:tr2bl w:val="nil"/>
                  </w:tcBorders>
                  <w:shd w:val="clear" w:color="auto" w:fill="auto"/>
                  <w:vAlign w:val="center"/>
                </w:tcPr>
                <w:p w14:paraId="26C1442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2366</w:t>
                  </w:r>
                </w:p>
              </w:tc>
              <w:tc>
                <w:tcPr>
                  <w:tcW w:w="509" w:type="pct"/>
                  <w:tcBorders>
                    <w:tl2br w:val="nil"/>
                    <w:tr2bl w:val="nil"/>
                  </w:tcBorders>
                  <w:shd w:val="clear" w:color="auto" w:fill="auto"/>
                  <w:vAlign w:val="center"/>
                </w:tcPr>
                <w:p w14:paraId="7B064BA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2335</w:t>
                  </w:r>
                </w:p>
              </w:tc>
              <w:tc>
                <w:tcPr>
                  <w:tcW w:w="457" w:type="pct"/>
                  <w:tcBorders>
                    <w:tl2br w:val="nil"/>
                    <w:tr2bl w:val="nil"/>
                  </w:tcBorders>
                  <w:shd w:val="clear" w:color="auto" w:fill="auto"/>
                  <w:vAlign w:val="center"/>
                </w:tcPr>
                <w:p w14:paraId="05401AA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2524</w:t>
                  </w:r>
                </w:p>
              </w:tc>
              <w:tc>
                <w:tcPr>
                  <w:tcW w:w="485" w:type="pct"/>
                  <w:tcBorders>
                    <w:tl2br w:val="nil"/>
                    <w:tr2bl w:val="nil"/>
                  </w:tcBorders>
                  <w:vAlign w:val="center"/>
                </w:tcPr>
                <w:p w14:paraId="1FC4BCA0">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688E8907">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772710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76405B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C2893A6">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4E5991A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tcBorders>
                    <w:tl2br w:val="nil"/>
                    <w:tr2bl w:val="nil"/>
                  </w:tcBorders>
                  <w:vAlign w:val="center"/>
                </w:tcPr>
                <w:p w14:paraId="6C2469F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C944F5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352.6</w:t>
                  </w:r>
                </w:p>
              </w:tc>
              <w:tc>
                <w:tcPr>
                  <w:tcW w:w="503" w:type="pct"/>
                  <w:tcBorders>
                    <w:tl2br w:val="nil"/>
                    <w:tr2bl w:val="nil"/>
                  </w:tcBorders>
                  <w:shd w:val="clear" w:color="auto" w:fill="auto"/>
                  <w:vAlign w:val="center"/>
                </w:tcPr>
                <w:p w14:paraId="55FD0EA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349.7</w:t>
                  </w:r>
                </w:p>
              </w:tc>
              <w:tc>
                <w:tcPr>
                  <w:tcW w:w="509" w:type="pct"/>
                  <w:tcBorders>
                    <w:tl2br w:val="nil"/>
                    <w:tr2bl w:val="nil"/>
                  </w:tcBorders>
                  <w:shd w:val="clear" w:color="auto" w:fill="auto"/>
                  <w:vAlign w:val="center"/>
                </w:tcPr>
                <w:p w14:paraId="0710257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352.1</w:t>
                  </w:r>
                </w:p>
              </w:tc>
              <w:tc>
                <w:tcPr>
                  <w:tcW w:w="457" w:type="pct"/>
                  <w:tcBorders>
                    <w:tl2br w:val="nil"/>
                    <w:tr2bl w:val="nil"/>
                  </w:tcBorders>
                  <w:shd w:val="clear" w:color="auto" w:fill="auto"/>
                  <w:vAlign w:val="center"/>
                </w:tcPr>
                <w:p w14:paraId="1F1D4C1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352.6</w:t>
                  </w:r>
                </w:p>
              </w:tc>
              <w:tc>
                <w:tcPr>
                  <w:tcW w:w="485" w:type="pct"/>
                  <w:tcBorders>
                    <w:tl2br w:val="nil"/>
                    <w:tr2bl w:val="nil"/>
                  </w:tcBorders>
                  <w:vAlign w:val="center"/>
                </w:tcPr>
                <w:p w14:paraId="0C5AFE2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3F90DD57">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5BCBBC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2FE8BFA">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9D9942D">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053D627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烟气湿度</w:t>
                  </w:r>
                </w:p>
              </w:tc>
              <w:tc>
                <w:tcPr>
                  <w:tcW w:w="821" w:type="pct"/>
                  <w:tcBorders>
                    <w:tl2br w:val="nil"/>
                    <w:tr2bl w:val="nil"/>
                  </w:tcBorders>
                  <w:vAlign w:val="center"/>
                </w:tcPr>
                <w:p w14:paraId="30CC67B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olor w:val="000000" w:themeColor="text1"/>
                      <w:lang w:val="en-US" w:eastAsia="zh-CN"/>
                      <w14:textFill>
                        <w14:solidFill>
                          <w14:schemeClr w14:val="tx1"/>
                        </w14:solidFill>
                      </w14:textFill>
                    </w:rPr>
                    <w:t>%</w:t>
                  </w:r>
                </w:p>
              </w:tc>
              <w:tc>
                <w:tcPr>
                  <w:tcW w:w="503" w:type="pct"/>
                  <w:tcBorders>
                    <w:tl2br w:val="nil"/>
                    <w:tr2bl w:val="nil"/>
                  </w:tcBorders>
                  <w:shd w:val="clear" w:color="auto" w:fill="auto"/>
                  <w:vAlign w:val="center"/>
                </w:tcPr>
                <w:p w14:paraId="22DE125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7.71</w:t>
                  </w:r>
                </w:p>
              </w:tc>
              <w:tc>
                <w:tcPr>
                  <w:tcW w:w="503" w:type="pct"/>
                  <w:tcBorders>
                    <w:tl2br w:val="nil"/>
                    <w:tr2bl w:val="nil"/>
                  </w:tcBorders>
                  <w:shd w:val="clear" w:color="auto" w:fill="auto"/>
                  <w:vAlign w:val="center"/>
                </w:tcPr>
                <w:p w14:paraId="774CC46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7.76</w:t>
                  </w:r>
                </w:p>
              </w:tc>
              <w:tc>
                <w:tcPr>
                  <w:tcW w:w="509" w:type="pct"/>
                  <w:tcBorders>
                    <w:tl2br w:val="nil"/>
                    <w:tr2bl w:val="nil"/>
                  </w:tcBorders>
                  <w:shd w:val="clear" w:color="auto" w:fill="auto"/>
                  <w:vAlign w:val="center"/>
                </w:tcPr>
                <w:p w14:paraId="2138203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7.55</w:t>
                  </w:r>
                </w:p>
              </w:tc>
              <w:tc>
                <w:tcPr>
                  <w:tcW w:w="457" w:type="pct"/>
                  <w:tcBorders>
                    <w:tl2br w:val="nil"/>
                    <w:tr2bl w:val="nil"/>
                  </w:tcBorders>
                  <w:shd w:val="clear" w:color="auto" w:fill="auto"/>
                  <w:vAlign w:val="center"/>
                </w:tcPr>
                <w:p w14:paraId="11F6AAF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7.76</w:t>
                  </w:r>
                </w:p>
              </w:tc>
              <w:tc>
                <w:tcPr>
                  <w:tcW w:w="485" w:type="pct"/>
                  <w:tcBorders>
                    <w:tl2br w:val="nil"/>
                    <w:tr2bl w:val="nil"/>
                  </w:tcBorders>
                  <w:vAlign w:val="center"/>
                </w:tcPr>
                <w:p w14:paraId="5C94A546">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0C2EFE1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111FE1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7642931">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7AB8567">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1B29509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tcBorders>
                    <w:tl2br w:val="nil"/>
                    <w:tr2bl w:val="nil"/>
                  </w:tcBorders>
                  <w:vAlign w:val="center"/>
                </w:tcPr>
                <w:p w14:paraId="09D1D89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tcBorders>
                    <w:tl2br w:val="nil"/>
                    <w:tr2bl w:val="nil"/>
                  </w:tcBorders>
                  <w:shd w:val="clear" w:color="auto" w:fill="auto"/>
                  <w:vAlign w:val="center"/>
                </w:tcPr>
                <w:p w14:paraId="665F455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18.1</w:t>
                  </w:r>
                </w:p>
              </w:tc>
              <w:tc>
                <w:tcPr>
                  <w:tcW w:w="503" w:type="pct"/>
                  <w:tcBorders>
                    <w:tl2br w:val="nil"/>
                    <w:tr2bl w:val="nil"/>
                  </w:tcBorders>
                  <w:shd w:val="clear" w:color="auto" w:fill="auto"/>
                  <w:vAlign w:val="center"/>
                </w:tcPr>
                <w:p w14:paraId="61FDA39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16.9</w:t>
                  </w:r>
                </w:p>
              </w:tc>
              <w:tc>
                <w:tcPr>
                  <w:tcW w:w="509" w:type="pct"/>
                  <w:tcBorders>
                    <w:tl2br w:val="nil"/>
                    <w:tr2bl w:val="nil"/>
                  </w:tcBorders>
                  <w:shd w:val="clear" w:color="auto" w:fill="auto"/>
                  <w:vAlign w:val="center"/>
                </w:tcPr>
                <w:p w14:paraId="78B8E0B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16.7</w:t>
                  </w:r>
                </w:p>
              </w:tc>
              <w:tc>
                <w:tcPr>
                  <w:tcW w:w="457" w:type="pct"/>
                  <w:tcBorders>
                    <w:tl2br w:val="nil"/>
                    <w:tr2bl w:val="nil"/>
                  </w:tcBorders>
                  <w:shd w:val="clear" w:color="auto" w:fill="auto"/>
                  <w:vAlign w:val="center"/>
                </w:tcPr>
                <w:p w14:paraId="56859F7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18.1</w:t>
                  </w:r>
                </w:p>
              </w:tc>
              <w:tc>
                <w:tcPr>
                  <w:tcW w:w="485" w:type="pct"/>
                  <w:tcBorders>
                    <w:tl2br w:val="nil"/>
                    <w:tr2bl w:val="nil"/>
                  </w:tcBorders>
                  <w:vAlign w:val="center"/>
                </w:tcPr>
                <w:p w14:paraId="77C43246">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757D35BE">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3B0954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686C39F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F734130">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7179AFB4">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tcBorders>
                    <w:tl2br w:val="nil"/>
                    <w:tr2bl w:val="nil"/>
                  </w:tcBorders>
                  <w:vAlign w:val="center"/>
                </w:tcPr>
                <w:p w14:paraId="256846B4">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128B3F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9.3</w:t>
                  </w:r>
                </w:p>
              </w:tc>
              <w:tc>
                <w:tcPr>
                  <w:tcW w:w="503" w:type="pct"/>
                  <w:tcBorders>
                    <w:tl2br w:val="nil"/>
                    <w:tr2bl w:val="nil"/>
                  </w:tcBorders>
                  <w:shd w:val="clear" w:color="auto" w:fill="auto"/>
                  <w:vAlign w:val="center"/>
                </w:tcPr>
                <w:p w14:paraId="37DF3E3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9.3</w:t>
                  </w:r>
                </w:p>
              </w:tc>
              <w:tc>
                <w:tcPr>
                  <w:tcW w:w="509" w:type="pct"/>
                  <w:tcBorders>
                    <w:tl2br w:val="nil"/>
                    <w:tr2bl w:val="nil"/>
                  </w:tcBorders>
                  <w:shd w:val="clear" w:color="auto" w:fill="auto"/>
                  <w:vAlign w:val="center"/>
                </w:tcPr>
                <w:p w14:paraId="06E6892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8.7</w:t>
                  </w:r>
                </w:p>
              </w:tc>
              <w:tc>
                <w:tcPr>
                  <w:tcW w:w="457" w:type="pct"/>
                  <w:tcBorders>
                    <w:tl2br w:val="nil"/>
                    <w:tr2bl w:val="nil"/>
                  </w:tcBorders>
                  <w:shd w:val="clear" w:color="auto" w:fill="auto"/>
                  <w:vAlign w:val="center"/>
                </w:tcPr>
                <w:p w14:paraId="3449487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9.3</w:t>
                  </w:r>
                </w:p>
              </w:tc>
              <w:tc>
                <w:tcPr>
                  <w:tcW w:w="485" w:type="pct"/>
                  <w:tcBorders>
                    <w:tl2br w:val="nil"/>
                    <w:tr2bl w:val="nil"/>
                  </w:tcBorders>
                  <w:vAlign w:val="center"/>
                </w:tcPr>
                <w:p w14:paraId="522FD75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1D996DF0">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081B19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0CC705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7D509D1">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71DFDB66">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tcBorders>
                    <w:tl2br w:val="nil"/>
                    <w:tr2bl w:val="nil"/>
                  </w:tcBorders>
                  <w:vAlign w:val="center"/>
                </w:tcPr>
                <w:p w14:paraId="7F629D4B">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6AE932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w:t>
                  </w:r>
                </w:p>
              </w:tc>
              <w:tc>
                <w:tcPr>
                  <w:tcW w:w="503" w:type="pct"/>
                  <w:tcBorders>
                    <w:tl2br w:val="nil"/>
                    <w:tr2bl w:val="nil"/>
                  </w:tcBorders>
                  <w:shd w:val="clear" w:color="auto" w:fill="auto"/>
                  <w:vAlign w:val="center"/>
                </w:tcPr>
                <w:p w14:paraId="1ED0170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2.8</w:t>
                  </w:r>
                </w:p>
              </w:tc>
              <w:tc>
                <w:tcPr>
                  <w:tcW w:w="509" w:type="pct"/>
                  <w:tcBorders>
                    <w:tl2br w:val="nil"/>
                    <w:tr2bl w:val="nil"/>
                  </w:tcBorders>
                  <w:shd w:val="clear" w:color="auto" w:fill="auto"/>
                  <w:vAlign w:val="center"/>
                </w:tcPr>
                <w:p w14:paraId="4E165D3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2.4</w:t>
                  </w:r>
                </w:p>
              </w:tc>
              <w:tc>
                <w:tcPr>
                  <w:tcW w:w="457" w:type="pct"/>
                  <w:tcBorders>
                    <w:tl2br w:val="nil"/>
                    <w:tr2bl w:val="nil"/>
                  </w:tcBorders>
                  <w:shd w:val="clear" w:color="auto" w:fill="auto"/>
                  <w:vAlign w:val="center"/>
                </w:tcPr>
                <w:p w14:paraId="547E457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2.8</w:t>
                  </w:r>
                </w:p>
              </w:tc>
              <w:tc>
                <w:tcPr>
                  <w:tcW w:w="485" w:type="pct"/>
                  <w:tcBorders>
                    <w:tl2br w:val="nil"/>
                    <w:tr2bl w:val="nil"/>
                  </w:tcBorders>
                  <w:vAlign w:val="center"/>
                </w:tcPr>
                <w:p w14:paraId="48064BA3">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2712462C">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1A0B18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921492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D033AFA">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376A9FDB">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22A2DCDC">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A921E6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3.1</w:t>
                  </w:r>
                </w:p>
              </w:tc>
              <w:tc>
                <w:tcPr>
                  <w:tcW w:w="503" w:type="pct"/>
                  <w:tcBorders>
                    <w:tl2br w:val="nil"/>
                    <w:tr2bl w:val="nil"/>
                  </w:tcBorders>
                  <w:shd w:val="clear" w:color="auto" w:fill="auto"/>
                  <w:vAlign w:val="center"/>
                </w:tcPr>
                <w:p w14:paraId="0C62F22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4.2</w:t>
                  </w:r>
                </w:p>
              </w:tc>
              <w:tc>
                <w:tcPr>
                  <w:tcW w:w="509" w:type="pct"/>
                  <w:tcBorders>
                    <w:tl2br w:val="nil"/>
                    <w:tr2bl w:val="nil"/>
                  </w:tcBorders>
                  <w:shd w:val="clear" w:color="auto" w:fill="auto"/>
                  <w:vAlign w:val="center"/>
                </w:tcPr>
                <w:p w14:paraId="50F3B06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457" w:type="pct"/>
                  <w:tcBorders>
                    <w:tl2br w:val="nil"/>
                    <w:tr2bl w:val="nil"/>
                  </w:tcBorders>
                  <w:shd w:val="clear" w:color="auto" w:fill="auto"/>
                  <w:vAlign w:val="center"/>
                </w:tcPr>
                <w:p w14:paraId="76D6C5F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4.2</w:t>
                  </w:r>
                </w:p>
              </w:tc>
              <w:tc>
                <w:tcPr>
                  <w:tcW w:w="485" w:type="pct"/>
                  <w:tcBorders>
                    <w:tl2br w:val="nil"/>
                    <w:tr2bl w:val="nil"/>
                  </w:tcBorders>
                  <w:vAlign w:val="center"/>
                </w:tcPr>
                <w:p w14:paraId="384E180D">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20</w:t>
                  </w:r>
                </w:p>
              </w:tc>
              <w:tc>
                <w:tcPr>
                  <w:tcW w:w="416" w:type="pct"/>
                  <w:tcBorders>
                    <w:tl2br w:val="nil"/>
                    <w:tr2bl w:val="nil"/>
                  </w:tcBorders>
                  <w:vAlign w:val="center"/>
                </w:tcPr>
                <w:p w14:paraId="24B4348D">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4D079E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96016A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83855A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0665633">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6A5A0E9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F9BDAC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0.00530</w:t>
                  </w:r>
                </w:p>
              </w:tc>
              <w:tc>
                <w:tcPr>
                  <w:tcW w:w="503" w:type="pct"/>
                  <w:tcBorders>
                    <w:tl2br w:val="nil"/>
                    <w:tr2bl w:val="nil"/>
                  </w:tcBorders>
                  <w:shd w:val="clear" w:color="auto" w:fill="auto"/>
                  <w:vAlign w:val="center"/>
                </w:tcPr>
                <w:p w14:paraId="64C487F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0.00662</w:t>
                  </w:r>
                </w:p>
              </w:tc>
              <w:tc>
                <w:tcPr>
                  <w:tcW w:w="509" w:type="pct"/>
                  <w:tcBorders>
                    <w:tl2br w:val="nil"/>
                    <w:tr2bl w:val="nil"/>
                  </w:tcBorders>
                  <w:shd w:val="clear" w:color="auto" w:fill="auto"/>
                  <w:vAlign w:val="center"/>
                </w:tcPr>
                <w:p w14:paraId="389F0F1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0.00560</w:t>
                  </w:r>
                </w:p>
              </w:tc>
              <w:tc>
                <w:tcPr>
                  <w:tcW w:w="457" w:type="pct"/>
                  <w:tcBorders>
                    <w:tl2br w:val="nil"/>
                    <w:tr2bl w:val="nil"/>
                  </w:tcBorders>
                  <w:shd w:val="clear" w:color="auto" w:fill="auto"/>
                  <w:vAlign w:val="center"/>
                </w:tcPr>
                <w:p w14:paraId="35C2F02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0.00662</w:t>
                  </w:r>
                </w:p>
              </w:tc>
              <w:tc>
                <w:tcPr>
                  <w:tcW w:w="485" w:type="pct"/>
                  <w:tcBorders>
                    <w:tl2br w:val="nil"/>
                    <w:tr2bl w:val="nil"/>
                  </w:tcBorders>
                  <w:vAlign w:val="center"/>
                </w:tcPr>
                <w:p w14:paraId="2F555B8E">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0DE3D16D">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61130C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A0A943C">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F0DE870">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15A72678">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tcBorders>
                    <w:tl2br w:val="nil"/>
                    <w:tr2bl w:val="nil"/>
                  </w:tcBorders>
                  <w:vAlign w:val="center"/>
                </w:tcPr>
                <w:p w14:paraId="62EFC1C1">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06469A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14</w:t>
                  </w:r>
                </w:p>
              </w:tc>
              <w:tc>
                <w:tcPr>
                  <w:tcW w:w="503" w:type="pct"/>
                  <w:tcBorders>
                    <w:tl2br w:val="nil"/>
                    <w:tr2bl w:val="nil"/>
                  </w:tcBorders>
                  <w:shd w:val="clear" w:color="auto" w:fill="auto"/>
                  <w:vAlign w:val="center"/>
                </w:tcPr>
                <w:p w14:paraId="7C3E0D5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w:t>
                  </w:r>
                </w:p>
              </w:tc>
              <w:tc>
                <w:tcPr>
                  <w:tcW w:w="509" w:type="pct"/>
                  <w:tcBorders>
                    <w:tl2br w:val="nil"/>
                    <w:tr2bl w:val="nil"/>
                  </w:tcBorders>
                  <w:shd w:val="clear" w:color="auto" w:fill="auto"/>
                  <w:vAlign w:val="center"/>
                </w:tcPr>
                <w:p w14:paraId="415F0C8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457" w:type="pct"/>
                  <w:tcBorders>
                    <w:tl2br w:val="nil"/>
                    <w:tr2bl w:val="nil"/>
                  </w:tcBorders>
                  <w:shd w:val="clear" w:color="auto" w:fill="auto"/>
                  <w:vAlign w:val="center"/>
                </w:tcPr>
                <w:p w14:paraId="7572603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14</w:t>
                  </w:r>
                </w:p>
              </w:tc>
              <w:tc>
                <w:tcPr>
                  <w:tcW w:w="485" w:type="pct"/>
                  <w:tcBorders>
                    <w:tl2br w:val="nil"/>
                    <w:tr2bl w:val="nil"/>
                  </w:tcBorders>
                  <w:vAlign w:val="center"/>
                </w:tcPr>
                <w:p w14:paraId="7DB5711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5B5064AA">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1DAB61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F2AB3D6">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9CFA9AB">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14BA6086">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4257D3FE">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146CAA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w:t>
                  </w:r>
                </w:p>
              </w:tc>
              <w:tc>
                <w:tcPr>
                  <w:tcW w:w="503" w:type="pct"/>
                  <w:tcBorders>
                    <w:tl2br w:val="nil"/>
                    <w:tr2bl w:val="nil"/>
                  </w:tcBorders>
                  <w:shd w:val="clear" w:color="auto" w:fill="auto"/>
                  <w:vAlign w:val="center"/>
                </w:tcPr>
                <w:p w14:paraId="4BB9817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19</w:t>
                  </w:r>
                </w:p>
              </w:tc>
              <w:tc>
                <w:tcPr>
                  <w:tcW w:w="509" w:type="pct"/>
                  <w:tcBorders>
                    <w:tl2br w:val="nil"/>
                    <w:tr2bl w:val="nil"/>
                  </w:tcBorders>
                  <w:shd w:val="clear" w:color="auto" w:fill="auto"/>
                  <w:vAlign w:val="center"/>
                </w:tcPr>
                <w:p w14:paraId="5F48E3F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14</w:t>
                  </w:r>
                </w:p>
              </w:tc>
              <w:tc>
                <w:tcPr>
                  <w:tcW w:w="457" w:type="pct"/>
                  <w:tcBorders>
                    <w:tl2br w:val="nil"/>
                    <w:tr2bl w:val="nil"/>
                  </w:tcBorders>
                  <w:shd w:val="clear" w:color="auto" w:fill="auto"/>
                  <w:vAlign w:val="center"/>
                </w:tcPr>
                <w:p w14:paraId="09928AD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21</w:t>
                  </w:r>
                </w:p>
              </w:tc>
              <w:tc>
                <w:tcPr>
                  <w:tcW w:w="485" w:type="pct"/>
                  <w:tcBorders>
                    <w:tl2br w:val="nil"/>
                    <w:tr2bl w:val="nil"/>
                  </w:tcBorders>
                  <w:vAlign w:val="center"/>
                </w:tcPr>
                <w:p w14:paraId="311E5134">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50</w:t>
                  </w:r>
                </w:p>
              </w:tc>
              <w:tc>
                <w:tcPr>
                  <w:tcW w:w="416" w:type="pct"/>
                  <w:tcBorders>
                    <w:tl2br w:val="nil"/>
                    <w:tr2bl w:val="nil"/>
                  </w:tcBorders>
                  <w:vAlign w:val="center"/>
                </w:tcPr>
                <w:p w14:paraId="411A864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6F7BBE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69A550E">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8D3905F">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8C9F9BA">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3A5E8546">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21EF34F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0.0353</w:t>
                  </w:r>
                </w:p>
              </w:tc>
              <w:tc>
                <w:tcPr>
                  <w:tcW w:w="503" w:type="pct"/>
                  <w:tcBorders>
                    <w:tl2br w:val="nil"/>
                    <w:tr2bl w:val="nil"/>
                  </w:tcBorders>
                  <w:shd w:val="clear" w:color="auto" w:fill="auto"/>
                  <w:vAlign w:val="center"/>
                </w:tcPr>
                <w:p w14:paraId="02E79E5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0.0308</w:t>
                  </w:r>
                </w:p>
              </w:tc>
              <w:tc>
                <w:tcPr>
                  <w:tcW w:w="509" w:type="pct"/>
                  <w:tcBorders>
                    <w:tl2br w:val="nil"/>
                    <w:tr2bl w:val="nil"/>
                  </w:tcBorders>
                  <w:shd w:val="clear" w:color="auto" w:fill="auto"/>
                  <w:vAlign w:val="center"/>
                </w:tcPr>
                <w:p w14:paraId="20C6A1D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0.0234</w:t>
                  </w:r>
                </w:p>
              </w:tc>
              <w:tc>
                <w:tcPr>
                  <w:tcW w:w="457" w:type="pct"/>
                  <w:tcBorders>
                    <w:tl2br w:val="nil"/>
                    <w:tr2bl w:val="nil"/>
                  </w:tcBorders>
                  <w:shd w:val="clear" w:color="auto" w:fill="auto"/>
                  <w:vAlign w:val="center"/>
                </w:tcPr>
                <w:p w14:paraId="620D8D6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0.0353</w:t>
                  </w:r>
                </w:p>
              </w:tc>
              <w:tc>
                <w:tcPr>
                  <w:tcW w:w="485" w:type="pct"/>
                  <w:tcBorders>
                    <w:tl2br w:val="nil"/>
                    <w:tr2bl w:val="nil"/>
                  </w:tcBorders>
                  <w:vAlign w:val="center"/>
                </w:tcPr>
                <w:p w14:paraId="7AAF4234">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4215109D">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0E160F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A82A81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C9033F9">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371A50D4">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tcBorders>
                    <w:tl2br w:val="nil"/>
                    <w:tr2bl w:val="nil"/>
                  </w:tcBorders>
                  <w:vAlign w:val="center"/>
                </w:tcPr>
                <w:p w14:paraId="34C8B3E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E0B1B4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w:t>
                  </w:r>
                </w:p>
              </w:tc>
              <w:tc>
                <w:tcPr>
                  <w:tcW w:w="503" w:type="pct"/>
                  <w:tcBorders>
                    <w:tl2br w:val="nil"/>
                    <w:tr2bl w:val="nil"/>
                  </w:tcBorders>
                  <w:shd w:val="clear" w:color="auto" w:fill="auto"/>
                  <w:vAlign w:val="center"/>
                </w:tcPr>
                <w:p w14:paraId="499969B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w:t>
                  </w:r>
                </w:p>
              </w:tc>
              <w:tc>
                <w:tcPr>
                  <w:tcW w:w="509" w:type="pct"/>
                  <w:tcBorders>
                    <w:tl2br w:val="nil"/>
                    <w:tr2bl w:val="nil"/>
                  </w:tcBorders>
                  <w:shd w:val="clear" w:color="auto" w:fill="auto"/>
                  <w:vAlign w:val="center"/>
                </w:tcPr>
                <w:p w14:paraId="3707861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38</w:t>
                  </w:r>
                </w:p>
              </w:tc>
              <w:tc>
                <w:tcPr>
                  <w:tcW w:w="457" w:type="pct"/>
                  <w:tcBorders>
                    <w:tl2br w:val="nil"/>
                    <w:tr2bl w:val="nil"/>
                  </w:tcBorders>
                  <w:shd w:val="clear" w:color="auto" w:fill="auto"/>
                  <w:vAlign w:val="center"/>
                </w:tcPr>
                <w:p w14:paraId="3C6A80C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38</w:t>
                  </w:r>
                </w:p>
              </w:tc>
              <w:tc>
                <w:tcPr>
                  <w:tcW w:w="485" w:type="pct"/>
                  <w:tcBorders>
                    <w:tl2br w:val="nil"/>
                    <w:tr2bl w:val="nil"/>
                  </w:tcBorders>
                  <w:vAlign w:val="center"/>
                </w:tcPr>
                <w:p w14:paraId="6281D997">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1981E5A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35DA0C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8A92C4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636746F">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1B304B97">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6C58B77F">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022264C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503" w:type="pct"/>
                  <w:tcBorders>
                    <w:tl2br w:val="nil"/>
                    <w:tr2bl w:val="nil"/>
                  </w:tcBorders>
                  <w:shd w:val="clear" w:color="auto" w:fill="auto"/>
                  <w:vAlign w:val="center"/>
                </w:tcPr>
                <w:p w14:paraId="71157C5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31</w:t>
                  </w:r>
                </w:p>
              </w:tc>
              <w:tc>
                <w:tcPr>
                  <w:tcW w:w="509" w:type="pct"/>
                  <w:tcBorders>
                    <w:tl2br w:val="nil"/>
                    <w:tr2bl w:val="nil"/>
                  </w:tcBorders>
                  <w:shd w:val="clear" w:color="auto" w:fill="auto"/>
                  <w:vAlign w:val="center"/>
                </w:tcPr>
                <w:p w14:paraId="2188051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54</w:t>
                  </w:r>
                </w:p>
              </w:tc>
              <w:tc>
                <w:tcPr>
                  <w:tcW w:w="457" w:type="pct"/>
                  <w:tcBorders>
                    <w:tl2br w:val="nil"/>
                    <w:tr2bl w:val="nil"/>
                  </w:tcBorders>
                  <w:shd w:val="clear" w:color="auto" w:fill="auto"/>
                  <w:vAlign w:val="center"/>
                </w:tcPr>
                <w:p w14:paraId="551D0D2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54</w:t>
                  </w:r>
                </w:p>
              </w:tc>
              <w:tc>
                <w:tcPr>
                  <w:tcW w:w="485" w:type="pct"/>
                  <w:tcBorders>
                    <w:tl2br w:val="nil"/>
                    <w:tr2bl w:val="nil"/>
                  </w:tcBorders>
                  <w:vAlign w:val="center"/>
                </w:tcPr>
                <w:p w14:paraId="417044BE">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150</w:t>
                  </w:r>
                </w:p>
              </w:tc>
              <w:tc>
                <w:tcPr>
                  <w:tcW w:w="416" w:type="pct"/>
                  <w:tcBorders>
                    <w:tl2br w:val="nil"/>
                    <w:tr2bl w:val="nil"/>
                  </w:tcBorders>
                  <w:vAlign w:val="center"/>
                </w:tcPr>
                <w:p w14:paraId="5321E2F1">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3BF521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617C034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A97043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751585FC">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24939993">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55633ED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0.0581</w:t>
                  </w:r>
                </w:p>
              </w:tc>
              <w:tc>
                <w:tcPr>
                  <w:tcW w:w="503" w:type="pct"/>
                  <w:tcBorders>
                    <w:tl2br w:val="nil"/>
                    <w:tr2bl w:val="nil"/>
                  </w:tcBorders>
                  <w:shd w:val="clear" w:color="auto" w:fill="auto"/>
                  <w:vAlign w:val="center"/>
                </w:tcPr>
                <w:p w14:paraId="77B3BC8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0.0497</w:t>
                  </w:r>
                </w:p>
              </w:tc>
              <w:tc>
                <w:tcPr>
                  <w:tcW w:w="509" w:type="pct"/>
                  <w:tcBorders>
                    <w:tl2br w:val="nil"/>
                    <w:tr2bl w:val="nil"/>
                  </w:tcBorders>
                  <w:shd w:val="clear" w:color="auto" w:fill="auto"/>
                  <w:vAlign w:val="center"/>
                </w:tcPr>
                <w:p w14:paraId="1A8BA93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0.0887</w:t>
                  </w:r>
                </w:p>
              </w:tc>
              <w:tc>
                <w:tcPr>
                  <w:tcW w:w="457" w:type="pct"/>
                  <w:tcBorders>
                    <w:tl2br w:val="nil"/>
                    <w:tr2bl w:val="nil"/>
                  </w:tcBorders>
                  <w:shd w:val="clear" w:color="auto" w:fill="auto"/>
                  <w:vAlign w:val="center"/>
                </w:tcPr>
                <w:p w14:paraId="17BF039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0.0887</w:t>
                  </w:r>
                </w:p>
              </w:tc>
              <w:tc>
                <w:tcPr>
                  <w:tcW w:w="485" w:type="pct"/>
                  <w:tcBorders>
                    <w:tl2br w:val="nil"/>
                    <w:tr2bl w:val="nil"/>
                  </w:tcBorders>
                  <w:vAlign w:val="center"/>
                </w:tcPr>
                <w:p w14:paraId="29E14C23">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572443E8">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6A601D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29DF43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0739A65">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014D2E90">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氨</w:t>
                  </w:r>
                </w:p>
              </w:tc>
              <w:tc>
                <w:tcPr>
                  <w:tcW w:w="821" w:type="pct"/>
                  <w:tcBorders>
                    <w:tl2br w:val="nil"/>
                    <w:tr2bl w:val="nil"/>
                  </w:tcBorders>
                  <w:vAlign w:val="center"/>
                </w:tcPr>
                <w:p w14:paraId="5D8BF034">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tcBorders>
                    <w:tl2br w:val="nil"/>
                    <w:tr2bl w:val="nil"/>
                  </w:tcBorders>
                  <w:shd w:val="clear" w:color="auto" w:fill="auto"/>
                  <w:vAlign w:val="center"/>
                </w:tcPr>
                <w:p w14:paraId="589BD48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22.7</w:t>
                  </w:r>
                </w:p>
              </w:tc>
              <w:tc>
                <w:tcPr>
                  <w:tcW w:w="503" w:type="pct"/>
                  <w:tcBorders>
                    <w:tl2br w:val="nil"/>
                    <w:tr2bl w:val="nil"/>
                  </w:tcBorders>
                  <w:shd w:val="clear" w:color="auto" w:fill="auto"/>
                  <w:vAlign w:val="center"/>
                </w:tcPr>
                <w:p w14:paraId="2DCC957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25.1</w:t>
                  </w:r>
                </w:p>
              </w:tc>
              <w:tc>
                <w:tcPr>
                  <w:tcW w:w="509" w:type="pct"/>
                  <w:tcBorders>
                    <w:tl2br w:val="nil"/>
                    <w:tr2bl w:val="nil"/>
                  </w:tcBorders>
                  <w:shd w:val="clear" w:color="auto" w:fill="auto"/>
                  <w:vAlign w:val="center"/>
                </w:tcPr>
                <w:p w14:paraId="09437F8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30.2</w:t>
                  </w:r>
                </w:p>
              </w:tc>
              <w:tc>
                <w:tcPr>
                  <w:tcW w:w="457" w:type="pct"/>
                  <w:tcBorders>
                    <w:tl2br w:val="nil"/>
                    <w:tr2bl w:val="nil"/>
                  </w:tcBorders>
                  <w:shd w:val="clear" w:color="auto" w:fill="auto"/>
                  <w:vAlign w:val="center"/>
                </w:tcPr>
                <w:p w14:paraId="362B4A1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30.2</w:t>
                  </w:r>
                </w:p>
              </w:tc>
              <w:tc>
                <w:tcPr>
                  <w:tcW w:w="485" w:type="pct"/>
                  <w:tcBorders>
                    <w:tl2br w:val="nil"/>
                    <w:tr2bl w:val="nil"/>
                  </w:tcBorders>
                  <w:vAlign w:val="center"/>
                </w:tcPr>
                <w:p w14:paraId="639C7EDB">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c>
                <w:tcPr>
                  <w:tcW w:w="416" w:type="pct"/>
                  <w:tcBorders>
                    <w:tl2br w:val="nil"/>
                    <w:tr2bl w:val="nil"/>
                  </w:tcBorders>
                  <w:vAlign w:val="center"/>
                </w:tcPr>
                <w:p w14:paraId="5A3407A5">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w:t>
                  </w:r>
                </w:p>
              </w:tc>
            </w:tr>
            <w:tr w14:paraId="57306B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2C4867C">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9E2A70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2400422A">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3DACAC19">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2B4926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0.0573</w:t>
                  </w:r>
                </w:p>
              </w:tc>
              <w:tc>
                <w:tcPr>
                  <w:tcW w:w="503" w:type="pct"/>
                  <w:tcBorders>
                    <w:tl2br w:val="nil"/>
                    <w:tr2bl w:val="nil"/>
                  </w:tcBorders>
                  <w:shd w:val="clear" w:color="auto" w:fill="auto"/>
                  <w:vAlign w:val="center"/>
                </w:tcPr>
                <w:p w14:paraId="7EF4966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0.0594</w:t>
                  </w:r>
                </w:p>
              </w:tc>
              <w:tc>
                <w:tcPr>
                  <w:tcW w:w="509" w:type="pct"/>
                  <w:tcBorders>
                    <w:tl2br w:val="nil"/>
                    <w:tr2bl w:val="nil"/>
                  </w:tcBorders>
                  <w:shd w:val="clear" w:color="auto" w:fill="auto"/>
                  <w:vAlign w:val="center"/>
                </w:tcPr>
                <w:p w14:paraId="2966CF4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0.0705</w:t>
                  </w:r>
                </w:p>
              </w:tc>
              <w:tc>
                <w:tcPr>
                  <w:tcW w:w="457" w:type="pct"/>
                  <w:tcBorders>
                    <w:tl2br w:val="nil"/>
                    <w:tr2bl w:val="nil"/>
                  </w:tcBorders>
                  <w:shd w:val="clear" w:color="auto" w:fill="auto"/>
                  <w:vAlign w:val="center"/>
                </w:tcPr>
                <w:p w14:paraId="1431BCD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0.0705</w:t>
                  </w:r>
                </w:p>
              </w:tc>
              <w:tc>
                <w:tcPr>
                  <w:tcW w:w="485" w:type="pct"/>
                  <w:tcBorders>
                    <w:tl2br w:val="nil"/>
                    <w:tr2bl w:val="nil"/>
                  </w:tcBorders>
                  <w:vAlign w:val="center"/>
                </w:tcPr>
                <w:p w14:paraId="4E72E3D6">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4.9</w:t>
                  </w:r>
                </w:p>
              </w:tc>
              <w:tc>
                <w:tcPr>
                  <w:tcW w:w="416" w:type="pct"/>
                  <w:tcBorders>
                    <w:tl2br w:val="nil"/>
                    <w:tr2bl w:val="nil"/>
                  </w:tcBorders>
                  <w:vAlign w:val="center"/>
                </w:tcPr>
                <w:p w14:paraId="2AF0697A">
                  <w:pPr>
                    <w:widowControl/>
                    <w:jc w:val="center"/>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达标</w:t>
                  </w:r>
                </w:p>
              </w:tc>
            </w:tr>
            <w:tr w14:paraId="5451E5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AED297C">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2C8A611">
                  <w:pPr>
                    <w:widowControl/>
                    <w:jc w:val="center"/>
                    <w:rPr>
                      <w:rFonts w:hint="default" w:ascii="Times New Roman" w:hAnsi="Times New Roman" w:eastAsia="宋体" w:cs="Times New Roman"/>
                      <w:color w:val="auto"/>
                      <w:kern w:val="0"/>
                      <w:sz w:val="18"/>
                      <w:szCs w:val="18"/>
                      <w:highlight w:val="none"/>
                    </w:rPr>
                  </w:pPr>
                </w:p>
              </w:tc>
              <w:tc>
                <w:tcPr>
                  <w:tcW w:w="1359" w:type="pct"/>
                  <w:gridSpan w:val="2"/>
                  <w:tcBorders>
                    <w:tl2br w:val="nil"/>
                    <w:tr2bl w:val="nil"/>
                  </w:tcBorders>
                  <w:vAlign w:val="center"/>
                </w:tcPr>
                <w:p w14:paraId="24052409">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林格曼黑度（级）</w:t>
                  </w:r>
                </w:p>
              </w:tc>
              <w:tc>
                <w:tcPr>
                  <w:tcW w:w="503" w:type="pct"/>
                  <w:tcBorders>
                    <w:tl2br w:val="nil"/>
                    <w:tr2bl w:val="nil"/>
                  </w:tcBorders>
                  <w:shd w:val="clear" w:color="auto" w:fill="auto"/>
                  <w:vAlign w:val="center"/>
                </w:tcPr>
                <w:p w14:paraId="2BAAE0A8">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503" w:type="pct"/>
                  <w:tcBorders>
                    <w:tl2br w:val="nil"/>
                    <w:tr2bl w:val="nil"/>
                  </w:tcBorders>
                  <w:shd w:val="clear" w:color="auto" w:fill="auto"/>
                  <w:vAlign w:val="center"/>
                </w:tcPr>
                <w:p w14:paraId="3817CEDF">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03885E25">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7DD3F1E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485" w:type="pct"/>
                  <w:tcBorders>
                    <w:tl2br w:val="nil"/>
                    <w:tr2bl w:val="nil"/>
                  </w:tcBorders>
                  <w:vAlign w:val="center"/>
                </w:tcPr>
                <w:p w14:paraId="5F7AA5D2">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w:t>
                  </w:r>
                </w:p>
              </w:tc>
              <w:tc>
                <w:tcPr>
                  <w:tcW w:w="416" w:type="pct"/>
                  <w:tcBorders>
                    <w:tl2br w:val="nil"/>
                    <w:tr2bl w:val="nil"/>
                  </w:tcBorders>
                  <w:vAlign w:val="center"/>
                </w:tcPr>
                <w:p w14:paraId="1F7E6141">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eastAsia="zh-CN"/>
                    </w:rPr>
                    <w:t>达标</w:t>
                  </w:r>
                </w:p>
              </w:tc>
            </w:tr>
            <w:tr w14:paraId="29B0D1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3E11DF0">
                  <w:pPr>
                    <w:widowControl/>
                    <w:jc w:val="center"/>
                    <w:rPr>
                      <w:rFonts w:hint="default" w:ascii="Times New Roman" w:hAnsi="Times New Roman" w:eastAsia="宋体" w:cs="Times New Roman"/>
                      <w:color w:val="auto"/>
                      <w:kern w:val="0"/>
                      <w:sz w:val="18"/>
                      <w:szCs w:val="18"/>
                      <w:highlight w:val="none"/>
                    </w:rPr>
                  </w:pPr>
                </w:p>
              </w:tc>
              <w:tc>
                <w:tcPr>
                  <w:tcW w:w="409" w:type="pct"/>
                  <w:vMerge w:val="restart"/>
                  <w:tcBorders>
                    <w:tl2br w:val="nil"/>
                    <w:tr2bl w:val="nil"/>
                  </w:tcBorders>
                  <w:shd w:val="clear" w:color="auto" w:fill="auto"/>
                  <w:vAlign w:val="center"/>
                </w:tcPr>
                <w:p w14:paraId="4E789171">
                  <w:pPr>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11</w:t>
                  </w:r>
                </w:p>
              </w:tc>
              <w:tc>
                <w:tcPr>
                  <w:tcW w:w="538" w:type="pct"/>
                  <w:tcBorders>
                    <w:tl2br w:val="nil"/>
                    <w:tr2bl w:val="nil"/>
                  </w:tcBorders>
                  <w:vAlign w:val="center"/>
                </w:tcPr>
                <w:p w14:paraId="15A527C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tcBorders>
                    <w:tl2br w:val="nil"/>
                    <w:tr2bl w:val="nil"/>
                  </w:tcBorders>
                  <w:vAlign w:val="center"/>
                </w:tcPr>
                <w:p w14:paraId="6E2DE03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tcBorders>
                    <w:tl2br w:val="nil"/>
                    <w:tr2bl w:val="nil"/>
                  </w:tcBorders>
                  <w:shd w:val="clear" w:color="auto" w:fill="auto"/>
                  <w:vAlign w:val="center"/>
                </w:tcPr>
                <w:p w14:paraId="276EEDD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2795</w:t>
                  </w:r>
                </w:p>
              </w:tc>
              <w:tc>
                <w:tcPr>
                  <w:tcW w:w="503" w:type="pct"/>
                  <w:tcBorders>
                    <w:tl2br w:val="nil"/>
                    <w:tr2bl w:val="nil"/>
                  </w:tcBorders>
                  <w:shd w:val="clear" w:color="auto" w:fill="auto"/>
                  <w:vAlign w:val="center"/>
                </w:tcPr>
                <w:p w14:paraId="6D9E6FB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1781</w:t>
                  </w:r>
                </w:p>
              </w:tc>
              <w:tc>
                <w:tcPr>
                  <w:tcW w:w="509" w:type="pct"/>
                  <w:tcBorders>
                    <w:tl2br w:val="nil"/>
                    <w:tr2bl w:val="nil"/>
                  </w:tcBorders>
                  <w:shd w:val="clear" w:color="auto" w:fill="auto"/>
                  <w:vAlign w:val="center"/>
                </w:tcPr>
                <w:p w14:paraId="1E85533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1757</w:t>
                  </w:r>
                </w:p>
              </w:tc>
              <w:tc>
                <w:tcPr>
                  <w:tcW w:w="457" w:type="pct"/>
                  <w:tcBorders>
                    <w:tl2br w:val="nil"/>
                    <w:tr2bl w:val="nil"/>
                  </w:tcBorders>
                  <w:shd w:val="clear" w:color="auto" w:fill="auto"/>
                  <w:vAlign w:val="center"/>
                </w:tcPr>
                <w:p w14:paraId="0E4D244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2795</w:t>
                  </w:r>
                </w:p>
              </w:tc>
              <w:tc>
                <w:tcPr>
                  <w:tcW w:w="485" w:type="pct"/>
                  <w:tcBorders>
                    <w:tl2br w:val="nil"/>
                    <w:tr2bl w:val="nil"/>
                  </w:tcBorders>
                  <w:vAlign w:val="center"/>
                </w:tcPr>
                <w:p w14:paraId="7F0536BE">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66B37F70">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14:paraId="1C71FA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CE38C5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E2CEA24">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0C9E50B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tcBorders>
                    <w:tl2br w:val="nil"/>
                    <w:tr2bl w:val="nil"/>
                  </w:tcBorders>
                  <w:vAlign w:val="center"/>
                </w:tcPr>
                <w:p w14:paraId="3D6F45DD">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EB131C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377.5</w:t>
                  </w:r>
                </w:p>
              </w:tc>
              <w:tc>
                <w:tcPr>
                  <w:tcW w:w="503" w:type="pct"/>
                  <w:tcBorders>
                    <w:tl2br w:val="nil"/>
                    <w:tr2bl w:val="nil"/>
                  </w:tcBorders>
                  <w:shd w:val="clear" w:color="auto" w:fill="auto"/>
                  <w:vAlign w:val="center"/>
                </w:tcPr>
                <w:p w14:paraId="4B2210B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369.5</w:t>
                  </w:r>
                </w:p>
              </w:tc>
              <w:tc>
                <w:tcPr>
                  <w:tcW w:w="509" w:type="pct"/>
                  <w:tcBorders>
                    <w:tl2br w:val="nil"/>
                    <w:tr2bl w:val="nil"/>
                  </w:tcBorders>
                  <w:shd w:val="clear" w:color="auto" w:fill="auto"/>
                  <w:vAlign w:val="center"/>
                </w:tcPr>
                <w:p w14:paraId="35A9366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377.9</w:t>
                  </w:r>
                </w:p>
              </w:tc>
              <w:tc>
                <w:tcPr>
                  <w:tcW w:w="457" w:type="pct"/>
                  <w:tcBorders>
                    <w:tl2br w:val="nil"/>
                    <w:tr2bl w:val="nil"/>
                  </w:tcBorders>
                  <w:shd w:val="clear" w:color="auto" w:fill="auto"/>
                  <w:vAlign w:val="center"/>
                </w:tcPr>
                <w:p w14:paraId="26EEA75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377.9</w:t>
                  </w:r>
                </w:p>
              </w:tc>
              <w:tc>
                <w:tcPr>
                  <w:tcW w:w="485" w:type="pct"/>
                  <w:tcBorders>
                    <w:tl2br w:val="nil"/>
                    <w:tr2bl w:val="nil"/>
                  </w:tcBorders>
                  <w:vAlign w:val="center"/>
                </w:tcPr>
                <w:p w14:paraId="07DC8CAC">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19FCE287">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14:paraId="41B068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6A73D15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15B034E">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2046B16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烟气湿度</w:t>
                  </w:r>
                </w:p>
              </w:tc>
              <w:tc>
                <w:tcPr>
                  <w:tcW w:w="821" w:type="pct"/>
                  <w:tcBorders>
                    <w:tl2br w:val="nil"/>
                    <w:tr2bl w:val="nil"/>
                  </w:tcBorders>
                  <w:vAlign w:val="center"/>
                </w:tcPr>
                <w:p w14:paraId="677C3D5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olor w:val="000000" w:themeColor="text1"/>
                      <w:lang w:val="en-US" w:eastAsia="zh-CN"/>
                      <w14:textFill>
                        <w14:solidFill>
                          <w14:schemeClr w14:val="tx1"/>
                        </w14:solidFill>
                      </w14:textFill>
                    </w:rPr>
                    <w:t>%</w:t>
                  </w:r>
                </w:p>
              </w:tc>
              <w:tc>
                <w:tcPr>
                  <w:tcW w:w="503" w:type="pct"/>
                  <w:tcBorders>
                    <w:tl2br w:val="nil"/>
                    <w:tr2bl w:val="nil"/>
                  </w:tcBorders>
                  <w:shd w:val="clear" w:color="auto" w:fill="auto"/>
                  <w:vAlign w:val="center"/>
                </w:tcPr>
                <w:p w14:paraId="1B4ED57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7.55</w:t>
                  </w:r>
                </w:p>
              </w:tc>
              <w:tc>
                <w:tcPr>
                  <w:tcW w:w="503" w:type="pct"/>
                  <w:tcBorders>
                    <w:tl2br w:val="nil"/>
                    <w:tr2bl w:val="nil"/>
                  </w:tcBorders>
                  <w:shd w:val="clear" w:color="auto" w:fill="auto"/>
                  <w:vAlign w:val="center"/>
                </w:tcPr>
                <w:p w14:paraId="091FEDF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7.57</w:t>
                  </w:r>
                </w:p>
              </w:tc>
              <w:tc>
                <w:tcPr>
                  <w:tcW w:w="509" w:type="pct"/>
                  <w:tcBorders>
                    <w:tl2br w:val="nil"/>
                    <w:tr2bl w:val="nil"/>
                  </w:tcBorders>
                  <w:shd w:val="clear" w:color="auto" w:fill="auto"/>
                  <w:vAlign w:val="center"/>
                </w:tcPr>
                <w:p w14:paraId="595E611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7.62</w:t>
                  </w:r>
                </w:p>
              </w:tc>
              <w:tc>
                <w:tcPr>
                  <w:tcW w:w="457" w:type="pct"/>
                  <w:tcBorders>
                    <w:tl2br w:val="nil"/>
                    <w:tr2bl w:val="nil"/>
                  </w:tcBorders>
                  <w:shd w:val="clear" w:color="auto" w:fill="auto"/>
                  <w:vAlign w:val="center"/>
                </w:tcPr>
                <w:p w14:paraId="49E9802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7.62</w:t>
                  </w:r>
                </w:p>
              </w:tc>
              <w:tc>
                <w:tcPr>
                  <w:tcW w:w="485" w:type="pct"/>
                  <w:tcBorders>
                    <w:tl2br w:val="nil"/>
                    <w:tr2bl w:val="nil"/>
                  </w:tcBorders>
                  <w:vAlign w:val="center"/>
                </w:tcPr>
                <w:p w14:paraId="0F32E71E">
                  <w:pPr>
                    <w:pStyle w:val="129"/>
                    <w:jc w:val="center"/>
                    <w:rPr>
                      <w:rFonts w:hint="default" w:ascii="Times New Roman" w:hAnsi="Times New Roman" w:eastAsia="宋体" w:cs="Times New Roman"/>
                      <w:color w:val="auto"/>
                      <w:sz w:val="18"/>
                      <w:szCs w:val="18"/>
                      <w:highlight w:val="none"/>
                      <w:lang w:val="en-US" w:eastAsia="zh-CN"/>
                    </w:rPr>
                  </w:pPr>
                </w:p>
              </w:tc>
              <w:tc>
                <w:tcPr>
                  <w:tcW w:w="416" w:type="pct"/>
                  <w:tcBorders>
                    <w:tl2br w:val="nil"/>
                    <w:tr2bl w:val="nil"/>
                  </w:tcBorders>
                  <w:vAlign w:val="center"/>
                </w:tcPr>
                <w:p w14:paraId="36AA0B0C">
                  <w:pPr>
                    <w:pStyle w:val="129"/>
                    <w:jc w:val="center"/>
                    <w:rPr>
                      <w:rFonts w:hint="default" w:ascii="Times New Roman" w:hAnsi="Times New Roman" w:eastAsia="宋体" w:cs="Times New Roman"/>
                      <w:color w:val="auto"/>
                      <w:sz w:val="18"/>
                      <w:szCs w:val="18"/>
                      <w:highlight w:val="none"/>
                      <w:lang w:val="en-US" w:eastAsia="zh-CN"/>
                    </w:rPr>
                  </w:pPr>
                </w:p>
              </w:tc>
            </w:tr>
            <w:tr w14:paraId="5AFDD8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7AFDB1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AB3828F">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780C5FDD">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tcBorders>
                    <w:tl2br w:val="nil"/>
                    <w:tr2bl w:val="nil"/>
                  </w:tcBorders>
                  <w:vAlign w:val="center"/>
                </w:tcPr>
                <w:p w14:paraId="6C9F73A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tcBorders>
                    <w:tl2br w:val="nil"/>
                    <w:tr2bl w:val="nil"/>
                  </w:tcBorders>
                  <w:shd w:val="clear" w:color="auto" w:fill="auto"/>
                  <w:vAlign w:val="center"/>
                </w:tcPr>
                <w:p w14:paraId="619B5D1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20.8</w:t>
                  </w:r>
                </w:p>
              </w:tc>
              <w:tc>
                <w:tcPr>
                  <w:tcW w:w="503" w:type="pct"/>
                  <w:tcBorders>
                    <w:tl2br w:val="nil"/>
                    <w:tr2bl w:val="nil"/>
                  </w:tcBorders>
                  <w:shd w:val="clear" w:color="auto" w:fill="auto"/>
                  <w:vAlign w:val="center"/>
                </w:tcPr>
                <w:p w14:paraId="21517E2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13.1</w:t>
                  </w:r>
                </w:p>
              </w:tc>
              <w:tc>
                <w:tcPr>
                  <w:tcW w:w="509" w:type="pct"/>
                  <w:tcBorders>
                    <w:tl2br w:val="nil"/>
                    <w:tr2bl w:val="nil"/>
                  </w:tcBorders>
                  <w:shd w:val="clear" w:color="auto" w:fill="auto"/>
                  <w:vAlign w:val="center"/>
                </w:tcPr>
                <w:p w14:paraId="36A14A7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13.1</w:t>
                  </w:r>
                </w:p>
              </w:tc>
              <w:tc>
                <w:tcPr>
                  <w:tcW w:w="457" w:type="pct"/>
                  <w:tcBorders>
                    <w:tl2br w:val="nil"/>
                    <w:tr2bl w:val="nil"/>
                  </w:tcBorders>
                  <w:shd w:val="clear" w:color="auto" w:fill="auto"/>
                  <w:vAlign w:val="center"/>
                </w:tcPr>
                <w:p w14:paraId="6061687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20.8</w:t>
                  </w:r>
                </w:p>
              </w:tc>
              <w:tc>
                <w:tcPr>
                  <w:tcW w:w="485" w:type="pct"/>
                  <w:tcBorders>
                    <w:tl2br w:val="nil"/>
                    <w:tr2bl w:val="nil"/>
                  </w:tcBorders>
                  <w:vAlign w:val="center"/>
                </w:tcPr>
                <w:p w14:paraId="17B167A9">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32A4603B">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14:paraId="3F26F3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0CF3A6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B450907">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1CED476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tcBorders>
                    <w:tl2br w:val="nil"/>
                    <w:tr2bl w:val="nil"/>
                  </w:tcBorders>
                  <w:vAlign w:val="center"/>
                </w:tcPr>
                <w:p w14:paraId="72C4CA4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071C9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10.4</w:t>
                  </w:r>
                </w:p>
              </w:tc>
              <w:tc>
                <w:tcPr>
                  <w:tcW w:w="503" w:type="pct"/>
                  <w:tcBorders>
                    <w:tl2br w:val="nil"/>
                    <w:tr2bl w:val="nil"/>
                  </w:tcBorders>
                  <w:shd w:val="clear" w:color="auto" w:fill="auto"/>
                  <w:vAlign w:val="center"/>
                </w:tcPr>
                <w:p w14:paraId="6232C5B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7.4</w:t>
                  </w:r>
                </w:p>
              </w:tc>
              <w:tc>
                <w:tcPr>
                  <w:tcW w:w="509" w:type="pct"/>
                  <w:tcBorders>
                    <w:tl2br w:val="nil"/>
                    <w:tr2bl w:val="nil"/>
                  </w:tcBorders>
                  <w:shd w:val="clear" w:color="auto" w:fill="auto"/>
                  <w:vAlign w:val="center"/>
                </w:tcPr>
                <w:p w14:paraId="0401E4F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7.3</w:t>
                  </w:r>
                </w:p>
              </w:tc>
              <w:tc>
                <w:tcPr>
                  <w:tcW w:w="457" w:type="pct"/>
                  <w:tcBorders>
                    <w:tl2br w:val="nil"/>
                    <w:tr2bl w:val="nil"/>
                  </w:tcBorders>
                  <w:shd w:val="clear" w:color="auto" w:fill="auto"/>
                  <w:vAlign w:val="center"/>
                </w:tcPr>
                <w:p w14:paraId="23241EC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10.4</w:t>
                  </w:r>
                </w:p>
              </w:tc>
              <w:tc>
                <w:tcPr>
                  <w:tcW w:w="485" w:type="pct"/>
                  <w:tcBorders>
                    <w:tl2br w:val="nil"/>
                    <w:tr2bl w:val="nil"/>
                  </w:tcBorders>
                  <w:vAlign w:val="center"/>
                </w:tcPr>
                <w:p w14:paraId="24612703">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178F9252">
                  <w:pPr>
                    <w:pStyle w:val="129"/>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14:paraId="76E844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64349FB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3A0BC7A">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48812A6A">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tcBorders>
                    <w:tl2br w:val="nil"/>
                    <w:tr2bl w:val="nil"/>
                  </w:tcBorders>
                  <w:vAlign w:val="center"/>
                </w:tcPr>
                <w:p w14:paraId="675DF1C9">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2399A2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w:t>
                  </w:r>
                </w:p>
              </w:tc>
              <w:tc>
                <w:tcPr>
                  <w:tcW w:w="503" w:type="pct"/>
                  <w:tcBorders>
                    <w:tl2br w:val="nil"/>
                    <w:tr2bl w:val="nil"/>
                  </w:tcBorders>
                  <w:shd w:val="clear" w:color="auto" w:fill="auto"/>
                  <w:vAlign w:val="center"/>
                </w:tcPr>
                <w:p w14:paraId="1379270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2.3</w:t>
                  </w:r>
                </w:p>
              </w:tc>
              <w:tc>
                <w:tcPr>
                  <w:tcW w:w="509" w:type="pct"/>
                  <w:tcBorders>
                    <w:tl2br w:val="nil"/>
                    <w:tr2bl w:val="nil"/>
                  </w:tcBorders>
                  <w:shd w:val="clear" w:color="auto" w:fill="auto"/>
                  <w:vAlign w:val="center"/>
                </w:tcPr>
                <w:p w14:paraId="0538792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2.7</w:t>
                  </w:r>
                </w:p>
              </w:tc>
              <w:tc>
                <w:tcPr>
                  <w:tcW w:w="457" w:type="pct"/>
                  <w:tcBorders>
                    <w:tl2br w:val="nil"/>
                    <w:tr2bl w:val="nil"/>
                  </w:tcBorders>
                  <w:shd w:val="clear" w:color="auto" w:fill="auto"/>
                  <w:vAlign w:val="center"/>
                </w:tcPr>
                <w:p w14:paraId="464440F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2.7</w:t>
                  </w:r>
                </w:p>
              </w:tc>
              <w:tc>
                <w:tcPr>
                  <w:tcW w:w="485" w:type="pct"/>
                  <w:tcBorders>
                    <w:tl2br w:val="nil"/>
                    <w:tr2bl w:val="nil"/>
                  </w:tcBorders>
                  <w:vAlign w:val="center"/>
                </w:tcPr>
                <w:p w14:paraId="6E1CBB78">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20D0ED80">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7C969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17FD8B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60F027F">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F0D7E0E">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4B4272D5">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533B87A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3.6</w:t>
                  </w:r>
                </w:p>
              </w:tc>
              <w:tc>
                <w:tcPr>
                  <w:tcW w:w="503" w:type="pct"/>
                  <w:tcBorders>
                    <w:tl2br w:val="nil"/>
                    <w:tr2bl w:val="nil"/>
                  </w:tcBorders>
                  <w:shd w:val="clear" w:color="auto" w:fill="auto"/>
                  <w:vAlign w:val="center"/>
                </w:tcPr>
                <w:p w14:paraId="1F8310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3.0</w:t>
                  </w:r>
                </w:p>
              </w:tc>
              <w:tc>
                <w:tcPr>
                  <w:tcW w:w="509" w:type="pct"/>
                  <w:tcBorders>
                    <w:tl2br w:val="nil"/>
                    <w:tr2bl w:val="nil"/>
                  </w:tcBorders>
                  <w:shd w:val="clear" w:color="auto" w:fill="auto"/>
                  <w:vAlign w:val="center"/>
                </w:tcPr>
                <w:p w14:paraId="520D763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457" w:type="pct"/>
                  <w:tcBorders>
                    <w:tl2br w:val="nil"/>
                    <w:tr2bl w:val="nil"/>
                  </w:tcBorders>
                  <w:shd w:val="clear" w:color="auto" w:fill="auto"/>
                  <w:vAlign w:val="center"/>
                </w:tcPr>
                <w:p w14:paraId="0C0B0B1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3.6</w:t>
                  </w:r>
                </w:p>
              </w:tc>
              <w:tc>
                <w:tcPr>
                  <w:tcW w:w="485" w:type="pct"/>
                  <w:tcBorders>
                    <w:tl2br w:val="nil"/>
                    <w:tr2bl w:val="nil"/>
                  </w:tcBorders>
                  <w:vAlign w:val="center"/>
                </w:tcPr>
                <w:p w14:paraId="6C65706F">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416" w:type="pct"/>
                  <w:tcBorders>
                    <w:tl2br w:val="nil"/>
                    <w:tr2bl w:val="nil"/>
                  </w:tcBorders>
                  <w:vAlign w:val="center"/>
                </w:tcPr>
                <w:p w14:paraId="128F3561">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70378A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A9BD0B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873E1D6">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790EADA3">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3B0375FC">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628D66E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0.00615</w:t>
                  </w:r>
                </w:p>
              </w:tc>
              <w:tc>
                <w:tcPr>
                  <w:tcW w:w="503" w:type="pct"/>
                  <w:tcBorders>
                    <w:tl2br w:val="nil"/>
                    <w:tr2bl w:val="nil"/>
                  </w:tcBorders>
                  <w:shd w:val="clear" w:color="auto" w:fill="auto"/>
                  <w:vAlign w:val="center"/>
                </w:tcPr>
                <w:p w14:paraId="660777E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0.00410</w:t>
                  </w:r>
                </w:p>
              </w:tc>
              <w:tc>
                <w:tcPr>
                  <w:tcW w:w="509" w:type="pct"/>
                  <w:tcBorders>
                    <w:tl2br w:val="nil"/>
                    <w:tr2bl w:val="nil"/>
                  </w:tcBorders>
                  <w:shd w:val="clear" w:color="auto" w:fill="auto"/>
                  <w:vAlign w:val="center"/>
                </w:tcPr>
                <w:p w14:paraId="6C7EEC5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0.00474</w:t>
                  </w:r>
                </w:p>
              </w:tc>
              <w:tc>
                <w:tcPr>
                  <w:tcW w:w="457" w:type="pct"/>
                  <w:tcBorders>
                    <w:tl2br w:val="nil"/>
                    <w:tr2bl w:val="nil"/>
                  </w:tcBorders>
                  <w:shd w:val="clear" w:color="auto" w:fill="auto"/>
                  <w:vAlign w:val="center"/>
                </w:tcPr>
                <w:p w14:paraId="746AF99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0.00615</w:t>
                  </w:r>
                </w:p>
              </w:tc>
              <w:tc>
                <w:tcPr>
                  <w:tcW w:w="485" w:type="pct"/>
                  <w:tcBorders>
                    <w:tl2br w:val="nil"/>
                    <w:tr2bl w:val="nil"/>
                  </w:tcBorders>
                  <w:vAlign w:val="center"/>
                </w:tcPr>
                <w:p w14:paraId="2355A6BC">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5F48A42C">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7744CB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E2BB35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E45BF17">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2EC19CFE">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tcBorders>
                    <w:tl2br w:val="nil"/>
                    <w:tr2bl w:val="nil"/>
                  </w:tcBorders>
                  <w:vAlign w:val="center"/>
                </w:tcPr>
                <w:p w14:paraId="7EECF05A">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7C45274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11</w:t>
                  </w:r>
                </w:p>
              </w:tc>
              <w:tc>
                <w:tcPr>
                  <w:tcW w:w="503" w:type="pct"/>
                  <w:tcBorders>
                    <w:tl2br w:val="nil"/>
                    <w:tr2bl w:val="nil"/>
                  </w:tcBorders>
                  <w:shd w:val="clear" w:color="auto" w:fill="auto"/>
                  <w:vAlign w:val="center"/>
                </w:tcPr>
                <w:p w14:paraId="38B1266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w:t>
                  </w:r>
                </w:p>
              </w:tc>
              <w:tc>
                <w:tcPr>
                  <w:tcW w:w="509" w:type="pct"/>
                  <w:tcBorders>
                    <w:tl2br w:val="nil"/>
                    <w:tr2bl w:val="nil"/>
                  </w:tcBorders>
                  <w:shd w:val="clear" w:color="auto" w:fill="auto"/>
                  <w:vAlign w:val="center"/>
                </w:tcPr>
                <w:p w14:paraId="4E160C1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w:t>
                  </w:r>
                </w:p>
              </w:tc>
              <w:tc>
                <w:tcPr>
                  <w:tcW w:w="457" w:type="pct"/>
                  <w:tcBorders>
                    <w:tl2br w:val="nil"/>
                    <w:tr2bl w:val="nil"/>
                  </w:tcBorders>
                  <w:shd w:val="clear" w:color="auto" w:fill="auto"/>
                  <w:vAlign w:val="center"/>
                </w:tcPr>
                <w:p w14:paraId="702A239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11</w:t>
                  </w:r>
                </w:p>
              </w:tc>
              <w:tc>
                <w:tcPr>
                  <w:tcW w:w="485" w:type="pct"/>
                  <w:tcBorders>
                    <w:tl2br w:val="nil"/>
                    <w:tr2bl w:val="nil"/>
                  </w:tcBorders>
                  <w:vAlign w:val="center"/>
                </w:tcPr>
                <w:p w14:paraId="79D5498C">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4B910909">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0CE44B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9A94F1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9B43A79">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6B316368">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13BC6BDA">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7291E5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w:t>
                  </w:r>
                </w:p>
              </w:tc>
              <w:tc>
                <w:tcPr>
                  <w:tcW w:w="503" w:type="pct"/>
                  <w:tcBorders>
                    <w:tl2br w:val="nil"/>
                    <w:tr2bl w:val="nil"/>
                  </w:tcBorders>
                  <w:shd w:val="clear" w:color="auto" w:fill="auto"/>
                  <w:vAlign w:val="center"/>
                </w:tcPr>
                <w:p w14:paraId="44E692B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w:t>
                  </w:r>
                </w:p>
              </w:tc>
              <w:tc>
                <w:tcPr>
                  <w:tcW w:w="509" w:type="pct"/>
                  <w:tcBorders>
                    <w:tl2br w:val="nil"/>
                    <w:tr2bl w:val="nil"/>
                  </w:tcBorders>
                  <w:shd w:val="clear" w:color="auto" w:fill="auto"/>
                  <w:vAlign w:val="center"/>
                </w:tcPr>
                <w:p w14:paraId="2859750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11</w:t>
                  </w:r>
                </w:p>
              </w:tc>
              <w:tc>
                <w:tcPr>
                  <w:tcW w:w="457" w:type="pct"/>
                  <w:tcBorders>
                    <w:tl2br w:val="nil"/>
                    <w:tr2bl w:val="nil"/>
                  </w:tcBorders>
                  <w:shd w:val="clear" w:color="auto" w:fill="auto"/>
                  <w:vAlign w:val="center"/>
                </w:tcPr>
                <w:p w14:paraId="4DE8873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18</w:t>
                  </w:r>
                </w:p>
              </w:tc>
              <w:tc>
                <w:tcPr>
                  <w:tcW w:w="485" w:type="pct"/>
                  <w:tcBorders>
                    <w:tl2br w:val="nil"/>
                    <w:tr2bl w:val="nil"/>
                  </w:tcBorders>
                  <w:vAlign w:val="center"/>
                </w:tcPr>
                <w:p w14:paraId="7925E58D">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50</w:t>
                  </w:r>
                </w:p>
              </w:tc>
              <w:tc>
                <w:tcPr>
                  <w:tcW w:w="416" w:type="pct"/>
                  <w:tcBorders>
                    <w:tl2br w:val="nil"/>
                    <w:tr2bl w:val="nil"/>
                  </w:tcBorders>
                  <w:vAlign w:val="center"/>
                </w:tcPr>
                <w:p w14:paraId="592B6454">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3190D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3441E3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867C47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6BED7B2F">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06E705A9">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16D3724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0.0307</w:t>
                  </w:r>
                </w:p>
              </w:tc>
              <w:tc>
                <w:tcPr>
                  <w:tcW w:w="503" w:type="pct"/>
                  <w:tcBorders>
                    <w:tl2br w:val="nil"/>
                    <w:tr2bl w:val="nil"/>
                  </w:tcBorders>
                  <w:shd w:val="clear" w:color="auto" w:fill="auto"/>
                  <w:vAlign w:val="center"/>
                </w:tcPr>
                <w:p w14:paraId="1FAB3FF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0.0125</w:t>
                  </w:r>
                </w:p>
              </w:tc>
              <w:tc>
                <w:tcPr>
                  <w:tcW w:w="509" w:type="pct"/>
                  <w:tcBorders>
                    <w:tl2br w:val="nil"/>
                    <w:tr2bl w:val="nil"/>
                  </w:tcBorders>
                  <w:shd w:val="clear" w:color="auto" w:fill="auto"/>
                  <w:vAlign w:val="center"/>
                </w:tcPr>
                <w:p w14:paraId="47E70C5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0.0158</w:t>
                  </w:r>
                </w:p>
              </w:tc>
              <w:tc>
                <w:tcPr>
                  <w:tcW w:w="457" w:type="pct"/>
                  <w:tcBorders>
                    <w:tl2br w:val="nil"/>
                    <w:tr2bl w:val="nil"/>
                  </w:tcBorders>
                  <w:shd w:val="clear" w:color="auto" w:fill="auto"/>
                  <w:vAlign w:val="center"/>
                </w:tcPr>
                <w:p w14:paraId="777241C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0.0307</w:t>
                  </w:r>
                </w:p>
              </w:tc>
              <w:tc>
                <w:tcPr>
                  <w:tcW w:w="485" w:type="pct"/>
                  <w:tcBorders>
                    <w:tl2br w:val="nil"/>
                    <w:tr2bl w:val="nil"/>
                  </w:tcBorders>
                  <w:vAlign w:val="center"/>
                </w:tcPr>
                <w:p w14:paraId="548DBE9F">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64448228">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15611D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0894A8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2D0BBAD">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465DF429">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tcBorders>
                    <w:tl2br w:val="nil"/>
                    <w:tr2bl w:val="nil"/>
                  </w:tcBorders>
                  <w:vAlign w:val="center"/>
                </w:tcPr>
                <w:p w14:paraId="64D14BB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CBC13F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503" w:type="pct"/>
                  <w:tcBorders>
                    <w:tl2br w:val="nil"/>
                    <w:tr2bl w:val="nil"/>
                  </w:tcBorders>
                  <w:shd w:val="clear" w:color="auto" w:fill="auto"/>
                  <w:vAlign w:val="center"/>
                </w:tcPr>
                <w:p w14:paraId="32FF9AC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71</w:t>
                  </w:r>
                </w:p>
              </w:tc>
              <w:tc>
                <w:tcPr>
                  <w:tcW w:w="509" w:type="pct"/>
                  <w:tcBorders>
                    <w:tl2br w:val="nil"/>
                    <w:tr2bl w:val="nil"/>
                  </w:tcBorders>
                  <w:shd w:val="clear" w:color="auto" w:fill="auto"/>
                  <w:vAlign w:val="center"/>
                </w:tcPr>
                <w:p w14:paraId="21896C0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88</w:t>
                  </w:r>
                </w:p>
              </w:tc>
              <w:tc>
                <w:tcPr>
                  <w:tcW w:w="457" w:type="pct"/>
                  <w:tcBorders>
                    <w:tl2br w:val="nil"/>
                    <w:tr2bl w:val="nil"/>
                  </w:tcBorders>
                  <w:shd w:val="clear" w:color="auto" w:fill="auto"/>
                  <w:vAlign w:val="center"/>
                </w:tcPr>
                <w:p w14:paraId="070C466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88</w:t>
                  </w:r>
                </w:p>
              </w:tc>
              <w:tc>
                <w:tcPr>
                  <w:tcW w:w="485" w:type="pct"/>
                  <w:tcBorders>
                    <w:tl2br w:val="nil"/>
                    <w:tr2bl w:val="nil"/>
                  </w:tcBorders>
                  <w:vAlign w:val="center"/>
                </w:tcPr>
                <w:p w14:paraId="2AD0450A">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2695A7F8">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7F331C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5838AEE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423B218F">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3C3A8A6D">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28D47128">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FE70F6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33</w:t>
                  </w:r>
                </w:p>
              </w:tc>
              <w:tc>
                <w:tcPr>
                  <w:tcW w:w="503" w:type="pct"/>
                  <w:tcBorders>
                    <w:tl2br w:val="nil"/>
                    <w:tr2bl w:val="nil"/>
                  </w:tcBorders>
                  <w:shd w:val="clear" w:color="auto" w:fill="auto"/>
                  <w:vAlign w:val="center"/>
                </w:tcPr>
                <w:p w14:paraId="18A0428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91</w:t>
                  </w:r>
                </w:p>
              </w:tc>
              <w:tc>
                <w:tcPr>
                  <w:tcW w:w="509" w:type="pct"/>
                  <w:tcBorders>
                    <w:tl2br w:val="nil"/>
                    <w:tr2bl w:val="nil"/>
                  </w:tcBorders>
                  <w:shd w:val="clear" w:color="auto" w:fill="auto"/>
                  <w:vAlign w:val="center"/>
                </w:tcPr>
                <w:p w14:paraId="62C1984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112</w:t>
                  </w:r>
                </w:p>
              </w:tc>
              <w:tc>
                <w:tcPr>
                  <w:tcW w:w="457" w:type="pct"/>
                  <w:tcBorders>
                    <w:tl2br w:val="nil"/>
                    <w:tr2bl w:val="nil"/>
                  </w:tcBorders>
                  <w:shd w:val="clear" w:color="auto" w:fill="auto"/>
                  <w:vAlign w:val="center"/>
                </w:tcPr>
                <w:p w14:paraId="656A79D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112</w:t>
                  </w:r>
                </w:p>
              </w:tc>
              <w:tc>
                <w:tcPr>
                  <w:tcW w:w="485" w:type="pct"/>
                  <w:tcBorders>
                    <w:tl2br w:val="nil"/>
                    <w:tr2bl w:val="nil"/>
                  </w:tcBorders>
                  <w:vAlign w:val="center"/>
                </w:tcPr>
                <w:p w14:paraId="191E5BB5">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150</w:t>
                  </w:r>
                </w:p>
              </w:tc>
              <w:tc>
                <w:tcPr>
                  <w:tcW w:w="416" w:type="pct"/>
                  <w:tcBorders>
                    <w:tl2br w:val="nil"/>
                    <w:tr2bl w:val="nil"/>
                  </w:tcBorders>
                  <w:vAlign w:val="center"/>
                </w:tcPr>
                <w:p w14:paraId="26A4FAB0">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3535AA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1A4EF61">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4570309">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070EB5DF">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065C6085">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2A5759D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0.0559</w:t>
                  </w:r>
                </w:p>
              </w:tc>
              <w:tc>
                <w:tcPr>
                  <w:tcW w:w="503" w:type="pct"/>
                  <w:tcBorders>
                    <w:tl2br w:val="nil"/>
                    <w:tr2bl w:val="nil"/>
                  </w:tcBorders>
                  <w:shd w:val="clear" w:color="auto" w:fill="auto"/>
                  <w:vAlign w:val="center"/>
                </w:tcPr>
                <w:p w14:paraId="1E8F248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0.126</w:t>
                  </w:r>
                </w:p>
              </w:tc>
              <w:tc>
                <w:tcPr>
                  <w:tcW w:w="509" w:type="pct"/>
                  <w:tcBorders>
                    <w:tl2br w:val="nil"/>
                    <w:tr2bl w:val="nil"/>
                  </w:tcBorders>
                  <w:shd w:val="clear" w:color="auto" w:fill="auto"/>
                  <w:vAlign w:val="center"/>
                </w:tcPr>
                <w:p w14:paraId="4E726F3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0.155</w:t>
                  </w:r>
                </w:p>
              </w:tc>
              <w:tc>
                <w:tcPr>
                  <w:tcW w:w="457" w:type="pct"/>
                  <w:tcBorders>
                    <w:tl2br w:val="nil"/>
                    <w:tr2bl w:val="nil"/>
                  </w:tcBorders>
                  <w:shd w:val="clear" w:color="auto" w:fill="auto"/>
                  <w:vAlign w:val="center"/>
                </w:tcPr>
                <w:p w14:paraId="20E568D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0.155</w:t>
                  </w:r>
                </w:p>
              </w:tc>
              <w:tc>
                <w:tcPr>
                  <w:tcW w:w="485" w:type="pct"/>
                  <w:tcBorders>
                    <w:tl2br w:val="nil"/>
                    <w:tr2bl w:val="nil"/>
                  </w:tcBorders>
                  <w:vAlign w:val="center"/>
                </w:tcPr>
                <w:p w14:paraId="256DAE1A">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310642FF">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05BDA6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AEB7C7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5798F54F">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29C2F3FA">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氨</w:t>
                  </w:r>
                </w:p>
              </w:tc>
              <w:tc>
                <w:tcPr>
                  <w:tcW w:w="821" w:type="pct"/>
                  <w:tcBorders>
                    <w:tl2br w:val="nil"/>
                    <w:tr2bl w:val="nil"/>
                  </w:tcBorders>
                  <w:vAlign w:val="center"/>
                </w:tcPr>
                <w:p w14:paraId="39910AF1">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tcBorders>
                    <w:tl2br w:val="nil"/>
                    <w:tr2bl w:val="nil"/>
                  </w:tcBorders>
                  <w:shd w:val="clear" w:color="auto" w:fill="auto"/>
                  <w:vAlign w:val="center"/>
                </w:tcPr>
                <w:p w14:paraId="65DC0E7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16.4</w:t>
                  </w:r>
                </w:p>
              </w:tc>
              <w:tc>
                <w:tcPr>
                  <w:tcW w:w="503" w:type="pct"/>
                  <w:tcBorders>
                    <w:tl2br w:val="nil"/>
                    <w:tr2bl w:val="nil"/>
                  </w:tcBorders>
                  <w:shd w:val="clear" w:color="auto" w:fill="auto"/>
                  <w:vAlign w:val="center"/>
                </w:tcPr>
                <w:p w14:paraId="707D7A5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22.0</w:t>
                  </w:r>
                </w:p>
              </w:tc>
              <w:tc>
                <w:tcPr>
                  <w:tcW w:w="509" w:type="pct"/>
                  <w:tcBorders>
                    <w:tl2br w:val="nil"/>
                    <w:tr2bl w:val="nil"/>
                  </w:tcBorders>
                  <w:shd w:val="clear" w:color="auto" w:fill="auto"/>
                  <w:vAlign w:val="center"/>
                </w:tcPr>
                <w:p w14:paraId="46158FA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27.2</w:t>
                  </w:r>
                </w:p>
              </w:tc>
              <w:tc>
                <w:tcPr>
                  <w:tcW w:w="457" w:type="pct"/>
                  <w:tcBorders>
                    <w:tl2br w:val="nil"/>
                    <w:tr2bl w:val="nil"/>
                  </w:tcBorders>
                  <w:shd w:val="clear" w:color="auto" w:fill="auto"/>
                  <w:vAlign w:val="center"/>
                </w:tcPr>
                <w:p w14:paraId="428ECCD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27.2</w:t>
                  </w:r>
                </w:p>
              </w:tc>
              <w:tc>
                <w:tcPr>
                  <w:tcW w:w="485" w:type="pct"/>
                  <w:tcBorders>
                    <w:tl2br w:val="nil"/>
                    <w:tr2bl w:val="nil"/>
                  </w:tcBorders>
                  <w:vAlign w:val="center"/>
                </w:tcPr>
                <w:p w14:paraId="3457EBC7">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tcBorders>
                    <w:tl2br w:val="nil"/>
                    <w:tr2bl w:val="nil"/>
                  </w:tcBorders>
                  <w:vAlign w:val="center"/>
                </w:tcPr>
                <w:p w14:paraId="06E5172A">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5C38DA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88BBF0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3C9A904">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3D25A4F">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421C816E">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4B9C367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0.0458</w:t>
                  </w:r>
                </w:p>
              </w:tc>
              <w:tc>
                <w:tcPr>
                  <w:tcW w:w="503" w:type="pct"/>
                  <w:tcBorders>
                    <w:tl2br w:val="nil"/>
                    <w:tr2bl w:val="nil"/>
                  </w:tcBorders>
                  <w:shd w:val="clear" w:color="auto" w:fill="auto"/>
                  <w:vAlign w:val="center"/>
                </w:tcPr>
                <w:p w14:paraId="209FF5A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0.0392</w:t>
                  </w:r>
                </w:p>
              </w:tc>
              <w:tc>
                <w:tcPr>
                  <w:tcW w:w="509" w:type="pct"/>
                  <w:tcBorders>
                    <w:tl2br w:val="nil"/>
                    <w:tr2bl w:val="nil"/>
                  </w:tcBorders>
                  <w:shd w:val="clear" w:color="auto" w:fill="auto"/>
                  <w:vAlign w:val="center"/>
                </w:tcPr>
                <w:p w14:paraId="082A2D1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0.0478</w:t>
                  </w:r>
                </w:p>
              </w:tc>
              <w:tc>
                <w:tcPr>
                  <w:tcW w:w="457" w:type="pct"/>
                  <w:tcBorders>
                    <w:tl2br w:val="nil"/>
                    <w:tr2bl w:val="nil"/>
                  </w:tcBorders>
                  <w:shd w:val="clear" w:color="auto" w:fill="auto"/>
                  <w:vAlign w:val="center"/>
                </w:tcPr>
                <w:p w14:paraId="4C016FF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0.0478</w:t>
                  </w:r>
                </w:p>
              </w:tc>
              <w:tc>
                <w:tcPr>
                  <w:tcW w:w="485" w:type="pct"/>
                  <w:tcBorders>
                    <w:tl2br w:val="nil"/>
                    <w:tr2bl w:val="nil"/>
                  </w:tcBorders>
                  <w:vAlign w:val="center"/>
                </w:tcPr>
                <w:p w14:paraId="06158DE0">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4.9</w:t>
                  </w:r>
                </w:p>
              </w:tc>
              <w:tc>
                <w:tcPr>
                  <w:tcW w:w="416" w:type="pct"/>
                  <w:tcBorders>
                    <w:tl2br w:val="nil"/>
                    <w:tr2bl w:val="nil"/>
                  </w:tcBorders>
                  <w:vAlign w:val="center"/>
                </w:tcPr>
                <w:p w14:paraId="67C8BE2E">
                  <w:pPr>
                    <w:pStyle w:val="129"/>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7B4360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A148BB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653D057F">
                  <w:pPr>
                    <w:widowControl/>
                    <w:jc w:val="center"/>
                    <w:rPr>
                      <w:rFonts w:hint="default" w:ascii="Times New Roman" w:hAnsi="Times New Roman" w:eastAsia="宋体" w:cs="Times New Roman"/>
                      <w:color w:val="auto"/>
                      <w:kern w:val="0"/>
                      <w:sz w:val="18"/>
                      <w:szCs w:val="18"/>
                      <w:highlight w:val="none"/>
                    </w:rPr>
                  </w:pPr>
                </w:p>
              </w:tc>
              <w:tc>
                <w:tcPr>
                  <w:tcW w:w="1359" w:type="pct"/>
                  <w:gridSpan w:val="2"/>
                  <w:tcBorders>
                    <w:tl2br w:val="nil"/>
                    <w:tr2bl w:val="nil"/>
                  </w:tcBorders>
                  <w:vAlign w:val="center"/>
                </w:tcPr>
                <w:p w14:paraId="0765D112">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林格曼黑度（级）</w:t>
                  </w:r>
                </w:p>
              </w:tc>
              <w:tc>
                <w:tcPr>
                  <w:tcW w:w="503" w:type="pct"/>
                  <w:tcBorders>
                    <w:tl2br w:val="nil"/>
                    <w:tr2bl w:val="nil"/>
                  </w:tcBorders>
                  <w:shd w:val="clear" w:color="auto" w:fill="auto"/>
                  <w:vAlign w:val="center"/>
                </w:tcPr>
                <w:p w14:paraId="2BFD8D59">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503" w:type="pct"/>
                  <w:tcBorders>
                    <w:tl2br w:val="nil"/>
                    <w:tr2bl w:val="nil"/>
                  </w:tcBorders>
                  <w:shd w:val="clear" w:color="auto" w:fill="auto"/>
                  <w:vAlign w:val="center"/>
                </w:tcPr>
                <w:p w14:paraId="5BC23D2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7CDC190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74C7767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485" w:type="pct"/>
                  <w:tcBorders>
                    <w:tl2br w:val="nil"/>
                    <w:tr2bl w:val="nil"/>
                  </w:tcBorders>
                  <w:vAlign w:val="center"/>
                </w:tcPr>
                <w:p w14:paraId="39AE3D6E">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w:t>
                  </w:r>
                </w:p>
              </w:tc>
              <w:tc>
                <w:tcPr>
                  <w:tcW w:w="416" w:type="pct"/>
                  <w:tcBorders>
                    <w:tl2br w:val="nil"/>
                    <w:tr2bl w:val="nil"/>
                  </w:tcBorders>
                  <w:vAlign w:val="center"/>
                </w:tcPr>
                <w:p w14:paraId="5DC5757F">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eastAsia="zh-CN"/>
                    </w:rPr>
                    <w:t>达标</w:t>
                  </w:r>
                </w:p>
              </w:tc>
            </w:tr>
            <w:tr w14:paraId="78A1D7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restart"/>
                  <w:tcBorders>
                    <w:tl2br w:val="nil"/>
                    <w:tr2bl w:val="nil"/>
                  </w:tcBorders>
                  <w:vAlign w:val="center"/>
                </w:tcPr>
                <w:p w14:paraId="73E65911">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val="en-US" w:eastAsia="zh-CN" w:bidi="ar-SA"/>
                    </w:rPr>
                    <w:t>DA010废气排放口◎YQ3</w:t>
                  </w:r>
                </w:p>
                <w:p w14:paraId="2BC8488B">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val="en-US" w:eastAsia="zh-CN" w:bidi="ar-SA"/>
                    </w:rPr>
                    <w:t>H=15m</w:t>
                  </w:r>
                </w:p>
              </w:tc>
              <w:tc>
                <w:tcPr>
                  <w:tcW w:w="409" w:type="pct"/>
                  <w:vMerge w:val="restart"/>
                  <w:tcBorders>
                    <w:tl2br w:val="nil"/>
                    <w:tr2bl w:val="nil"/>
                  </w:tcBorders>
                  <w:shd w:val="clear" w:color="auto" w:fill="auto"/>
                  <w:vAlign w:val="center"/>
                </w:tcPr>
                <w:p w14:paraId="704A9D29">
                  <w:pPr>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10</w:t>
                  </w:r>
                </w:p>
                <w:p w14:paraId="5AE1B33B">
                  <w:pPr>
                    <w:jc w:val="center"/>
                    <w:rPr>
                      <w:rFonts w:hint="default" w:ascii="Times New Roman" w:hAnsi="Times New Roman" w:eastAsia="宋体" w:cs="Times New Roman"/>
                      <w:color w:val="auto"/>
                      <w:kern w:val="0"/>
                      <w:sz w:val="18"/>
                      <w:szCs w:val="18"/>
                      <w:highlight w:val="none"/>
                      <w:lang w:val="en-US" w:eastAsia="zh-CN" w:bidi="ar-SA"/>
                    </w:rPr>
                  </w:pPr>
                </w:p>
                <w:p w14:paraId="2723F67B">
                  <w:pPr>
                    <w:jc w:val="center"/>
                    <w:rPr>
                      <w:rFonts w:hint="default" w:ascii="Times New Roman" w:hAnsi="Times New Roman" w:eastAsia="宋体" w:cs="Times New Roman"/>
                      <w:color w:val="auto"/>
                      <w:kern w:val="0"/>
                      <w:sz w:val="18"/>
                      <w:szCs w:val="18"/>
                      <w:highlight w:val="none"/>
                      <w:lang w:val="en-US" w:eastAsia="zh-CN"/>
                    </w:rPr>
                  </w:pPr>
                </w:p>
              </w:tc>
              <w:tc>
                <w:tcPr>
                  <w:tcW w:w="538" w:type="pct"/>
                  <w:tcBorders>
                    <w:tl2br w:val="nil"/>
                    <w:tr2bl w:val="nil"/>
                  </w:tcBorders>
                  <w:vAlign w:val="center"/>
                </w:tcPr>
                <w:p w14:paraId="77F0074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tcBorders>
                    <w:tl2br w:val="nil"/>
                    <w:tr2bl w:val="nil"/>
                  </w:tcBorders>
                  <w:vAlign w:val="center"/>
                </w:tcPr>
                <w:p w14:paraId="195AB7C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tcBorders>
                    <w:tl2br w:val="nil"/>
                    <w:tr2bl w:val="nil"/>
                  </w:tcBorders>
                  <w:shd w:val="clear" w:color="auto" w:fill="auto"/>
                  <w:vAlign w:val="center"/>
                </w:tcPr>
                <w:p w14:paraId="530A91C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2037</w:t>
                  </w:r>
                </w:p>
              </w:tc>
              <w:tc>
                <w:tcPr>
                  <w:tcW w:w="503" w:type="pct"/>
                  <w:tcBorders>
                    <w:tl2br w:val="nil"/>
                    <w:tr2bl w:val="nil"/>
                  </w:tcBorders>
                  <w:shd w:val="clear" w:color="auto" w:fill="auto"/>
                  <w:vAlign w:val="center"/>
                </w:tcPr>
                <w:p w14:paraId="142F981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1996</w:t>
                  </w:r>
                </w:p>
              </w:tc>
              <w:tc>
                <w:tcPr>
                  <w:tcW w:w="509" w:type="pct"/>
                  <w:tcBorders>
                    <w:tl2br w:val="nil"/>
                    <w:tr2bl w:val="nil"/>
                  </w:tcBorders>
                  <w:shd w:val="clear" w:color="auto" w:fill="auto"/>
                  <w:vAlign w:val="center"/>
                </w:tcPr>
                <w:p w14:paraId="7D3C067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2017</w:t>
                  </w:r>
                </w:p>
              </w:tc>
              <w:tc>
                <w:tcPr>
                  <w:tcW w:w="457" w:type="pct"/>
                  <w:tcBorders>
                    <w:tl2br w:val="nil"/>
                    <w:tr2bl w:val="nil"/>
                  </w:tcBorders>
                  <w:shd w:val="clear" w:color="auto" w:fill="auto"/>
                  <w:vAlign w:val="center"/>
                </w:tcPr>
                <w:p w14:paraId="6E9D78F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2037</w:t>
                  </w:r>
                </w:p>
              </w:tc>
              <w:tc>
                <w:tcPr>
                  <w:tcW w:w="485" w:type="pct"/>
                  <w:tcBorders>
                    <w:tl2br w:val="nil"/>
                    <w:tr2bl w:val="nil"/>
                  </w:tcBorders>
                  <w:vAlign w:val="center"/>
                </w:tcPr>
                <w:p w14:paraId="0ACE5052">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3D6A969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14584A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D2B402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CE90301">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5145A58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tcBorders>
                    <w:tl2br w:val="nil"/>
                    <w:tr2bl w:val="nil"/>
                  </w:tcBorders>
                  <w:vAlign w:val="center"/>
                </w:tcPr>
                <w:p w14:paraId="7693091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7B4ECEA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387.5</w:t>
                  </w:r>
                </w:p>
              </w:tc>
              <w:tc>
                <w:tcPr>
                  <w:tcW w:w="503" w:type="pct"/>
                  <w:tcBorders>
                    <w:tl2br w:val="nil"/>
                    <w:tr2bl w:val="nil"/>
                  </w:tcBorders>
                  <w:shd w:val="clear" w:color="auto" w:fill="auto"/>
                  <w:vAlign w:val="center"/>
                </w:tcPr>
                <w:p w14:paraId="79DB23C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397.3</w:t>
                  </w:r>
                </w:p>
              </w:tc>
              <w:tc>
                <w:tcPr>
                  <w:tcW w:w="509" w:type="pct"/>
                  <w:tcBorders>
                    <w:tl2br w:val="nil"/>
                    <w:tr2bl w:val="nil"/>
                  </w:tcBorders>
                  <w:shd w:val="clear" w:color="auto" w:fill="auto"/>
                  <w:vAlign w:val="center"/>
                </w:tcPr>
                <w:p w14:paraId="78A1950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398.2</w:t>
                  </w:r>
                </w:p>
              </w:tc>
              <w:tc>
                <w:tcPr>
                  <w:tcW w:w="457" w:type="pct"/>
                  <w:tcBorders>
                    <w:tl2br w:val="nil"/>
                    <w:tr2bl w:val="nil"/>
                  </w:tcBorders>
                  <w:shd w:val="clear" w:color="auto" w:fill="auto"/>
                  <w:vAlign w:val="center"/>
                </w:tcPr>
                <w:p w14:paraId="6F68731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398.2</w:t>
                  </w:r>
                </w:p>
              </w:tc>
              <w:tc>
                <w:tcPr>
                  <w:tcW w:w="485" w:type="pct"/>
                  <w:tcBorders>
                    <w:tl2br w:val="nil"/>
                    <w:tr2bl w:val="nil"/>
                  </w:tcBorders>
                  <w:vAlign w:val="center"/>
                </w:tcPr>
                <w:p w14:paraId="519B7896">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388440B8">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674E4F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7F57D9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BD32C4E">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6DB04C4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烟气湿度</w:t>
                  </w:r>
                </w:p>
              </w:tc>
              <w:tc>
                <w:tcPr>
                  <w:tcW w:w="821" w:type="pct"/>
                  <w:tcBorders>
                    <w:tl2br w:val="nil"/>
                    <w:tr2bl w:val="nil"/>
                  </w:tcBorders>
                  <w:vAlign w:val="center"/>
                </w:tcPr>
                <w:p w14:paraId="6DB65DD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olor w:val="000000" w:themeColor="text1"/>
                      <w:lang w:val="en-US" w:eastAsia="zh-CN"/>
                      <w14:textFill>
                        <w14:solidFill>
                          <w14:schemeClr w14:val="tx1"/>
                        </w14:solidFill>
                      </w14:textFill>
                    </w:rPr>
                    <w:t>%</w:t>
                  </w:r>
                </w:p>
              </w:tc>
              <w:tc>
                <w:tcPr>
                  <w:tcW w:w="503" w:type="pct"/>
                  <w:tcBorders>
                    <w:tl2br w:val="nil"/>
                    <w:tr2bl w:val="nil"/>
                  </w:tcBorders>
                  <w:shd w:val="clear" w:color="auto" w:fill="auto"/>
                  <w:vAlign w:val="center"/>
                </w:tcPr>
                <w:p w14:paraId="6896660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7.62</w:t>
                  </w:r>
                </w:p>
              </w:tc>
              <w:tc>
                <w:tcPr>
                  <w:tcW w:w="503" w:type="pct"/>
                  <w:tcBorders>
                    <w:tl2br w:val="nil"/>
                    <w:tr2bl w:val="nil"/>
                  </w:tcBorders>
                  <w:shd w:val="clear" w:color="auto" w:fill="auto"/>
                  <w:vAlign w:val="center"/>
                </w:tcPr>
                <w:p w14:paraId="7FE3917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7.55</w:t>
                  </w:r>
                </w:p>
              </w:tc>
              <w:tc>
                <w:tcPr>
                  <w:tcW w:w="509" w:type="pct"/>
                  <w:tcBorders>
                    <w:tl2br w:val="nil"/>
                    <w:tr2bl w:val="nil"/>
                  </w:tcBorders>
                  <w:shd w:val="clear" w:color="auto" w:fill="auto"/>
                  <w:vAlign w:val="center"/>
                </w:tcPr>
                <w:p w14:paraId="4F77161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7.62</w:t>
                  </w:r>
                </w:p>
              </w:tc>
              <w:tc>
                <w:tcPr>
                  <w:tcW w:w="457" w:type="pct"/>
                  <w:tcBorders>
                    <w:tl2br w:val="nil"/>
                    <w:tr2bl w:val="nil"/>
                  </w:tcBorders>
                  <w:shd w:val="clear" w:color="auto" w:fill="auto"/>
                  <w:vAlign w:val="center"/>
                </w:tcPr>
                <w:p w14:paraId="2E0DAA8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7.62</w:t>
                  </w:r>
                </w:p>
              </w:tc>
              <w:tc>
                <w:tcPr>
                  <w:tcW w:w="485" w:type="pct"/>
                  <w:tcBorders>
                    <w:tl2br w:val="nil"/>
                    <w:tr2bl w:val="nil"/>
                  </w:tcBorders>
                  <w:vAlign w:val="center"/>
                </w:tcPr>
                <w:p w14:paraId="1A5E99A9">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7CB7AF58">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472294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EE0F9FE">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0552615">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378C28A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tcBorders>
                    <w:tl2br w:val="nil"/>
                    <w:tr2bl w:val="nil"/>
                  </w:tcBorders>
                  <w:vAlign w:val="center"/>
                </w:tcPr>
                <w:p w14:paraId="0A64D85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tcBorders>
                    <w:tl2br w:val="nil"/>
                    <w:tr2bl w:val="nil"/>
                  </w:tcBorders>
                  <w:shd w:val="clear" w:color="auto" w:fill="auto"/>
                  <w:vAlign w:val="center"/>
                </w:tcPr>
                <w:p w14:paraId="0B4E604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15.4</w:t>
                  </w:r>
                </w:p>
              </w:tc>
              <w:tc>
                <w:tcPr>
                  <w:tcW w:w="503" w:type="pct"/>
                  <w:tcBorders>
                    <w:tl2br w:val="nil"/>
                    <w:tr2bl w:val="nil"/>
                  </w:tcBorders>
                  <w:shd w:val="clear" w:color="auto" w:fill="auto"/>
                  <w:vAlign w:val="center"/>
                </w:tcPr>
                <w:p w14:paraId="3C2D62F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15.3</w:t>
                  </w:r>
                </w:p>
              </w:tc>
              <w:tc>
                <w:tcPr>
                  <w:tcW w:w="509" w:type="pct"/>
                  <w:tcBorders>
                    <w:tl2br w:val="nil"/>
                    <w:tr2bl w:val="nil"/>
                  </w:tcBorders>
                  <w:shd w:val="clear" w:color="auto" w:fill="auto"/>
                  <w:vAlign w:val="center"/>
                </w:tcPr>
                <w:p w14:paraId="1837B23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15.5</w:t>
                  </w:r>
                </w:p>
              </w:tc>
              <w:tc>
                <w:tcPr>
                  <w:tcW w:w="457" w:type="pct"/>
                  <w:tcBorders>
                    <w:tl2br w:val="nil"/>
                    <w:tr2bl w:val="nil"/>
                  </w:tcBorders>
                  <w:shd w:val="clear" w:color="auto" w:fill="auto"/>
                  <w:vAlign w:val="center"/>
                </w:tcPr>
                <w:p w14:paraId="7367BAF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15.5</w:t>
                  </w:r>
                </w:p>
              </w:tc>
              <w:tc>
                <w:tcPr>
                  <w:tcW w:w="485" w:type="pct"/>
                  <w:tcBorders>
                    <w:tl2br w:val="nil"/>
                    <w:tr2bl w:val="nil"/>
                  </w:tcBorders>
                  <w:vAlign w:val="center"/>
                </w:tcPr>
                <w:p w14:paraId="0B7D7754">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0613F29E">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31C74E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E12EE4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20739542">
                  <w:pPr>
                    <w:widowControl/>
                    <w:jc w:val="center"/>
                    <w:rPr>
                      <w:rFonts w:hint="default" w:ascii="Times New Roman" w:hAnsi="Times New Roman" w:eastAsia="宋体" w:cs="Times New Roman"/>
                      <w:color w:val="auto"/>
                      <w:kern w:val="0"/>
                      <w:sz w:val="18"/>
                      <w:szCs w:val="18"/>
                      <w:highlight w:val="none"/>
                    </w:rPr>
                  </w:pPr>
                </w:p>
              </w:tc>
              <w:tc>
                <w:tcPr>
                  <w:tcW w:w="538" w:type="pct"/>
                  <w:tcBorders>
                    <w:tl2br w:val="nil"/>
                    <w:tr2bl w:val="nil"/>
                  </w:tcBorders>
                  <w:vAlign w:val="center"/>
                </w:tcPr>
                <w:p w14:paraId="168245F3">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tcBorders>
                    <w:tl2br w:val="nil"/>
                    <w:tr2bl w:val="nil"/>
                  </w:tcBorders>
                  <w:vAlign w:val="center"/>
                </w:tcPr>
                <w:p w14:paraId="1924A3F5">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4556168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8.8</w:t>
                  </w:r>
                </w:p>
              </w:tc>
              <w:tc>
                <w:tcPr>
                  <w:tcW w:w="503" w:type="pct"/>
                  <w:tcBorders>
                    <w:tl2br w:val="nil"/>
                    <w:tr2bl w:val="nil"/>
                  </w:tcBorders>
                  <w:shd w:val="clear" w:color="auto" w:fill="auto"/>
                  <w:vAlign w:val="center"/>
                </w:tcPr>
                <w:p w14:paraId="6D5E4AA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8.2</w:t>
                  </w:r>
                </w:p>
              </w:tc>
              <w:tc>
                <w:tcPr>
                  <w:tcW w:w="509" w:type="pct"/>
                  <w:tcBorders>
                    <w:tl2br w:val="nil"/>
                    <w:tr2bl w:val="nil"/>
                  </w:tcBorders>
                  <w:shd w:val="clear" w:color="auto" w:fill="auto"/>
                  <w:vAlign w:val="center"/>
                </w:tcPr>
                <w:p w14:paraId="75C6E82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8.5</w:t>
                  </w:r>
                </w:p>
              </w:tc>
              <w:tc>
                <w:tcPr>
                  <w:tcW w:w="457" w:type="pct"/>
                  <w:tcBorders>
                    <w:tl2br w:val="nil"/>
                    <w:tr2bl w:val="nil"/>
                  </w:tcBorders>
                  <w:shd w:val="clear" w:color="auto" w:fill="auto"/>
                  <w:vAlign w:val="center"/>
                </w:tcPr>
                <w:p w14:paraId="613D09E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8.8</w:t>
                  </w:r>
                </w:p>
              </w:tc>
              <w:tc>
                <w:tcPr>
                  <w:tcW w:w="485" w:type="pct"/>
                  <w:tcBorders>
                    <w:tl2br w:val="nil"/>
                    <w:tr2bl w:val="nil"/>
                  </w:tcBorders>
                  <w:vAlign w:val="center"/>
                </w:tcPr>
                <w:p w14:paraId="35BC6B4D">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4E9EC459">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5540F7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04DEB6A">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1EC983B">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7CA00C97">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tcBorders>
                    <w:tl2br w:val="nil"/>
                    <w:tr2bl w:val="nil"/>
                  </w:tcBorders>
                  <w:vAlign w:val="center"/>
                </w:tcPr>
                <w:p w14:paraId="723C9FAC">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16BD754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503" w:type="pct"/>
                  <w:tcBorders>
                    <w:tl2br w:val="nil"/>
                    <w:tr2bl w:val="nil"/>
                  </w:tcBorders>
                  <w:shd w:val="clear" w:color="auto" w:fill="auto"/>
                  <w:vAlign w:val="center"/>
                </w:tcPr>
                <w:p w14:paraId="666E83B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w:t>
                  </w:r>
                </w:p>
              </w:tc>
              <w:tc>
                <w:tcPr>
                  <w:tcW w:w="509" w:type="pct"/>
                  <w:tcBorders>
                    <w:tl2br w:val="nil"/>
                    <w:tr2bl w:val="nil"/>
                  </w:tcBorders>
                  <w:shd w:val="clear" w:color="auto" w:fill="auto"/>
                  <w:vAlign w:val="center"/>
                </w:tcPr>
                <w:p w14:paraId="04880DA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w:t>
                  </w:r>
                </w:p>
              </w:tc>
              <w:tc>
                <w:tcPr>
                  <w:tcW w:w="457" w:type="pct"/>
                  <w:tcBorders>
                    <w:tl2br w:val="nil"/>
                    <w:tr2bl w:val="nil"/>
                  </w:tcBorders>
                  <w:shd w:val="clear" w:color="auto" w:fill="auto"/>
                  <w:vAlign w:val="center"/>
                </w:tcPr>
                <w:p w14:paraId="2579E19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2.5</w:t>
                  </w:r>
                </w:p>
              </w:tc>
              <w:tc>
                <w:tcPr>
                  <w:tcW w:w="485" w:type="pct"/>
                  <w:tcBorders>
                    <w:tl2br w:val="nil"/>
                    <w:tr2bl w:val="nil"/>
                  </w:tcBorders>
                  <w:vAlign w:val="center"/>
                </w:tcPr>
                <w:p w14:paraId="60C96C95">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086A8393">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64C999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34F24E7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AA227DA">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465D6B5C">
                  <w:pPr>
                    <w:widowControl/>
                    <w:jc w:val="center"/>
                    <w:rPr>
                      <w:rFonts w:hint="default" w:ascii="Times New Roman" w:hAnsi="Times New Roman" w:eastAsia="宋体" w:cs="Times New Roman"/>
                      <w:color w:val="auto"/>
                      <w:kern w:val="0"/>
                      <w:sz w:val="18"/>
                      <w:szCs w:val="18"/>
                      <w:highlight w:val="none"/>
                    </w:rPr>
                  </w:pPr>
                </w:p>
              </w:tc>
              <w:tc>
                <w:tcPr>
                  <w:tcW w:w="821" w:type="pct"/>
                  <w:tcBorders>
                    <w:tl2br w:val="nil"/>
                    <w:tr2bl w:val="nil"/>
                  </w:tcBorders>
                  <w:vAlign w:val="center"/>
                </w:tcPr>
                <w:p w14:paraId="746F1F21">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2309A3A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2.9</w:t>
                  </w:r>
                </w:p>
              </w:tc>
              <w:tc>
                <w:tcPr>
                  <w:tcW w:w="503" w:type="pct"/>
                  <w:tcBorders>
                    <w:tl2br w:val="nil"/>
                    <w:tr2bl w:val="nil"/>
                  </w:tcBorders>
                  <w:shd w:val="clear" w:color="auto" w:fill="auto"/>
                  <w:vAlign w:val="center"/>
                </w:tcPr>
                <w:p w14:paraId="76BA474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509" w:type="pct"/>
                  <w:tcBorders>
                    <w:tl2br w:val="nil"/>
                    <w:tr2bl w:val="nil"/>
                  </w:tcBorders>
                  <w:shd w:val="clear" w:color="auto" w:fill="auto"/>
                  <w:vAlign w:val="center"/>
                </w:tcPr>
                <w:p w14:paraId="744E7F5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w:t>
                  </w:r>
                </w:p>
              </w:tc>
              <w:tc>
                <w:tcPr>
                  <w:tcW w:w="457" w:type="pct"/>
                  <w:tcBorders>
                    <w:tl2br w:val="nil"/>
                    <w:tr2bl w:val="nil"/>
                  </w:tcBorders>
                  <w:shd w:val="clear" w:color="auto" w:fill="auto"/>
                  <w:vAlign w:val="center"/>
                </w:tcPr>
                <w:p w14:paraId="2305470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w:t>
                  </w:r>
                  <w:r>
                    <w:rPr>
                      <w:rFonts w:hint="eastAsia" w:ascii="Times New Roman" w:hAnsi="Times New Roman" w:eastAsia="宋体" w:cs="Times New Roman"/>
                      <w:color w:val="auto"/>
                      <w:sz w:val="18"/>
                      <w:szCs w:val="18"/>
                      <w:highlight w:val="none"/>
                      <w:lang w:val="en-US" w:eastAsia="zh-CN"/>
                    </w:rPr>
                    <w:t>4</w:t>
                  </w:r>
                </w:p>
              </w:tc>
              <w:tc>
                <w:tcPr>
                  <w:tcW w:w="485" w:type="pct"/>
                  <w:tcBorders>
                    <w:tl2br w:val="nil"/>
                    <w:tr2bl w:val="nil"/>
                  </w:tcBorders>
                  <w:vAlign w:val="center"/>
                </w:tcPr>
                <w:p w14:paraId="3DAEBEFE">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20</w:t>
                  </w:r>
                </w:p>
              </w:tc>
              <w:tc>
                <w:tcPr>
                  <w:tcW w:w="416" w:type="pct"/>
                  <w:tcBorders>
                    <w:tl2br w:val="nil"/>
                    <w:tr2bl w:val="nil"/>
                  </w:tcBorders>
                  <w:vAlign w:val="center"/>
                </w:tcPr>
                <w:p w14:paraId="5A211F49">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达标</w:t>
                  </w:r>
                </w:p>
              </w:tc>
            </w:tr>
            <w:tr w14:paraId="4614F2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4D3100CA">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057E7F9C">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CA86992">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44A44E8F">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4B3D547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0.00407</w:t>
                  </w:r>
                </w:p>
              </w:tc>
              <w:tc>
                <w:tcPr>
                  <w:tcW w:w="503" w:type="pct"/>
                  <w:tcBorders>
                    <w:tl2br w:val="nil"/>
                    <w:tr2bl w:val="nil"/>
                  </w:tcBorders>
                  <w:shd w:val="clear" w:color="auto" w:fill="auto"/>
                  <w:vAlign w:val="center"/>
                </w:tcPr>
                <w:p w14:paraId="285660B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0.00499</w:t>
                  </w:r>
                </w:p>
              </w:tc>
              <w:tc>
                <w:tcPr>
                  <w:tcW w:w="509" w:type="pct"/>
                  <w:tcBorders>
                    <w:tl2br w:val="nil"/>
                    <w:tr2bl w:val="nil"/>
                  </w:tcBorders>
                  <w:shd w:val="clear" w:color="auto" w:fill="auto"/>
                  <w:vAlign w:val="center"/>
                </w:tcPr>
                <w:p w14:paraId="1345372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0.00363</w:t>
                  </w:r>
                </w:p>
              </w:tc>
              <w:tc>
                <w:tcPr>
                  <w:tcW w:w="457" w:type="pct"/>
                  <w:tcBorders>
                    <w:tl2br w:val="nil"/>
                    <w:tr2bl w:val="nil"/>
                  </w:tcBorders>
                  <w:shd w:val="clear" w:color="auto" w:fill="auto"/>
                  <w:vAlign w:val="center"/>
                </w:tcPr>
                <w:p w14:paraId="6827329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0.00499</w:t>
                  </w:r>
                </w:p>
              </w:tc>
              <w:tc>
                <w:tcPr>
                  <w:tcW w:w="485" w:type="pct"/>
                  <w:tcBorders>
                    <w:tl2br w:val="nil"/>
                    <w:tr2bl w:val="nil"/>
                  </w:tcBorders>
                  <w:vAlign w:val="center"/>
                </w:tcPr>
                <w:p w14:paraId="6A719AC4">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3B4A3F52">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62FB2E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1FD732B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01B1722">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0304B615">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tcBorders>
                    <w:tl2br w:val="nil"/>
                    <w:tr2bl w:val="nil"/>
                  </w:tcBorders>
                  <w:vAlign w:val="center"/>
                </w:tcPr>
                <w:p w14:paraId="2688CC1D">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99771A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503" w:type="pct"/>
                  <w:tcBorders>
                    <w:tl2br w:val="nil"/>
                    <w:tr2bl w:val="nil"/>
                  </w:tcBorders>
                  <w:shd w:val="clear" w:color="auto" w:fill="auto"/>
                  <w:vAlign w:val="center"/>
                </w:tcPr>
                <w:p w14:paraId="48E48FA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509" w:type="pct"/>
                  <w:tcBorders>
                    <w:tl2br w:val="nil"/>
                    <w:tr2bl w:val="nil"/>
                  </w:tcBorders>
                  <w:shd w:val="clear" w:color="auto" w:fill="auto"/>
                  <w:vAlign w:val="center"/>
                </w:tcPr>
                <w:p w14:paraId="7283A9E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457" w:type="pct"/>
                  <w:tcBorders>
                    <w:tl2br w:val="nil"/>
                    <w:tr2bl w:val="nil"/>
                  </w:tcBorders>
                  <w:shd w:val="clear" w:color="auto" w:fill="auto"/>
                  <w:vAlign w:val="center"/>
                </w:tcPr>
                <w:p w14:paraId="0D6BE98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485" w:type="pct"/>
                  <w:tcBorders>
                    <w:tl2br w:val="nil"/>
                    <w:tr2bl w:val="nil"/>
                  </w:tcBorders>
                  <w:vAlign w:val="center"/>
                </w:tcPr>
                <w:p w14:paraId="08E084D4">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118BDA49">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153D26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F21596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19C1E5D">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58036E77">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16072AFC">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3D45006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3" w:type="pct"/>
                  <w:tcBorders>
                    <w:tl2br w:val="nil"/>
                    <w:tr2bl w:val="nil"/>
                  </w:tcBorders>
                  <w:shd w:val="clear" w:color="auto" w:fill="auto"/>
                  <w:vAlign w:val="center"/>
                </w:tcPr>
                <w:p w14:paraId="512026F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2034B29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185F206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85" w:type="pct"/>
                  <w:tcBorders>
                    <w:tl2br w:val="nil"/>
                    <w:tr2bl w:val="nil"/>
                  </w:tcBorders>
                  <w:vAlign w:val="center"/>
                </w:tcPr>
                <w:p w14:paraId="3600EE09">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50</w:t>
                  </w:r>
                </w:p>
              </w:tc>
              <w:tc>
                <w:tcPr>
                  <w:tcW w:w="416" w:type="pct"/>
                  <w:tcBorders>
                    <w:tl2br w:val="nil"/>
                    <w:tr2bl w:val="nil"/>
                  </w:tcBorders>
                  <w:vAlign w:val="center"/>
                </w:tcPr>
                <w:p w14:paraId="11444838">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达标</w:t>
                  </w:r>
                </w:p>
              </w:tc>
            </w:tr>
            <w:tr w14:paraId="76B5AF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25632EE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3FC754F7">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0BF445B7">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0D50D038">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tcBorders>
                    <w:tl2br w:val="nil"/>
                    <w:tr2bl w:val="nil"/>
                  </w:tcBorders>
                  <w:shd w:val="clear" w:color="auto" w:fill="auto"/>
                  <w:vAlign w:val="center"/>
                </w:tcPr>
                <w:p w14:paraId="49C5D94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3" w:type="pct"/>
                  <w:tcBorders>
                    <w:tl2br w:val="nil"/>
                    <w:tr2bl w:val="nil"/>
                  </w:tcBorders>
                  <w:shd w:val="clear" w:color="auto" w:fill="auto"/>
                  <w:vAlign w:val="center"/>
                </w:tcPr>
                <w:p w14:paraId="037AC29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9" w:type="pct"/>
                  <w:tcBorders>
                    <w:tl2br w:val="nil"/>
                    <w:tr2bl w:val="nil"/>
                  </w:tcBorders>
                  <w:shd w:val="clear" w:color="auto" w:fill="auto"/>
                  <w:vAlign w:val="center"/>
                </w:tcPr>
                <w:p w14:paraId="27BA866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57" w:type="pct"/>
                  <w:tcBorders>
                    <w:tl2br w:val="nil"/>
                    <w:tr2bl w:val="nil"/>
                  </w:tcBorders>
                  <w:shd w:val="clear" w:color="auto" w:fill="auto"/>
                  <w:vAlign w:val="center"/>
                </w:tcPr>
                <w:p w14:paraId="3D32367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85" w:type="pct"/>
                  <w:tcBorders>
                    <w:tl2br w:val="nil"/>
                    <w:tr2bl w:val="nil"/>
                  </w:tcBorders>
                  <w:vAlign w:val="center"/>
                </w:tcPr>
                <w:p w14:paraId="40F0A75C">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2721E816">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72265D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743047E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7DDBB19E">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tcBorders>
                    <w:tl2br w:val="nil"/>
                    <w:tr2bl w:val="nil"/>
                  </w:tcBorders>
                  <w:vAlign w:val="center"/>
                </w:tcPr>
                <w:p w14:paraId="37D3DBAD">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tcBorders>
                    <w:tl2br w:val="nil"/>
                    <w:tr2bl w:val="nil"/>
                  </w:tcBorders>
                  <w:vAlign w:val="center"/>
                </w:tcPr>
                <w:p w14:paraId="41BCE653">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7D6DF5C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w:t>
                  </w:r>
                </w:p>
              </w:tc>
              <w:tc>
                <w:tcPr>
                  <w:tcW w:w="503" w:type="pct"/>
                  <w:tcBorders>
                    <w:tl2br w:val="nil"/>
                    <w:tr2bl w:val="nil"/>
                  </w:tcBorders>
                  <w:shd w:val="clear" w:color="auto" w:fill="auto"/>
                  <w:vAlign w:val="center"/>
                </w:tcPr>
                <w:p w14:paraId="6ACC621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w:t>
                  </w:r>
                </w:p>
              </w:tc>
              <w:tc>
                <w:tcPr>
                  <w:tcW w:w="509" w:type="pct"/>
                  <w:tcBorders>
                    <w:tl2br w:val="nil"/>
                    <w:tr2bl w:val="nil"/>
                  </w:tcBorders>
                  <w:shd w:val="clear" w:color="auto" w:fill="auto"/>
                  <w:vAlign w:val="center"/>
                </w:tcPr>
                <w:p w14:paraId="04F392C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457" w:type="pct"/>
                  <w:tcBorders>
                    <w:tl2br w:val="nil"/>
                    <w:tr2bl w:val="nil"/>
                  </w:tcBorders>
                  <w:shd w:val="clear" w:color="auto" w:fill="auto"/>
                  <w:vAlign w:val="center"/>
                </w:tcPr>
                <w:p w14:paraId="61CE0D0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25</w:t>
                  </w:r>
                </w:p>
              </w:tc>
              <w:tc>
                <w:tcPr>
                  <w:tcW w:w="485" w:type="pct"/>
                  <w:tcBorders>
                    <w:tl2br w:val="nil"/>
                    <w:tr2bl w:val="nil"/>
                  </w:tcBorders>
                  <w:vAlign w:val="center"/>
                </w:tcPr>
                <w:p w14:paraId="00820C6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tcBorders>
                    <w:tl2br w:val="nil"/>
                    <w:tr2bl w:val="nil"/>
                  </w:tcBorders>
                  <w:vAlign w:val="center"/>
                </w:tcPr>
                <w:p w14:paraId="1D83432D">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3A3CC8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tcBorders>
                    <w:tl2br w:val="nil"/>
                    <w:tr2bl w:val="nil"/>
                  </w:tcBorders>
                  <w:vAlign w:val="center"/>
                </w:tcPr>
                <w:p w14:paraId="0C8A69F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tcBorders>
                    <w:tl2br w:val="nil"/>
                    <w:tr2bl w:val="nil"/>
                  </w:tcBorders>
                  <w:vAlign w:val="center"/>
                </w:tcPr>
                <w:p w14:paraId="1A595CFB">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tcBorders>
                    <w:tl2br w:val="nil"/>
                    <w:tr2bl w:val="nil"/>
                  </w:tcBorders>
                  <w:vAlign w:val="center"/>
                </w:tcPr>
                <w:p w14:paraId="7F3BE6C4">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tcBorders>
                    <w:tl2br w:val="nil"/>
                    <w:tr2bl w:val="nil"/>
                  </w:tcBorders>
                  <w:vAlign w:val="center"/>
                </w:tcPr>
                <w:p w14:paraId="623D3D92">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tcBorders>
                    <w:tl2br w:val="nil"/>
                    <w:tr2bl w:val="nil"/>
                  </w:tcBorders>
                  <w:shd w:val="clear" w:color="auto" w:fill="auto"/>
                  <w:vAlign w:val="center"/>
                </w:tcPr>
                <w:p w14:paraId="6623FB0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26</w:t>
                  </w:r>
                </w:p>
              </w:tc>
              <w:tc>
                <w:tcPr>
                  <w:tcW w:w="503" w:type="pct"/>
                  <w:tcBorders>
                    <w:tl2br w:val="nil"/>
                    <w:tr2bl w:val="nil"/>
                  </w:tcBorders>
                  <w:shd w:val="clear" w:color="auto" w:fill="auto"/>
                  <w:vAlign w:val="center"/>
                </w:tcPr>
                <w:p w14:paraId="758601F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509" w:type="pct"/>
                  <w:tcBorders>
                    <w:tl2br w:val="nil"/>
                    <w:tr2bl w:val="nil"/>
                  </w:tcBorders>
                  <w:shd w:val="clear" w:color="auto" w:fill="auto"/>
                  <w:vAlign w:val="center"/>
                </w:tcPr>
                <w:p w14:paraId="7C6E30F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28</w:t>
                  </w:r>
                </w:p>
              </w:tc>
              <w:tc>
                <w:tcPr>
                  <w:tcW w:w="457" w:type="pct"/>
                  <w:tcBorders>
                    <w:tl2br w:val="nil"/>
                    <w:tr2bl w:val="nil"/>
                  </w:tcBorders>
                  <w:shd w:val="clear" w:color="auto" w:fill="auto"/>
                  <w:vAlign w:val="center"/>
                </w:tcPr>
                <w:p w14:paraId="51F7FC9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485" w:type="pct"/>
                  <w:tcBorders>
                    <w:tl2br w:val="nil"/>
                    <w:tr2bl w:val="nil"/>
                  </w:tcBorders>
                  <w:vAlign w:val="center"/>
                </w:tcPr>
                <w:p w14:paraId="2AC3E17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150</w:t>
                  </w:r>
                </w:p>
              </w:tc>
              <w:tc>
                <w:tcPr>
                  <w:tcW w:w="416" w:type="pct"/>
                  <w:tcBorders>
                    <w:tl2br w:val="nil"/>
                    <w:tr2bl w:val="nil"/>
                  </w:tcBorders>
                  <w:vAlign w:val="center"/>
                </w:tcPr>
                <w:p w14:paraId="25987C9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达标</w:t>
                  </w:r>
                </w:p>
              </w:tc>
            </w:tr>
            <w:tr w14:paraId="5D973D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4BC9FD2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42248816">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33A585F8">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7CE1D106">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65AB922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0.0367</w:t>
                  </w:r>
                </w:p>
              </w:tc>
              <w:tc>
                <w:tcPr>
                  <w:tcW w:w="503" w:type="pct"/>
                  <w:shd w:val="clear" w:color="auto" w:fill="auto"/>
                  <w:vAlign w:val="center"/>
                </w:tcPr>
                <w:p w14:paraId="76A5E6A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0.0499</w:t>
                  </w:r>
                </w:p>
              </w:tc>
              <w:tc>
                <w:tcPr>
                  <w:tcW w:w="509" w:type="pct"/>
                  <w:shd w:val="clear" w:color="auto" w:fill="auto"/>
                  <w:vAlign w:val="center"/>
                </w:tcPr>
                <w:p w14:paraId="095651B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0.0403</w:t>
                  </w:r>
                </w:p>
              </w:tc>
              <w:tc>
                <w:tcPr>
                  <w:tcW w:w="457" w:type="pct"/>
                  <w:shd w:val="clear" w:color="auto" w:fill="auto"/>
                  <w:vAlign w:val="center"/>
                </w:tcPr>
                <w:p w14:paraId="4F0D92D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0.0499</w:t>
                  </w:r>
                </w:p>
              </w:tc>
              <w:tc>
                <w:tcPr>
                  <w:tcW w:w="485" w:type="pct"/>
                  <w:vAlign w:val="center"/>
                </w:tcPr>
                <w:p w14:paraId="34800FAD">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vAlign w:val="center"/>
                </w:tcPr>
                <w:p w14:paraId="05529C5D">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5DAF4C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65AB5E8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1D54828C">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vAlign w:val="center"/>
                </w:tcPr>
                <w:p w14:paraId="46857078">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氨</w:t>
                  </w:r>
                </w:p>
              </w:tc>
              <w:tc>
                <w:tcPr>
                  <w:tcW w:w="821" w:type="pct"/>
                  <w:vAlign w:val="center"/>
                </w:tcPr>
                <w:p w14:paraId="31650D23">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shd w:val="clear" w:color="auto" w:fill="auto"/>
                  <w:vAlign w:val="center"/>
                </w:tcPr>
                <w:p w14:paraId="300E374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69.9</w:t>
                  </w:r>
                </w:p>
              </w:tc>
              <w:tc>
                <w:tcPr>
                  <w:tcW w:w="503" w:type="pct"/>
                  <w:shd w:val="clear" w:color="auto" w:fill="auto"/>
                  <w:vAlign w:val="center"/>
                </w:tcPr>
                <w:p w14:paraId="2025996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54.2</w:t>
                  </w:r>
                </w:p>
              </w:tc>
              <w:tc>
                <w:tcPr>
                  <w:tcW w:w="509" w:type="pct"/>
                  <w:shd w:val="clear" w:color="auto" w:fill="auto"/>
                  <w:vAlign w:val="center"/>
                </w:tcPr>
                <w:p w14:paraId="55D00D4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20.9</w:t>
                  </w:r>
                </w:p>
              </w:tc>
              <w:tc>
                <w:tcPr>
                  <w:tcW w:w="457" w:type="pct"/>
                  <w:shd w:val="clear" w:color="auto" w:fill="auto"/>
                  <w:vAlign w:val="center"/>
                </w:tcPr>
                <w:p w14:paraId="36E1CED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69.9</w:t>
                  </w:r>
                </w:p>
              </w:tc>
              <w:tc>
                <w:tcPr>
                  <w:tcW w:w="485" w:type="pct"/>
                  <w:vAlign w:val="center"/>
                </w:tcPr>
                <w:p w14:paraId="0E51FD85">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c>
                <w:tcPr>
                  <w:tcW w:w="416" w:type="pct"/>
                  <w:vAlign w:val="center"/>
                </w:tcPr>
                <w:p w14:paraId="618F8B4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w:t>
                  </w:r>
                </w:p>
              </w:tc>
            </w:tr>
            <w:tr w14:paraId="6ADC03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4BE5E2E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4FD4C7A0">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09B128B0">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2D8BE695">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66ED9EE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0.142</w:t>
                  </w:r>
                </w:p>
              </w:tc>
              <w:tc>
                <w:tcPr>
                  <w:tcW w:w="503" w:type="pct"/>
                  <w:shd w:val="clear" w:color="auto" w:fill="auto"/>
                  <w:vAlign w:val="center"/>
                </w:tcPr>
                <w:p w14:paraId="423D759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0.108</w:t>
                  </w:r>
                </w:p>
              </w:tc>
              <w:tc>
                <w:tcPr>
                  <w:tcW w:w="509" w:type="pct"/>
                  <w:shd w:val="clear" w:color="auto" w:fill="auto"/>
                  <w:vAlign w:val="center"/>
                </w:tcPr>
                <w:p w14:paraId="696C0D4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0.0422</w:t>
                  </w:r>
                </w:p>
              </w:tc>
              <w:tc>
                <w:tcPr>
                  <w:tcW w:w="457" w:type="pct"/>
                  <w:shd w:val="clear" w:color="auto" w:fill="auto"/>
                  <w:vAlign w:val="center"/>
                </w:tcPr>
                <w:p w14:paraId="684B1A9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0.142</w:t>
                  </w:r>
                </w:p>
              </w:tc>
              <w:tc>
                <w:tcPr>
                  <w:tcW w:w="485" w:type="pct"/>
                  <w:vAlign w:val="center"/>
                </w:tcPr>
                <w:p w14:paraId="57032456">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4.9</w:t>
                  </w:r>
                </w:p>
              </w:tc>
              <w:tc>
                <w:tcPr>
                  <w:tcW w:w="416" w:type="pct"/>
                  <w:vAlign w:val="center"/>
                </w:tcPr>
                <w:p w14:paraId="13C289E7">
                  <w:pPr>
                    <w:autoSpaceDN w:val="0"/>
                    <w:jc w:val="center"/>
                    <w:textAlignment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达标</w:t>
                  </w:r>
                </w:p>
              </w:tc>
            </w:tr>
            <w:tr w14:paraId="4B8876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48237B5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69D42428">
                  <w:pPr>
                    <w:widowControl/>
                    <w:jc w:val="center"/>
                    <w:rPr>
                      <w:rFonts w:hint="default" w:ascii="Times New Roman" w:hAnsi="Times New Roman" w:eastAsia="宋体" w:cs="Times New Roman"/>
                      <w:color w:val="auto"/>
                      <w:kern w:val="0"/>
                      <w:sz w:val="18"/>
                      <w:szCs w:val="18"/>
                      <w:highlight w:val="none"/>
                    </w:rPr>
                  </w:pPr>
                </w:p>
              </w:tc>
              <w:tc>
                <w:tcPr>
                  <w:tcW w:w="1359" w:type="pct"/>
                  <w:gridSpan w:val="2"/>
                  <w:vAlign w:val="center"/>
                </w:tcPr>
                <w:p w14:paraId="5C01CB49">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林格曼黑度（级）</w:t>
                  </w:r>
                </w:p>
              </w:tc>
              <w:tc>
                <w:tcPr>
                  <w:tcW w:w="503" w:type="pct"/>
                  <w:shd w:val="clear" w:color="auto" w:fill="auto"/>
                  <w:vAlign w:val="center"/>
                </w:tcPr>
                <w:p w14:paraId="5812BFC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503" w:type="pct"/>
                  <w:shd w:val="clear" w:color="auto" w:fill="auto"/>
                  <w:vAlign w:val="center"/>
                </w:tcPr>
                <w:p w14:paraId="587DC21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509" w:type="pct"/>
                  <w:shd w:val="clear" w:color="auto" w:fill="auto"/>
                  <w:vAlign w:val="center"/>
                </w:tcPr>
                <w:p w14:paraId="7D0552F9">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457" w:type="pct"/>
                  <w:shd w:val="clear" w:color="auto" w:fill="auto"/>
                  <w:vAlign w:val="center"/>
                </w:tcPr>
                <w:p w14:paraId="1963C39E">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485" w:type="pct"/>
                  <w:vAlign w:val="center"/>
                </w:tcPr>
                <w:p w14:paraId="6D5BC152">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w:t>
                  </w:r>
                </w:p>
              </w:tc>
              <w:tc>
                <w:tcPr>
                  <w:tcW w:w="416" w:type="pct"/>
                  <w:vAlign w:val="center"/>
                </w:tcPr>
                <w:p w14:paraId="1289318A">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eastAsia="zh-CN"/>
                    </w:rPr>
                    <w:t>达标</w:t>
                  </w:r>
                </w:p>
              </w:tc>
            </w:tr>
            <w:tr w14:paraId="482D7E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11ED33C5">
                  <w:pPr>
                    <w:widowControl/>
                    <w:jc w:val="center"/>
                    <w:rPr>
                      <w:rFonts w:hint="default" w:ascii="Times New Roman" w:hAnsi="Times New Roman" w:eastAsia="宋体" w:cs="Times New Roman"/>
                      <w:color w:val="auto"/>
                      <w:kern w:val="0"/>
                      <w:sz w:val="18"/>
                      <w:szCs w:val="18"/>
                      <w:highlight w:val="none"/>
                    </w:rPr>
                  </w:pPr>
                </w:p>
              </w:tc>
              <w:tc>
                <w:tcPr>
                  <w:tcW w:w="409" w:type="pct"/>
                  <w:vMerge w:val="restart"/>
                  <w:shd w:val="clear" w:color="auto" w:fill="auto"/>
                  <w:vAlign w:val="center"/>
                </w:tcPr>
                <w:p w14:paraId="3207B971">
                  <w:pPr>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202</w:t>
                  </w:r>
                  <w:r>
                    <w:rPr>
                      <w:rFonts w:hint="eastAsia"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12</w:t>
                  </w:r>
                  <w:r>
                    <w:rPr>
                      <w:rFonts w:hint="default" w:ascii="Times New Roman" w:hAnsi="Times New Roman" w:eastAsia="宋体" w:cs="Times New Roman"/>
                      <w:color w:val="auto"/>
                      <w:sz w:val="18"/>
                      <w:szCs w:val="18"/>
                      <w:highlight w:val="none"/>
                    </w:rPr>
                    <w:t>/</w:t>
                  </w:r>
                  <w:r>
                    <w:rPr>
                      <w:rFonts w:hint="eastAsia" w:cs="Times New Roman"/>
                      <w:color w:val="auto"/>
                      <w:sz w:val="18"/>
                      <w:szCs w:val="18"/>
                      <w:highlight w:val="none"/>
                      <w:lang w:val="en-US" w:eastAsia="zh-CN"/>
                    </w:rPr>
                    <w:t>11</w:t>
                  </w:r>
                </w:p>
              </w:tc>
              <w:tc>
                <w:tcPr>
                  <w:tcW w:w="538" w:type="pct"/>
                  <w:vAlign w:val="center"/>
                </w:tcPr>
                <w:p w14:paraId="28E20CDD">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标干风量</w:t>
                  </w:r>
                </w:p>
              </w:tc>
              <w:tc>
                <w:tcPr>
                  <w:tcW w:w="821" w:type="pct"/>
                  <w:vAlign w:val="center"/>
                </w:tcPr>
                <w:p w14:paraId="0DC4D91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/h</w:t>
                  </w:r>
                </w:p>
              </w:tc>
              <w:tc>
                <w:tcPr>
                  <w:tcW w:w="503" w:type="pct"/>
                  <w:shd w:val="clear" w:color="auto" w:fill="auto"/>
                  <w:vAlign w:val="center"/>
                </w:tcPr>
                <w:p w14:paraId="6E209C6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2108</w:t>
                  </w:r>
                </w:p>
              </w:tc>
              <w:tc>
                <w:tcPr>
                  <w:tcW w:w="503" w:type="pct"/>
                  <w:shd w:val="clear" w:color="auto" w:fill="auto"/>
                  <w:vAlign w:val="center"/>
                </w:tcPr>
                <w:p w14:paraId="017E180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2244</w:t>
                  </w:r>
                </w:p>
              </w:tc>
              <w:tc>
                <w:tcPr>
                  <w:tcW w:w="509" w:type="pct"/>
                  <w:shd w:val="clear" w:color="auto" w:fill="auto"/>
                  <w:vAlign w:val="center"/>
                </w:tcPr>
                <w:p w14:paraId="344C286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2203</w:t>
                  </w:r>
                </w:p>
              </w:tc>
              <w:tc>
                <w:tcPr>
                  <w:tcW w:w="457" w:type="pct"/>
                  <w:shd w:val="clear" w:color="auto" w:fill="auto"/>
                  <w:vAlign w:val="center"/>
                </w:tcPr>
                <w:p w14:paraId="5188327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2244</w:t>
                  </w:r>
                </w:p>
              </w:tc>
              <w:tc>
                <w:tcPr>
                  <w:tcW w:w="485" w:type="pct"/>
                  <w:vAlign w:val="center"/>
                </w:tcPr>
                <w:p w14:paraId="28C691B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54A75D8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793B3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485760FD">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4B894DB2">
                  <w:pPr>
                    <w:widowControl/>
                    <w:jc w:val="center"/>
                    <w:rPr>
                      <w:rFonts w:hint="default" w:ascii="Times New Roman" w:hAnsi="Times New Roman" w:eastAsia="宋体" w:cs="Times New Roman"/>
                      <w:color w:val="auto"/>
                      <w:kern w:val="0"/>
                      <w:sz w:val="18"/>
                      <w:szCs w:val="18"/>
                      <w:highlight w:val="none"/>
                    </w:rPr>
                  </w:pPr>
                </w:p>
              </w:tc>
              <w:tc>
                <w:tcPr>
                  <w:tcW w:w="538" w:type="pct"/>
                  <w:vAlign w:val="center"/>
                </w:tcPr>
                <w:p w14:paraId="36ECE57C">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烟温</w:t>
                  </w:r>
                </w:p>
              </w:tc>
              <w:tc>
                <w:tcPr>
                  <w:tcW w:w="821" w:type="pct"/>
                  <w:vAlign w:val="center"/>
                </w:tcPr>
                <w:p w14:paraId="7D9CF6F5">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23165AD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362.9</w:t>
                  </w:r>
                </w:p>
              </w:tc>
              <w:tc>
                <w:tcPr>
                  <w:tcW w:w="503" w:type="pct"/>
                  <w:shd w:val="clear" w:color="auto" w:fill="auto"/>
                  <w:vAlign w:val="center"/>
                </w:tcPr>
                <w:p w14:paraId="65B45A3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366.5</w:t>
                  </w:r>
                </w:p>
              </w:tc>
              <w:tc>
                <w:tcPr>
                  <w:tcW w:w="509" w:type="pct"/>
                  <w:shd w:val="clear" w:color="auto" w:fill="auto"/>
                  <w:vAlign w:val="center"/>
                </w:tcPr>
                <w:p w14:paraId="1E01951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375.1</w:t>
                  </w:r>
                </w:p>
              </w:tc>
              <w:tc>
                <w:tcPr>
                  <w:tcW w:w="457" w:type="pct"/>
                  <w:shd w:val="clear" w:color="auto" w:fill="auto"/>
                  <w:vAlign w:val="center"/>
                </w:tcPr>
                <w:p w14:paraId="512A374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375.1</w:t>
                  </w:r>
                </w:p>
              </w:tc>
              <w:tc>
                <w:tcPr>
                  <w:tcW w:w="485" w:type="pct"/>
                  <w:vAlign w:val="center"/>
                </w:tcPr>
                <w:p w14:paraId="26372BC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4241E51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60262C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2447F718">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56CF3B67">
                  <w:pPr>
                    <w:widowControl/>
                    <w:jc w:val="center"/>
                    <w:rPr>
                      <w:rFonts w:hint="default" w:ascii="Times New Roman" w:hAnsi="Times New Roman" w:eastAsia="宋体" w:cs="Times New Roman"/>
                      <w:color w:val="auto"/>
                      <w:kern w:val="0"/>
                      <w:sz w:val="18"/>
                      <w:szCs w:val="18"/>
                      <w:highlight w:val="none"/>
                    </w:rPr>
                  </w:pPr>
                </w:p>
              </w:tc>
              <w:tc>
                <w:tcPr>
                  <w:tcW w:w="538" w:type="pct"/>
                  <w:vAlign w:val="center"/>
                </w:tcPr>
                <w:p w14:paraId="00026A97">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sz w:val="18"/>
                      <w:szCs w:val="18"/>
                      <w:highlight w:val="none"/>
                      <w:lang w:eastAsia="zh-CN"/>
                    </w:rPr>
                    <w:t>烟气湿度</w:t>
                  </w:r>
                </w:p>
              </w:tc>
              <w:tc>
                <w:tcPr>
                  <w:tcW w:w="821" w:type="pct"/>
                  <w:vAlign w:val="center"/>
                </w:tcPr>
                <w:p w14:paraId="6D93D9E8">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color w:val="000000" w:themeColor="text1"/>
                      <w:lang w:val="en-US" w:eastAsia="zh-CN"/>
                      <w14:textFill>
                        <w14:solidFill>
                          <w14:schemeClr w14:val="tx1"/>
                        </w14:solidFill>
                      </w14:textFill>
                    </w:rPr>
                    <w:t>%</w:t>
                  </w:r>
                </w:p>
              </w:tc>
              <w:tc>
                <w:tcPr>
                  <w:tcW w:w="503" w:type="pct"/>
                  <w:shd w:val="clear" w:color="auto" w:fill="auto"/>
                  <w:vAlign w:val="center"/>
                </w:tcPr>
                <w:p w14:paraId="3AE4A40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7.35</w:t>
                  </w:r>
                </w:p>
              </w:tc>
              <w:tc>
                <w:tcPr>
                  <w:tcW w:w="503" w:type="pct"/>
                  <w:shd w:val="clear" w:color="auto" w:fill="auto"/>
                  <w:vAlign w:val="center"/>
                </w:tcPr>
                <w:p w14:paraId="24A1D0B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7.40</w:t>
                  </w:r>
                </w:p>
              </w:tc>
              <w:tc>
                <w:tcPr>
                  <w:tcW w:w="509" w:type="pct"/>
                  <w:shd w:val="clear" w:color="auto" w:fill="auto"/>
                  <w:vAlign w:val="center"/>
                </w:tcPr>
                <w:p w14:paraId="38109EB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7.33</w:t>
                  </w:r>
                </w:p>
              </w:tc>
              <w:tc>
                <w:tcPr>
                  <w:tcW w:w="457" w:type="pct"/>
                  <w:shd w:val="clear" w:color="auto" w:fill="auto"/>
                  <w:vAlign w:val="center"/>
                </w:tcPr>
                <w:p w14:paraId="35CDB42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7.4</w:t>
                  </w:r>
                  <w:r>
                    <w:rPr>
                      <w:rFonts w:hint="eastAsia" w:ascii="Times New Roman" w:hAnsi="Times New Roman" w:eastAsia="宋体" w:cs="Times New Roman"/>
                      <w:color w:val="auto"/>
                      <w:sz w:val="18"/>
                      <w:szCs w:val="18"/>
                      <w:highlight w:val="none"/>
                      <w:lang w:val="en-US" w:eastAsia="zh-CN"/>
                    </w:rPr>
                    <w:t>0</w:t>
                  </w:r>
                </w:p>
              </w:tc>
              <w:tc>
                <w:tcPr>
                  <w:tcW w:w="485" w:type="pct"/>
                  <w:vAlign w:val="center"/>
                </w:tcPr>
                <w:p w14:paraId="68EBAFA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4771682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21AE1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503A959B">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33FFE21B">
                  <w:pPr>
                    <w:widowControl/>
                    <w:jc w:val="center"/>
                    <w:rPr>
                      <w:rFonts w:hint="default" w:ascii="Times New Roman" w:hAnsi="Times New Roman" w:eastAsia="宋体" w:cs="Times New Roman"/>
                      <w:color w:val="auto"/>
                      <w:kern w:val="0"/>
                      <w:sz w:val="18"/>
                      <w:szCs w:val="18"/>
                      <w:highlight w:val="none"/>
                    </w:rPr>
                  </w:pPr>
                </w:p>
              </w:tc>
              <w:tc>
                <w:tcPr>
                  <w:tcW w:w="538" w:type="pct"/>
                  <w:vAlign w:val="center"/>
                </w:tcPr>
                <w:p w14:paraId="05589081">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流速</w:t>
                  </w:r>
                </w:p>
              </w:tc>
              <w:tc>
                <w:tcPr>
                  <w:tcW w:w="821" w:type="pct"/>
                  <w:vAlign w:val="center"/>
                </w:tcPr>
                <w:p w14:paraId="17EEB72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m/s</w:t>
                  </w:r>
                </w:p>
              </w:tc>
              <w:tc>
                <w:tcPr>
                  <w:tcW w:w="503" w:type="pct"/>
                  <w:shd w:val="clear" w:color="auto" w:fill="auto"/>
                  <w:vAlign w:val="center"/>
                </w:tcPr>
                <w:p w14:paraId="45831BE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15.3</w:t>
                  </w:r>
                </w:p>
              </w:tc>
              <w:tc>
                <w:tcPr>
                  <w:tcW w:w="503" w:type="pct"/>
                  <w:shd w:val="clear" w:color="auto" w:fill="auto"/>
                  <w:vAlign w:val="center"/>
                </w:tcPr>
                <w:p w14:paraId="4CA7220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16.4</w:t>
                  </w:r>
                </w:p>
              </w:tc>
              <w:tc>
                <w:tcPr>
                  <w:tcW w:w="509" w:type="pct"/>
                  <w:shd w:val="clear" w:color="auto" w:fill="auto"/>
                  <w:vAlign w:val="center"/>
                </w:tcPr>
                <w:p w14:paraId="6548D9D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16.3</w:t>
                  </w:r>
                </w:p>
              </w:tc>
              <w:tc>
                <w:tcPr>
                  <w:tcW w:w="457" w:type="pct"/>
                  <w:shd w:val="clear" w:color="auto" w:fill="auto"/>
                  <w:vAlign w:val="center"/>
                </w:tcPr>
                <w:p w14:paraId="5662B90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16.4</w:t>
                  </w:r>
                </w:p>
              </w:tc>
              <w:tc>
                <w:tcPr>
                  <w:tcW w:w="485" w:type="pct"/>
                  <w:vAlign w:val="center"/>
                </w:tcPr>
                <w:p w14:paraId="40AE15E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5C57FCC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49B64E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156DDBA0">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6E094354">
                  <w:pPr>
                    <w:widowControl/>
                    <w:jc w:val="center"/>
                    <w:rPr>
                      <w:rFonts w:hint="default" w:ascii="Times New Roman" w:hAnsi="Times New Roman" w:eastAsia="宋体" w:cs="Times New Roman"/>
                      <w:color w:val="auto"/>
                      <w:kern w:val="0"/>
                      <w:sz w:val="18"/>
                      <w:szCs w:val="18"/>
                      <w:highlight w:val="none"/>
                    </w:rPr>
                  </w:pPr>
                </w:p>
              </w:tc>
              <w:tc>
                <w:tcPr>
                  <w:tcW w:w="538" w:type="pct"/>
                  <w:vAlign w:val="center"/>
                </w:tcPr>
                <w:p w14:paraId="31E5836A">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含</w:t>
                  </w:r>
                  <w:r>
                    <w:rPr>
                      <w:rFonts w:hint="default" w:ascii="Times New Roman" w:hAnsi="Times New Roman" w:eastAsia="宋体" w:cs="Times New Roman"/>
                      <w:color w:val="auto"/>
                      <w:sz w:val="18"/>
                      <w:szCs w:val="18"/>
                      <w:highlight w:val="none"/>
                      <w:lang w:eastAsia="zh-CN"/>
                    </w:rPr>
                    <w:t>氧</w:t>
                  </w:r>
                  <w:r>
                    <w:rPr>
                      <w:rFonts w:hint="default" w:ascii="Times New Roman" w:hAnsi="Times New Roman" w:eastAsia="宋体" w:cs="Times New Roman"/>
                      <w:color w:val="auto"/>
                      <w:sz w:val="18"/>
                      <w:szCs w:val="18"/>
                      <w:highlight w:val="none"/>
                    </w:rPr>
                    <w:t>量</w:t>
                  </w:r>
                </w:p>
              </w:tc>
              <w:tc>
                <w:tcPr>
                  <w:tcW w:w="821" w:type="pct"/>
                  <w:vAlign w:val="center"/>
                </w:tcPr>
                <w:p w14:paraId="403BB070">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2792F07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8.8</w:t>
                  </w:r>
                </w:p>
              </w:tc>
              <w:tc>
                <w:tcPr>
                  <w:tcW w:w="503" w:type="pct"/>
                  <w:shd w:val="clear" w:color="auto" w:fill="auto"/>
                  <w:vAlign w:val="center"/>
                </w:tcPr>
                <w:p w14:paraId="5FE027A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9.0</w:t>
                  </w:r>
                </w:p>
              </w:tc>
              <w:tc>
                <w:tcPr>
                  <w:tcW w:w="509" w:type="pct"/>
                  <w:shd w:val="clear" w:color="auto" w:fill="auto"/>
                  <w:vAlign w:val="center"/>
                </w:tcPr>
                <w:p w14:paraId="08FADC8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9.0</w:t>
                  </w:r>
                </w:p>
              </w:tc>
              <w:tc>
                <w:tcPr>
                  <w:tcW w:w="457" w:type="pct"/>
                  <w:shd w:val="clear" w:color="auto" w:fill="auto"/>
                  <w:vAlign w:val="center"/>
                </w:tcPr>
                <w:p w14:paraId="5C0478A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9</w:t>
                  </w:r>
                  <w:r>
                    <w:rPr>
                      <w:rFonts w:hint="eastAsia" w:ascii="Times New Roman" w:hAnsi="Times New Roman" w:eastAsia="宋体" w:cs="Times New Roman"/>
                      <w:color w:val="auto"/>
                      <w:sz w:val="18"/>
                      <w:szCs w:val="18"/>
                      <w:highlight w:val="none"/>
                      <w:lang w:val="en-US" w:eastAsia="zh-CN"/>
                    </w:rPr>
                    <w:t>.0</w:t>
                  </w:r>
                </w:p>
              </w:tc>
              <w:tc>
                <w:tcPr>
                  <w:tcW w:w="485" w:type="pct"/>
                  <w:vAlign w:val="center"/>
                </w:tcPr>
                <w:p w14:paraId="11A5C8A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497FD2D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594A43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62DF36F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4AB63F1F">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vAlign w:val="center"/>
                </w:tcPr>
                <w:p w14:paraId="6275F54F">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821" w:type="pct"/>
                  <w:vAlign w:val="center"/>
                </w:tcPr>
                <w:p w14:paraId="033BC716">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0656430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w:t>
                  </w:r>
                </w:p>
              </w:tc>
              <w:tc>
                <w:tcPr>
                  <w:tcW w:w="503" w:type="pct"/>
                  <w:shd w:val="clear" w:color="auto" w:fill="auto"/>
                  <w:vAlign w:val="center"/>
                </w:tcPr>
                <w:p w14:paraId="063D5BC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509" w:type="pct"/>
                  <w:shd w:val="clear" w:color="auto" w:fill="auto"/>
                  <w:vAlign w:val="center"/>
                </w:tcPr>
                <w:p w14:paraId="3C0F0BB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1.7</w:t>
                  </w:r>
                </w:p>
              </w:tc>
              <w:tc>
                <w:tcPr>
                  <w:tcW w:w="457" w:type="pct"/>
                  <w:shd w:val="clear" w:color="auto" w:fill="auto"/>
                  <w:vAlign w:val="center"/>
                </w:tcPr>
                <w:p w14:paraId="6AFF562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2.2</w:t>
                  </w:r>
                </w:p>
              </w:tc>
              <w:tc>
                <w:tcPr>
                  <w:tcW w:w="485" w:type="pct"/>
                  <w:vAlign w:val="center"/>
                </w:tcPr>
                <w:p w14:paraId="2DE5090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32AF257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28101A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43D885C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65420DA5">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38D2111F">
                  <w:pPr>
                    <w:jc w:val="center"/>
                    <w:rPr>
                      <w:rFonts w:hint="default" w:ascii="Times New Roman" w:hAnsi="Times New Roman" w:eastAsia="宋体" w:cs="Times New Roman"/>
                      <w:color w:val="auto"/>
                      <w:sz w:val="18"/>
                      <w:szCs w:val="18"/>
                      <w:highlight w:val="none"/>
                    </w:rPr>
                  </w:pPr>
                </w:p>
              </w:tc>
              <w:tc>
                <w:tcPr>
                  <w:tcW w:w="821" w:type="pct"/>
                  <w:vAlign w:val="center"/>
                </w:tcPr>
                <w:p w14:paraId="723F3B9B">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30E9269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3.2</w:t>
                  </w:r>
                </w:p>
              </w:tc>
              <w:tc>
                <w:tcPr>
                  <w:tcW w:w="503" w:type="pct"/>
                  <w:shd w:val="clear" w:color="auto" w:fill="auto"/>
                  <w:vAlign w:val="center"/>
                </w:tcPr>
                <w:p w14:paraId="0A84A4E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2.9</w:t>
                  </w:r>
                </w:p>
              </w:tc>
              <w:tc>
                <w:tcPr>
                  <w:tcW w:w="509" w:type="pct"/>
                  <w:shd w:val="clear" w:color="auto" w:fill="auto"/>
                  <w:vAlign w:val="center"/>
                </w:tcPr>
                <w:p w14:paraId="1694D4D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2.5</w:t>
                  </w:r>
                </w:p>
              </w:tc>
              <w:tc>
                <w:tcPr>
                  <w:tcW w:w="457" w:type="pct"/>
                  <w:shd w:val="clear" w:color="auto" w:fill="auto"/>
                  <w:vAlign w:val="center"/>
                </w:tcPr>
                <w:p w14:paraId="6D4CE77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3.2</w:t>
                  </w:r>
                </w:p>
              </w:tc>
              <w:tc>
                <w:tcPr>
                  <w:tcW w:w="485" w:type="pct"/>
                  <w:vAlign w:val="center"/>
                </w:tcPr>
                <w:p w14:paraId="66E4EDD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w:t>
                  </w:r>
                </w:p>
              </w:tc>
              <w:tc>
                <w:tcPr>
                  <w:tcW w:w="416" w:type="pct"/>
                  <w:vAlign w:val="center"/>
                </w:tcPr>
                <w:p w14:paraId="4B5AABE1">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23010E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295D2854">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095F8BA4">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224ADA93">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60F8DBD1">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0B8D836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0.00464</w:t>
                  </w:r>
                </w:p>
              </w:tc>
              <w:tc>
                <w:tcPr>
                  <w:tcW w:w="503" w:type="pct"/>
                  <w:shd w:val="clear" w:color="auto" w:fill="auto"/>
                  <w:vAlign w:val="center"/>
                </w:tcPr>
                <w:p w14:paraId="278C6B4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0.00449</w:t>
                  </w:r>
                </w:p>
              </w:tc>
              <w:tc>
                <w:tcPr>
                  <w:tcW w:w="509" w:type="pct"/>
                  <w:shd w:val="clear" w:color="auto" w:fill="auto"/>
                  <w:vAlign w:val="center"/>
                </w:tcPr>
                <w:p w14:paraId="0D50DF4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0.00375</w:t>
                  </w:r>
                </w:p>
              </w:tc>
              <w:tc>
                <w:tcPr>
                  <w:tcW w:w="457" w:type="pct"/>
                  <w:shd w:val="clear" w:color="auto" w:fill="auto"/>
                  <w:vAlign w:val="center"/>
                </w:tcPr>
                <w:p w14:paraId="7A85E28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0.00464</w:t>
                  </w:r>
                </w:p>
              </w:tc>
              <w:tc>
                <w:tcPr>
                  <w:tcW w:w="485" w:type="pct"/>
                  <w:vAlign w:val="center"/>
                </w:tcPr>
                <w:p w14:paraId="4C19E43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0142B13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25C0FB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0FCA88C5">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60AB97F2">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vAlign w:val="center"/>
                </w:tcPr>
                <w:p w14:paraId="570BF3EA">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二氧化硫</w:t>
                  </w:r>
                </w:p>
              </w:tc>
              <w:tc>
                <w:tcPr>
                  <w:tcW w:w="821" w:type="pct"/>
                  <w:vAlign w:val="center"/>
                </w:tcPr>
                <w:p w14:paraId="3CF1FD89">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560C4DB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503" w:type="pct"/>
                  <w:shd w:val="clear" w:color="auto" w:fill="auto"/>
                  <w:vAlign w:val="center"/>
                </w:tcPr>
                <w:p w14:paraId="7C05E09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509" w:type="pct"/>
                  <w:shd w:val="clear" w:color="auto" w:fill="auto"/>
                  <w:vAlign w:val="center"/>
                </w:tcPr>
                <w:p w14:paraId="60634B9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457" w:type="pct"/>
                  <w:shd w:val="clear" w:color="auto" w:fill="auto"/>
                  <w:vAlign w:val="center"/>
                </w:tcPr>
                <w:p w14:paraId="01551A8A">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ND（3）</w:t>
                  </w:r>
                </w:p>
              </w:tc>
              <w:tc>
                <w:tcPr>
                  <w:tcW w:w="485" w:type="pct"/>
                  <w:vAlign w:val="center"/>
                </w:tcPr>
                <w:p w14:paraId="420F0BF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46771FD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58E6EE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1E0E5477">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253CDA2D">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71644E66">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4C2B5DB1">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0542E99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3" w:type="pct"/>
                  <w:shd w:val="clear" w:color="auto" w:fill="auto"/>
                  <w:vAlign w:val="center"/>
                </w:tcPr>
                <w:p w14:paraId="5C113D9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9" w:type="pct"/>
                  <w:shd w:val="clear" w:color="auto" w:fill="auto"/>
                  <w:vAlign w:val="center"/>
                </w:tcPr>
                <w:p w14:paraId="24470153">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57" w:type="pct"/>
                  <w:shd w:val="clear" w:color="auto" w:fill="auto"/>
                  <w:vAlign w:val="center"/>
                </w:tcPr>
                <w:p w14:paraId="1253A69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85" w:type="pct"/>
                  <w:vAlign w:val="center"/>
                </w:tcPr>
                <w:p w14:paraId="7ED0EAC8">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50</w:t>
                  </w:r>
                </w:p>
              </w:tc>
              <w:tc>
                <w:tcPr>
                  <w:tcW w:w="416" w:type="pct"/>
                  <w:vAlign w:val="center"/>
                </w:tcPr>
                <w:p w14:paraId="6DD8E1D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5A61F8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51B36F02">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79746D7B">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1AF741C3">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4A4CB9B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3349348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3" w:type="pct"/>
                  <w:shd w:val="clear" w:color="auto" w:fill="auto"/>
                  <w:vAlign w:val="center"/>
                </w:tcPr>
                <w:p w14:paraId="20BDB74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09" w:type="pct"/>
                  <w:shd w:val="clear" w:color="auto" w:fill="auto"/>
                  <w:vAlign w:val="center"/>
                </w:tcPr>
                <w:p w14:paraId="085D516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57" w:type="pct"/>
                  <w:shd w:val="clear" w:color="auto" w:fill="auto"/>
                  <w:vAlign w:val="center"/>
                </w:tcPr>
                <w:p w14:paraId="4454F31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85" w:type="pct"/>
                  <w:vAlign w:val="center"/>
                </w:tcPr>
                <w:p w14:paraId="77BCF36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043B918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65D7DD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1C351899">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6221E8B6">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vAlign w:val="center"/>
                </w:tcPr>
                <w:p w14:paraId="3D4E5310">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sz w:val="18"/>
                      <w:szCs w:val="18"/>
                      <w:highlight w:val="none"/>
                    </w:rPr>
                    <w:t>氮氧化物</w:t>
                  </w:r>
                </w:p>
              </w:tc>
              <w:tc>
                <w:tcPr>
                  <w:tcW w:w="821" w:type="pct"/>
                  <w:vAlign w:val="center"/>
                </w:tcPr>
                <w:p w14:paraId="08C6FEE6">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实测浓度(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1881C48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24</w:t>
                  </w:r>
                </w:p>
              </w:tc>
              <w:tc>
                <w:tcPr>
                  <w:tcW w:w="503" w:type="pct"/>
                  <w:shd w:val="clear" w:color="auto" w:fill="auto"/>
                  <w:vAlign w:val="center"/>
                </w:tcPr>
                <w:p w14:paraId="1A9699B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26</w:t>
                  </w:r>
                </w:p>
              </w:tc>
              <w:tc>
                <w:tcPr>
                  <w:tcW w:w="509" w:type="pct"/>
                  <w:shd w:val="clear" w:color="auto" w:fill="auto"/>
                  <w:vAlign w:val="center"/>
                </w:tcPr>
                <w:p w14:paraId="28B7ED3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26</w:t>
                  </w:r>
                </w:p>
              </w:tc>
              <w:tc>
                <w:tcPr>
                  <w:tcW w:w="457" w:type="pct"/>
                  <w:shd w:val="clear" w:color="auto" w:fill="auto"/>
                  <w:vAlign w:val="center"/>
                </w:tcPr>
                <w:p w14:paraId="3CE9110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26</w:t>
                  </w:r>
                </w:p>
              </w:tc>
              <w:tc>
                <w:tcPr>
                  <w:tcW w:w="485" w:type="pct"/>
                  <w:vAlign w:val="center"/>
                </w:tcPr>
                <w:p w14:paraId="2D5B2FE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48DA429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44CB27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3F8A2E1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03087345">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4DE70AF6">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042B4BB3">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折算浓度(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sz w:val="18"/>
                      <w:szCs w:val="18"/>
                      <w:highlight w:val="none"/>
                    </w:rPr>
                    <w:t>)</w:t>
                  </w:r>
                </w:p>
              </w:tc>
              <w:tc>
                <w:tcPr>
                  <w:tcW w:w="503" w:type="pct"/>
                  <w:shd w:val="clear" w:color="auto" w:fill="auto"/>
                  <w:vAlign w:val="center"/>
                </w:tcPr>
                <w:p w14:paraId="6B8BE8F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34</w:t>
                  </w:r>
                </w:p>
              </w:tc>
              <w:tc>
                <w:tcPr>
                  <w:tcW w:w="503" w:type="pct"/>
                  <w:shd w:val="clear" w:color="auto" w:fill="auto"/>
                  <w:vAlign w:val="center"/>
                </w:tcPr>
                <w:p w14:paraId="445DF92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38</w:t>
                  </w:r>
                </w:p>
              </w:tc>
              <w:tc>
                <w:tcPr>
                  <w:tcW w:w="509" w:type="pct"/>
                  <w:shd w:val="clear" w:color="auto" w:fill="auto"/>
                  <w:vAlign w:val="center"/>
                </w:tcPr>
                <w:p w14:paraId="6499797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38</w:t>
                  </w:r>
                </w:p>
              </w:tc>
              <w:tc>
                <w:tcPr>
                  <w:tcW w:w="457" w:type="pct"/>
                  <w:shd w:val="clear" w:color="auto" w:fill="auto"/>
                  <w:vAlign w:val="center"/>
                </w:tcPr>
                <w:p w14:paraId="4DE0FB2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38</w:t>
                  </w:r>
                </w:p>
              </w:tc>
              <w:tc>
                <w:tcPr>
                  <w:tcW w:w="485" w:type="pct"/>
                  <w:vAlign w:val="center"/>
                </w:tcPr>
                <w:p w14:paraId="5C603AB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150</w:t>
                  </w:r>
                </w:p>
              </w:tc>
              <w:tc>
                <w:tcPr>
                  <w:tcW w:w="416" w:type="pct"/>
                  <w:vAlign w:val="center"/>
                </w:tcPr>
                <w:p w14:paraId="563F2C60">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4054B9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54FB1893">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258ED63F">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45C5550D">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5EDFBF1E">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7EDA01A2">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0.0506</w:t>
                  </w:r>
                </w:p>
              </w:tc>
              <w:tc>
                <w:tcPr>
                  <w:tcW w:w="503" w:type="pct"/>
                  <w:shd w:val="clear" w:color="auto" w:fill="auto"/>
                  <w:vAlign w:val="center"/>
                </w:tcPr>
                <w:p w14:paraId="6699979D">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0.0583</w:t>
                  </w:r>
                </w:p>
              </w:tc>
              <w:tc>
                <w:tcPr>
                  <w:tcW w:w="509" w:type="pct"/>
                  <w:shd w:val="clear" w:color="auto" w:fill="auto"/>
                  <w:vAlign w:val="center"/>
                </w:tcPr>
                <w:p w14:paraId="6AC0EA1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0.0573</w:t>
                  </w:r>
                </w:p>
              </w:tc>
              <w:tc>
                <w:tcPr>
                  <w:tcW w:w="457" w:type="pct"/>
                  <w:shd w:val="clear" w:color="auto" w:fill="auto"/>
                  <w:vAlign w:val="center"/>
                </w:tcPr>
                <w:p w14:paraId="6244BC1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0.0583</w:t>
                  </w:r>
                </w:p>
              </w:tc>
              <w:tc>
                <w:tcPr>
                  <w:tcW w:w="485" w:type="pct"/>
                  <w:vAlign w:val="center"/>
                </w:tcPr>
                <w:p w14:paraId="7EC19FB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1F0A56FF">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04EB88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05D80EA1">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3575D7AD">
                  <w:pPr>
                    <w:widowControl/>
                    <w:jc w:val="center"/>
                    <w:rPr>
                      <w:rFonts w:hint="default" w:ascii="Times New Roman" w:hAnsi="Times New Roman" w:eastAsia="宋体" w:cs="Times New Roman"/>
                      <w:color w:val="auto"/>
                      <w:kern w:val="0"/>
                      <w:sz w:val="18"/>
                      <w:szCs w:val="18"/>
                      <w:highlight w:val="none"/>
                    </w:rPr>
                  </w:pPr>
                </w:p>
              </w:tc>
              <w:tc>
                <w:tcPr>
                  <w:tcW w:w="538" w:type="pct"/>
                  <w:vMerge w:val="restart"/>
                  <w:vAlign w:val="center"/>
                </w:tcPr>
                <w:p w14:paraId="0666CE77">
                  <w:pPr>
                    <w:widowControl/>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kern w:val="0"/>
                      <w:sz w:val="18"/>
                      <w:szCs w:val="18"/>
                      <w:highlight w:val="none"/>
                    </w:rPr>
                    <w:t>氨</w:t>
                  </w:r>
                </w:p>
              </w:tc>
              <w:tc>
                <w:tcPr>
                  <w:tcW w:w="821" w:type="pct"/>
                  <w:vAlign w:val="center"/>
                </w:tcPr>
                <w:p w14:paraId="6B9BBBC2">
                  <w:pPr>
                    <w:pStyle w:val="129"/>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排放浓度</w:t>
                  </w:r>
                  <w:r>
                    <w:rPr>
                      <w:rFonts w:hint="default" w:ascii="Times New Roman" w:hAnsi="Times New Roman" w:eastAsia="宋体" w:cs="Times New Roman"/>
                      <w:color w:val="auto"/>
                      <w:kern w:val="0"/>
                      <w:sz w:val="18"/>
                      <w:szCs w:val="18"/>
                      <w:highlight w:val="none"/>
                    </w:rPr>
                    <w:t>(mg/m</w:t>
                  </w:r>
                  <w:r>
                    <w:rPr>
                      <w:rFonts w:hint="default" w:ascii="Times New Roman" w:hAnsi="Times New Roman" w:eastAsia="宋体" w:cs="Times New Roman"/>
                      <w:color w:val="auto"/>
                      <w:kern w:val="0"/>
                      <w:sz w:val="18"/>
                      <w:szCs w:val="18"/>
                      <w:highlight w:val="none"/>
                      <w:vertAlign w:val="superscript"/>
                    </w:rPr>
                    <w:t>3</w:t>
                  </w:r>
                  <w:r>
                    <w:rPr>
                      <w:rFonts w:hint="default" w:ascii="Times New Roman" w:hAnsi="Times New Roman" w:eastAsia="宋体" w:cs="Times New Roman"/>
                      <w:color w:val="auto"/>
                      <w:kern w:val="0"/>
                      <w:sz w:val="18"/>
                      <w:szCs w:val="18"/>
                      <w:highlight w:val="none"/>
                    </w:rPr>
                    <w:t>)</w:t>
                  </w:r>
                </w:p>
              </w:tc>
              <w:tc>
                <w:tcPr>
                  <w:tcW w:w="503" w:type="pct"/>
                  <w:shd w:val="clear" w:color="auto" w:fill="auto"/>
                  <w:vAlign w:val="center"/>
                </w:tcPr>
                <w:p w14:paraId="29EB92E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38.2</w:t>
                  </w:r>
                </w:p>
              </w:tc>
              <w:tc>
                <w:tcPr>
                  <w:tcW w:w="503" w:type="pct"/>
                  <w:shd w:val="clear" w:color="auto" w:fill="auto"/>
                  <w:vAlign w:val="center"/>
                </w:tcPr>
                <w:p w14:paraId="6799E3B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61.6</w:t>
                  </w:r>
                </w:p>
              </w:tc>
              <w:tc>
                <w:tcPr>
                  <w:tcW w:w="509" w:type="pct"/>
                  <w:shd w:val="clear" w:color="auto" w:fill="auto"/>
                  <w:vAlign w:val="center"/>
                </w:tcPr>
                <w:p w14:paraId="0023DE3E">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52.9</w:t>
                  </w:r>
                </w:p>
              </w:tc>
              <w:tc>
                <w:tcPr>
                  <w:tcW w:w="457" w:type="pct"/>
                  <w:shd w:val="clear" w:color="auto" w:fill="auto"/>
                  <w:vAlign w:val="center"/>
                </w:tcPr>
                <w:p w14:paraId="6211A516">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61.6</w:t>
                  </w:r>
                </w:p>
              </w:tc>
              <w:tc>
                <w:tcPr>
                  <w:tcW w:w="485" w:type="pct"/>
                  <w:vAlign w:val="center"/>
                </w:tcPr>
                <w:p w14:paraId="7A9EC065">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416" w:type="pct"/>
                  <w:vAlign w:val="center"/>
                </w:tcPr>
                <w:p w14:paraId="5268B94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r>
            <w:tr w14:paraId="52A8ED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1BE79161">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1C2270EA">
                  <w:pPr>
                    <w:widowControl/>
                    <w:jc w:val="center"/>
                    <w:rPr>
                      <w:rFonts w:hint="default" w:ascii="Times New Roman" w:hAnsi="Times New Roman" w:eastAsia="宋体" w:cs="Times New Roman"/>
                      <w:color w:val="auto"/>
                      <w:kern w:val="0"/>
                      <w:sz w:val="18"/>
                      <w:szCs w:val="18"/>
                      <w:highlight w:val="none"/>
                    </w:rPr>
                  </w:pPr>
                </w:p>
              </w:tc>
              <w:tc>
                <w:tcPr>
                  <w:tcW w:w="538" w:type="pct"/>
                  <w:vMerge w:val="continue"/>
                  <w:vAlign w:val="center"/>
                </w:tcPr>
                <w:p w14:paraId="47CD6540">
                  <w:pPr>
                    <w:widowControl/>
                    <w:jc w:val="center"/>
                    <w:rPr>
                      <w:rFonts w:hint="default" w:ascii="Times New Roman" w:hAnsi="Times New Roman" w:eastAsia="宋体" w:cs="Times New Roman"/>
                      <w:color w:val="auto"/>
                      <w:kern w:val="0"/>
                      <w:sz w:val="18"/>
                      <w:szCs w:val="18"/>
                      <w:highlight w:val="none"/>
                      <w:lang w:val="en-US" w:eastAsia="zh-CN" w:bidi="ar-SA"/>
                    </w:rPr>
                  </w:pPr>
                </w:p>
              </w:tc>
              <w:tc>
                <w:tcPr>
                  <w:tcW w:w="821" w:type="pct"/>
                  <w:vAlign w:val="center"/>
                </w:tcPr>
                <w:p w14:paraId="2C3FB52F">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排放速率（kg/h）</w:t>
                  </w:r>
                </w:p>
              </w:tc>
              <w:tc>
                <w:tcPr>
                  <w:tcW w:w="503" w:type="pct"/>
                  <w:shd w:val="clear" w:color="auto" w:fill="auto"/>
                  <w:vAlign w:val="center"/>
                </w:tcPr>
                <w:p w14:paraId="725ED164">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0.0805</w:t>
                  </w:r>
                </w:p>
              </w:tc>
              <w:tc>
                <w:tcPr>
                  <w:tcW w:w="503" w:type="pct"/>
                  <w:shd w:val="clear" w:color="auto" w:fill="auto"/>
                  <w:vAlign w:val="center"/>
                </w:tcPr>
                <w:p w14:paraId="46D134B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0.138</w:t>
                  </w:r>
                </w:p>
              </w:tc>
              <w:tc>
                <w:tcPr>
                  <w:tcW w:w="509" w:type="pct"/>
                  <w:shd w:val="clear" w:color="auto" w:fill="auto"/>
                  <w:vAlign w:val="center"/>
                </w:tcPr>
                <w:p w14:paraId="105CA6BC">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0.117</w:t>
                  </w:r>
                </w:p>
              </w:tc>
              <w:tc>
                <w:tcPr>
                  <w:tcW w:w="457" w:type="pct"/>
                  <w:shd w:val="clear" w:color="auto" w:fill="auto"/>
                  <w:vAlign w:val="center"/>
                </w:tcPr>
                <w:p w14:paraId="2A3BB157">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0.138</w:t>
                  </w:r>
                </w:p>
              </w:tc>
              <w:tc>
                <w:tcPr>
                  <w:tcW w:w="485" w:type="pct"/>
                  <w:vAlign w:val="center"/>
                </w:tcPr>
                <w:p w14:paraId="6DEC467B">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4.9</w:t>
                  </w:r>
                </w:p>
              </w:tc>
              <w:tc>
                <w:tcPr>
                  <w:tcW w:w="416" w:type="pct"/>
                  <w:vAlign w:val="center"/>
                </w:tcPr>
                <w:p w14:paraId="3857F909">
                  <w:pPr>
                    <w:autoSpaceDN w:val="0"/>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达标</w:t>
                  </w:r>
                </w:p>
              </w:tc>
            </w:tr>
            <w:tr w14:paraId="380DDE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vAlign w:val="center"/>
                </w:tcPr>
                <w:p w14:paraId="7D8AFB8F">
                  <w:pPr>
                    <w:widowControl/>
                    <w:jc w:val="center"/>
                    <w:rPr>
                      <w:rFonts w:hint="default" w:ascii="Times New Roman" w:hAnsi="Times New Roman" w:eastAsia="宋体" w:cs="Times New Roman"/>
                      <w:color w:val="auto"/>
                      <w:kern w:val="0"/>
                      <w:sz w:val="18"/>
                      <w:szCs w:val="18"/>
                      <w:highlight w:val="none"/>
                    </w:rPr>
                  </w:pPr>
                </w:p>
              </w:tc>
              <w:tc>
                <w:tcPr>
                  <w:tcW w:w="409" w:type="pct"/>
                  <w:vMerge w:val="continue"/>
                  <w:vAlign w:val="center"/>
                </w:tcPr>
                <w:p w14:paraId="513C3356">
                  <w:pPr>
                    <w:widowControl/>
                    <w:jc w:val="center"/>
                    <w:rPr>
                      <w:rFonts w:hint="default" w:ascii="Times New Roman" w:hAnsi="Times New Roman" w:eastAsia="宋体" w:cs="Times New Roman"/>
                      <w:color w:val="auto"/>
                      <w:kern w:val="0"/>
                      <w:sz w:val="18"/>
                      <w:szCs w:val="18"/>
                      <w:highlight w:val="none"/>
                    </w:rPr>
                  </w:pPr>
                </w:p>
              </w:tc>
              <w:tc>
                <w:tcPr>
                  <w:tcW w:w="1359" w:type="pct"/>
                  <w:gridSpan w:val="2"/>
                  <w:vAlign w:val="center"/>
                </w:tcPr>
                <w:p w14:paraId="5767B3CE">
                  <w:pPr>
                    <w:jc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林格曼黑度（级）</w:t>
                  </w:r>
                </w:p>
              </w:tc>
              <w:tc>
                <w:tcPr>
                  <w:tcW w:w="503" w:type="pct"/>
                  <w:shd w:val="clear" w:color="auto" w:fill="auto"/>
                  <w:vAlign w:val="center"/>
                </w:tcPr>
                <w:p w14:paraId="32E26AD2">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503" w:type="pct"/>
                  <w:shd w:val="clear" w:color="auto" w:fill="auto"/>
                  <w:vAlign w:val="center"/>
                </w:tcPr>
                <w:p w14:paraId="5B5B5E24">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509" w:type="pct"/>
                  <w:shd w:val="clear" w:color="auto" w:fill="auto"/>
                  <w:vAlign w:val="center"/>
                </w:tcPr>
                <w:p w14:paraId="0FE078E4">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w:t>
                  </w:r>
                </w:p>
              </w:tc>
              <w:tc>
                <w:tcPr>
                  <w:tcW w:w="457" w:type="pct"/>
                  <w:shd w:val="clear" w:color="auto" w:fill="auto"/>
                  <w:vAlign w:val="center"/>
                </w:tcPr>
                <w:p w14:paraId="485BB966">
                  <w:pPr>
                    <w:autoSpaceDN w:val="0"/>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val="en-US" w:eastAsia="zh-CN"/>
                    </w:rPr>
                    <w:t>&lt;1</w:t>
                  </w:r>
                </w:p>
              </w:tc>
              <w:tc>
                <w:tcPr>
                  <w:tcW w:w="485" w:type="pct"/>
                  <w:vAlign w:val="center"/>
                </w:tcPr>
                <w:p w14:paraId="247DD55D">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≤1</w:t>
                  </w:r>
                </w:p>
              </w:tc>
              <w:tc>
                <w:tcPr>
                  <w:tcW w:w="416" w:type="pct"/>
                  <w:vAlign w:val="center"/>
                </w:tcPr>
                <w:p w14:paraId="1474EBA2">
                  <w:pPr>
                    <w:widowControl/>
                    <w:jc w:val="center"/>
                    <w:textAlignment w:val="center"/>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0"/>
                      <w:sz w:val="18"/>
                      <w:szCs w:val="18"/>
                      <w:highlight w:val="none"/>
                      <w:lang w:eastAsia="zh-CN"/>
                    </w:rPr>
                    <w:t>达标</w:t>
                  </w:r>
                </w:p>
              </w:tc>
            </w:tr>
          </w:tbl>
          <w:p w14:paraId="3B14EB9B">
            <w:pPr>
              <w:adjustRightInd/>
              <w:snapToGrid/>
              <w:spacing w:line="360" w:lineRule="auto"/>
              <w:ind w:firstLine="480" w:firstLineChars="200"/>
              <w:rPr>
                <w:rFonts w:hint="eastAsia"/>
                <w:color w:val="auto"/>
                <w:sz w:val="24"/>
                <w:szCs w:val="24"/>
                <w:highlight w:val="none"/>
              </w:rPr>
            </w:pPr>
            <w:r>
              <w:rPr>
                <w:rFonts w:hint="eastAsia"/>
                <w:color w:val="auto"/>
                <w:sz w:val="24"/>
                <w:szCs w:val="24"/>
                <w:highlight w:val="none"/>
              </w:rPr>
              <w:t>由上表可知，</w:t>
            </w:r>
            <w:r>
              <w:rPr>
                <w:rFonts w:hint="eastAsia"/>
                <w:color w:val="auto"/>
                <w:sz w:val="24"/>
                <w:szCs w:val="24"/>
                <w:highlight w:val="none"/>
                <w:lang w:eastAsia="zh-CN"/>
              </w:rPr>
              <w:t>验收期间续建工程</w:t>
            </w:r>
            <w:r>
              <w:rPr>
                <w:rFonts w:hint="eastAsia"/>
                <w:color w:val="auto"/>
                <w:sz w:val="24"/>
                <w:szCs w:val="24"/>
                <w:highlight w:val="none"/>
              </w:rPr>
              <w:t>沼气燃烧废气排气筒（DA00</w:t>
            </w:r>
            <w:r>
              <w:rPr>
                <w:rFonts w:hint="eastAsia"/>
                <w:color w:val="auto"/>
                <w:sz w:val="24"/>
                <w:szCs w:val="24"/>
                <w:highlight w:val="none"/>
                <w:lang w:val="en-US" w:eastAsia="zh-CN"/>
              </w:rPr>
              <w:t>5</w:t>
            </w:r>
            <w:r>
              <w:rPr>
                <w:rFonts w:hint="eastAsia"/>
                <w:color w:val="auto"/>
                <w:sz w:val="24"/>
                <w:szCs w:val="24"/>
                <w:highlight w:val="none"/>
                <w:lang w:eastAsia="zh-CN"/>
              </w:rPr>
              <w:t>、</w:t>
            </w:r>
            <w:r>
              <w:rPr>
                <w:rFonts w:hint="eastAsia"/>
                <w:color w:val="auto"/>
                <w:sz w:val="24"/>
                <w:szCs w:val="24"/>
                <w:highlight w:val="none"/>
              </w:rPr>
              <w:t>DA00</w:t>
            </w:r>
            <w:r>
              <w:rPr>
                <w:rFonts w:hint="eastAsia"/>
                <w:color w:val="auto"/>
                <w:sz w:val="24"/>
                <w:szCs w:val="24"/>
                <w:highlight w:val="none"/>
                <w:lang w:val="en-US" w:eastAsia="zh-CN"/>
              </w:rPr>
              <w:t>7、DA010</w:t>
            </w:r>
            <w:r>
              <w:rPr>
                <w:rFonts w:hint="eastAsia"/>
                <w:color w:val="auto"/>
                <w:sz w:val="24"/>
                <w:szCs w:val="24"/>
                <w:highlight w:val="none"/>
              </w:rPr>
              <w:t>）</w:t>
            </w:r>
            <w:r>
              <w:rPr>
                <w:rFonts w:hint="eastAsia"/>
                <w:color w:val="auto"/>
                <w:sz w:val="24"/>
                <w:szCs w:val="24"/>
                <w:highlight w:val="none"/>
                <w:lang w:eastAsia="zh-CN"/>
              </w:rPr>
              <w:t>废气中</w:t>
            </w:r>
            <w:r>
              <w:rPr>
                <w:rFonts w:hint="default"/>
                <w:color w:val="auto"/>
                <w:sz w:val="24"/>
                <w:szCs w:val="24"/>
                <w:highlight w:val="none"/>
              </w:rPr>
              <w:t>颗粒物、</w:t>
            </w:r>
            <w:r>
              <w:rPr>
                <w:rFonts w:hint="eastAsia"/>
                <w:color w:val="auto"/>
                <w:sz w:val="24"/>
                <w:szCs w:val="24"/>
                <w:highlight w:val="none"/>
                <w:lang w:eastAsia="zh-CN"/>
              </w:rPr>
              <w:t>二氧化硫</w:t>
            </w:r>
            <w:r>
              <w:rPr>
                <w:rFonts w:hint="default"/>
                <w:color w:val="auto"/>
                <w:sz w:val="24"/>
                <w:szCs w:val="24"/>
                <w:highlight w:val="none"/>
              </w:rPr>
              <w:t>、</w:t>
            </w:r>
            <w:r>
              <w:rPr>
                <w:rFonts w:hint="default"/>
                <w:color w:val="auto"/>
                <w:sz w:val="24"/>
                <w:szCs w:val="24"/>
                <w:highlight w:val="none"/>
                <w:lang w:eastAsia="zh-CN"/>
              </w:rPr>
              <w:t>氮氧化物、</w:t>
            </w:r>
            <w:r>
              <w:rPr>
                <w:rFonts w:hint="default"/>
                <w:color w:val="auto"/>
                <w:sz w:val="24"/>
                <w:szCs w:val="24"/>
                <w:highlight w:val="none"/>
              </w:rPr>
              <w:t>林格曼黑度</w:t>
            </w:r>
            <w:r>
              <w:rPr>
                <w:rFonts w:hint="eastAsia"/>
                <w:color w:val="auto"/>
                <w:sz w:val="24"/>
                <w:szCs w:val="24"/>
                <w:highlight w:val="none"/>
              </w:rPr>
              <w:t>均满足</w:t>
            </w:r>
            <w:r>
              <w:rPr>
                <w:rFonts w:hint="default"/>
                <w:color w:val="auto"/>
                <w:sz w:val="24"/>
                <w:szCs w:val="24"/>
                <w:highlight w:val="none"/>
              </w:rPr>
              <w:t>《锅炉大气污染物排放标准》（GB13271-2014）</w:t>
            </w:r>
            <w:r>
              <w:rPr>
                <w:rFonts w:hint="eastAsia"/>
                <w:color w:val="auto"/>
                <w:sz w:val="24"/>
                <w:szCs w:val="24"/>
                <w:highlight w:val="none"/>
              </w:rPr>
              <w:t>表3特别排放限值要求</w:t>
            </w:r>
            <w:r>
              <w:rPr>
                <w:rFonts w:hint="default"/>
                <w:color w:val="auto"/>
                <w:sz w:val="24"/>
                <w:szCs w:val="24"/>
                <w:highlight w:val="none"/>
              </w:rPr>
              <w:t>，氨气</w:t>
            </w:r>
            <w:r>
              <w:rPr>
                <w:rFonts w:hint="eastAsia"/>
                <w:color w:val="auto"/>
                <w:sz w:val="24"/>
                <w:szCs w:val="24"/>
                <w:highlight w:val="none"/>
              </w:rPr>
              <w:t>满足《恶臭污染物排放标准》</w:t>
            </w:r>
            <w:r>
              <w:rPr>
                <w:rFonts w:hint="eastAsia"/>
                <w:color w:val="auto"/>
                <w:sz w:val="24"/>
                <w:szCs w:val="24"/>
                <w:highlight w:val="none"/>
                <w:lang w:eastAsia="zh-CN"/>
              </w:rPr>
              <w:t>（</w:t>
            </w:r>
            <w:r>
              <w:rPr>
                <w:rFonts w:hint="eastAsia"/>
                <w:color w:val="auto"/>
                <w:sz w:val="24"/>
                <w:szCs w:val="24"/>
                <w:highlight w:val="none"/>
              </w:rPr>
              <w:t>GB14554-93</w:t>
            </w:r>
            <w:r>
              <w:rPr>
                <w:rFonts w:hint="eastAsia"/>
                <w:color w:val="auto"/>
                <w:sz w:val="24"/>
                <w:szCs w:val="24"/>
                <w:highlight w:val="none"/>
                <w:lang w:eastAsia="zh-CN"/>
              </w:rPr>
              <w:t>）</w:t>
            </w:r>
            <w:r>
              <w:rPr>
                <w:rFonts w:hint="eastAsia"/>
                <w:color w:val="auto"/>
                <w:sz w:val="24"/>
                <w:szCs w:val="24"/>
                <w:highlight w:val="none"/>
              </w:rPr>
              <w:t>表2限值要求。</w:t>
            </w:r>
          </w:p>
          <w:p w14:paraId="1EA420E7">
            <w:pPr>
              <w:adjustRightInd/>
              <w:snapToGrid/>
              <w:spacing w:line="360" w:lineRule="auto"/>
              <w:ind w:firstLine="480" w:firstLineChars="200"/>
              <w:rPr>
                <w:color w:val="auto"/>
                <w:sz w:val="24"/>
                <w:highlight w:val="none"/>
              </w:rPr>
            </w:pPr>
            <w:r>
              <w:rPr>
                <w:rFonts w:hint="eastAsia"/>
                <w:color w:val="auto"/>
                <w:sz w:val="24"/>
                <w:highlight w:val="none"/>
              </w:rPr>
              <w:t>（2）无组织废气监测结果</w:t>
            </w:r>
          </w:p>
          <w:p w14:paraId="22D7D8E3">
            <w:pPr>
              <w:adjustRightInd/>
              <w:snapToGrid/>
              <w:spacing w:line="360" w:lineRule="auto"/>
              <w:ind w:firstLine="480" w:firstLineChars="200"/>
              <w:rPr>
                <w:color w:val="auto"/>
                <w:sz w:val="24"/>
                <w:highlight w:val="none"/>
              </w:rPr>
            </w:pPr>
            <w:r>
              <w:rPr>
                <w:rFonts w:hint="eastAsia"/>
                <w:color w:val="auto"/>
                <w:sz w:val="24"/>
                <w:highlight w:val="none"/>
              </w:rPr>
              <w:t>无组织废气监测结果见下表</w:t>
            </w:r>
            <w:r>
              <w:rPr>
                <w:color w:val="auto"/>
                <w:sz w:val="24"/>
                <w:highlight w:val="none"/>
              </w:rPr>
              <w:t>。</w:t>
            </w:r>
          </w:p>
          <w:p w14:paraId="09F06378">
            <w:pPr>
              <w:pStyle w:val="121"/>
              <w:adjustRightInd/>
              <w:snapToGrid/>
              <w:rPr>
                <w:color w:val="auto"/>
                <w:sz w:val="21"/>
                <w:highlight w:val="none"/>
              </w:rPr>
            </w:pPr>
            <w:r>
              <w:rPr>
                <w:rFonts w:hint="eastAsia"/>
                <w:color w:val="auto"/>
                <w:sz w:val="21"/>
                <w:highlight w:val="none"/>
              </w:rPr>
              <w:t>无组织废气监测结果一览表</w:t>
            </w:r>
          </w:p>
          <w:tbl>
            <w:tblPr>
              <w:tblStyle w:val="30"/>
              <w:tblW w:w="500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1258"/>
              <w:gridCol w:w="944"/>
              <w:gridCol w:w="1621"/>
              <w:gridCol w:w="661"/>
              <w:gridCol w:w="661"/>
              <w:gridCol w:w="661"/>
              <w:gridCol w:w="675"/>
              <w:gridCol w:w="973"/>
              <w:gridCol w:w="1031"/>
              <w:gridCol w:w="589"/>
            </w:tblGrid>
            <w:tr w14:paraId="5F653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693" w:type="pct"/>
                  <w:vMerge w:val="restart"/>
                  <w:tcBorders>
                    <w:top w:val="single" w:color="auto" w:sz="12" w:space="0"/>
                    <w:bottom w:val="single" w:color="auto" w:sz="4" w:space="0"/>
                  </w:tcBorders>
                  <w:vAlign w:val="center"/>
                </w:tcPr>
                <w:p w14:paraId="7F59C71F">
                  <w:pPr>
                    <w:jc w:val="center"/>
                    <w:rPr>
                      <w:b/>
                      <w:bCs/>
                      <w:color w:val="auto"/>
                      <w:highlight w:val="none"/>
                    </w:rPr>
                  </w:pPr>
                  <w:r>
                    <w:rPr>
                      <w:b/>
                      <w:bCs/>
                      <w:color w:val="auto"/>
                      <w:highlight w:val="none"/>
                    </w:rPr>
                    <w:t>监测点位</w:t>
                  </w:r>
                </w:p>
              </w:tc>
              <w:tc>
                <w:tcPr>
                  <w:tcW w:w="520" w:type="pct"/>
                  <w:vMerge w:val="restart"/>
                  <w:tcBorders>
                    <w:top w:val="single" w:color="auto" w:sz="12" w:space="0"/>
                    <w:bottom w:val="single" w:color="auto" w:sz="4" w:space="0"/>
                  </w:tcBorders>
                  <w:vAlign w:val="center"/>
                </w:tcPr>
                <w:p w14:paraId="6E4B22F5">
                  <w:pPr>
                    <w:jc w:val="center"/>
                    <w:rPr>
                      <w:b/>
                      <w:bCs/>
                      <w:color w:val="auto"/>
                      <w:highlight w:val="none"/>
                    </w:rPr>
                  </w:pPr>
                  <w:r>
                    <w:rPr>
                      <w:b/>
                      <w:bCs/>
                      <w:color w:val="auto"/>
                      <w:highlight w:val="none"/>
                    </w:rPr>
                    <w:t>采样时间</w:t>
                  </w:r>
                </w:p>
              </w:tc>
              <w:tc>
                <w:tcPr>
                  <w:tcW w:w="893" w:type="pct"/>
                  <w:vMerge w:val="restart"/>
                  <w:tcBorders>
                    <w:top w:val="single" w:color="auto" w:sz="12" w:space="0"/>
                    <w:bottom w:val="single" w:color="auto" w:sz="4" w:space="0"/>
                  </w:tcBorders>
                  <w:vAlign w:val="center"/>
                </w:tcPr>
                <w:p w14:paraId="5413C572">
                  <w:pPr>
                    <w:jc w:val="center"/>
                    <w:rPr>
                      <w:b/>
                      <w:bCs/>
                      <w:color w:val="auto"/>
                      <w:highlight w:val="none"/>
                    </w:rPr>
                  </w:pPr>
                  <w:r>
                    <w:rPr>
                      <w:b/>
                      <w:bCs/>
                      <w:color w:val="auto"/>
                      <w:highlight w:val="none"/>
                    </w:rPr>
                    <w:t>监测项目</w:t>
                  </w:r>
                </w:p>
              </w:tc>
              <w:tc>
                <w:tcPr>
                  <w:tcW w:w="1464" w:type="pct"/>
                  <w:gridSpan w:val="4"/>
                  <w:tcBorders>
                    <w:top w:val="single" w:color="auto" w:sz="12" w:space="0"/>
                    <w:bottom w:val="single" w:color="auto" w:sz="4" w:space="0"/>
                  </w:tcBorders>
                  <w:vAlign w:val="center"/>
                </w:tcPr>
                <w:p w14:paraId="2126D6C0">
                  <w:pPr>
                    <w:jc w:val="center"/>
                    <w:rPr>
                      <w:b/>
                      <w:bCs/>
                      <w:color w:val="auto"/>
                      <w:highlight w:val="none"/>
                    </w:rPr>
                  </w:pPr>
                  <w:r>
                    <w:rPr>
                      <w:b/>
                      <w:bCs/>
                      <w:color w:val="auto"/>
                      <w:highlight w:val="none"/>
                    </w:rPr>
                    <w:t>监测结果（mg/m</w:t>
                  </w:r>
                  <w:r>
                    <w:rPr>
                      <w:b/>
                      <w:bCs/>
                      <w:color w:val="auto"/>
                      <w:highlight w:val="none"/>
                      <w:vertAlign w:val="superscript"/>
                    </w:rPr>
                    <w:t>3</w:t>
                  </w:r>
                  <w:r>
                    <w:rPr>
                      <w:b/>
                      <w:bCs/>
                      <w:color w:val="auto"/>
                      <w:highlight w:val="none"/>
                    </w:rPr>
                    <w:t>）</w:t>
                  </w:r>
                </w:p>
              </w:tc>
              <w:tc>
                <w:tcPr>
                  <w:tcW w:w="536" w:type="pct"/>
                  <w:vMerge w:val="restart"/>
                  <w:tcBorders>
                    <w:top w:val="single" w:color="auto" w:sz="12" w:space="0"/>
                  </w:tcBorders>
                  <w:vAlign w:val="center"/>
                </w:tcPr>
                <w:p w14:paraId="52EAB0C4">
                  <w:pPr>
                    <w:jc w:val="center"/>
                    <w:rPr>
                      <w:b/>
                      <w:bCs/>
                      <w:color w:val="auto"/>
                      <w:highlight w:val="none"/>
                    </w:rPr>
                  </w:pPr>
                  <w:r>
                    <w:rPr>
                      <w:b/>
                      <w:bCs/>
                      <w:color w:val="auto"/>
                      <w:highlight w:val="none"/>
                    </w:rPr>
                    <w:t>最大值（mg/m</w:t>
                  </w:r>
                  <w:r>
                    <w:rPr>
                      <w:b/>
                      <w:bCs/>
                      <w:color w:val="auto"/>
                      <w:highlight w:val="none"/>
                      <w:vertAlign w:val="superscript"/>
                    </w:rPr>
                    <w:t>3</w:t>
                  </w:r>
                  <w:r>
                    <w:rPr>
                      <w:b/>
                      <w:bCs/>
                      <w:color w:val="auto"/>
                      <w:highlight w:val="none"/>
                    </w:rPr>
                    <w:t>）</w:t>
                  </w:r>
                </w:p>
              </w:tc>
              <w:tc>
                <w:tcPr>
                  <w:tcW w:w="568" w:type="pct"/>
                  <w:vMerge w:val="restart"/>
                  <w:tcBorders>
                    <w:top w:val="single" w:color="auto" w:sz="12" w:space="0"/>
                  </w:tcBorders>
                  <w:vAlign w:val="center"/>
                </w:tcPr>
                <w:p w14:paraId="4A9B7302">
                  <w:pPr>
                    <w:jc w:val="center"/>
                    <w:rPr>
                      <w:b/>
                      <w:bCs/>
                      <w:color w:val="auto"/>
                      <w:highlight w:val="none"/>
                    </w:rPr>
                  </w:pPr>
                  <w:r>
                    <w:rPr>
                      <w:b/>
                      <w:bCs/>
                      <w:color w:val="auto"/>
                      <w:highlight w:val="none"/>
                    </w:rPr>
                    <w:t>标准限值（mg/m</w:t>
                  </w:r>
                  <w:r>
                    <w:rPr>
                      <w:b/>
                      <w:bCs/>
                      <w:color w:val="auto"/>
                      <w:highlight w:val="none"/>
                      <w:vertAlign w:val="superscript"/>
                    </w:rPr>
                    <w:t>3</w:t>
                  </w:r>
                  <w:r>
                    <w:rPr>
                      <w:b/>
                      <w:bCs/>
                      <w:color w:val="auto"/>
                      <w:highlight w:val="none"/>
                    </w:rPr>
                    <w:t>）</w:t>
                  </w:r>
                </w:p>
              </w:tc>
              <w:tc>
                <w:tcPr>
                  <w:tcW w:w="324" w:type="pct"/>
                  <w:vMerge w:val="restart"/>
                  <w:tcBorders>
                    <w:top w:val="single" w:color="auto" w:sz="12" w:space="0"/>
                  </w:tcBorders>
                  <w:vAlign w:val="center"/>
                </w:tcPr>
                <w:p w14:paraId="3C865311">
                  <w:pPr>
                    <w:jc w:val="center"/>
                    <w:rPr>
                      <w:b/>
                      <w:bCs/>
                      <w:color w:val="auto"/>
                      <w:highlight w:val="none"/>
                    </w:rPr>
                  </w:pPr>
                  <w:r>
                    <w:rPr>
                      <w:b/>
                      <w:bCs/>
                      <w:color w:val="auto"/>
                      <w:highlight w:val="none"/>
                    </w:rPr>
                    <w:t>达标</w:t>
                  </w:r>
                </w:p>
                <w:p w14:paraId="1C8FD63A">
                  <w:pPr>
                    <w:jc w:val="center"/>
                    <w:rPr>
                      <w:b/>
                      <w:bCs/>
                      <w:color w:val="auto"/>
                      <w:highlight w:val="none"/>
                    </w:rPr>
                  </w:pPr>
                  <w:r>
                    <w:rPr>
                      <w:b/>
                      <w:bCs/>
                      <w:color w:val="auto"/>
                      <w:highlight w:val="none"/>
                    </w:rPr>
                    <w:t>情况</w:t>
                  </w:r>
                </w:p>
              </w:tc>
            </w:tr>
            <w:tr w14:paraId="7F212D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693" w:type="pct"/>
                  <w:vMerge w:val="continue"/>
                  <w:tcBorders>
                    <w:top w:val="single" w:color="auto" w:sz="4" w:space="0"/>
                    <w:bottom w:val="single" w:color="auto" w:sz="12" w:space="0"/>
                  </w:tcBorders>
                  <w:vAlign w:val="center"/>
                </w:tcPr>
                <w:p w14:paraId="02D3FD1A">
                  <w:pPr>
                    <w:jc w:val="center"/>
                    <w:rPr>
                      <w:b/>
                      <w:bCs/>
                      <w:color w:val="auto"/>
                      <w:highlight w:val="none"/>
                    </w:rPr>
                  </w:pPr>
                </w:p>
              </w:tc>
              <w:tc>
                <w:tcPr>
                  <w:tcW w:w="520" w:type="pct"/>
                  <w:vMerge w:val="continue"/>
                  <w:tcBorders>
                    <w:top w:val="single" w:color="auto" w:sz="4" w:space="0"/>
                    <w:bottom w:val="single" w:color="auto" w:sz="12" w:space="0"/>
                  </w:tcBorders>
                  <w:vAlign w:val="center"/>
                </w:tcPr>
                <w:p w14:paraId="2FE9B390">
                  <w:pPr>
                    <w:jc w:val="center"/>
                    <w:rPr>
                      <w:b/>
                      <w:bCs/>
                      <w:color w:val="auto"/>
                      <w:highlight w:val="none"/>
                    </w:rPr>
                  </w:pPr>
                </w:p>
              </w:tc>
              <w:tc>
                <w:tcPr>
                  <w:tcW w:w="893" w:type="pct"/>
                  <w:vMerge w:val="continue"/>
                  <w:tcBorders>
                    <w:top w:val="single" w:color="auto" w:sz="4" w:space="0"/>
                    <w:bottom w:val="single" w:color="auto" w:sz="12" w:space="0"/>
                  </w:tcBorders>
                  <w:vAlign w:val="center"/>
                </w:tcPr>
                <w:p w14:paraId="3410186D">
                  <w:pPr>
                    <w:jc w:val="center"/>
                    <w:rPr>
                      <w:b/>
                      <w:bCs/>
                      <w:color w:val="auto"/>
                      <w:highlight w:val="none"/>
                    </w:rPr>
                  </w:pPr>
                </w:p>
              </w:tc>
              <w:tc>
                <w:tcPr>
                  <w:tcW w:w="364" w:type="pct"/>
                  <w:tcBorders>
                    <w:top w:val="single" w:color="auto" w:sz="4" w:space="0"/>
                    <w:bottom w:val="single" w:color="auto" w:sz="12" w:space="0"/>
                  </w:tcBorders>
                  <w:vAlign w:val="center"/>
                </w:tcPr>
                <w:p w14:paraId="321DDAEE">
                  <w:pPr>
                    <w:jc w:val="center"/>
                    <w:rPr>
                      <w:b/>
                      <w:bCs/>
                      <w:color w:val="auto"/>
                      <w:highlight w:val="none"/>
                    </w:rPr>
                  </w:pPr>
                  <w:r>
                    <w:rPr>
                      <w:b/>
                      <w:bCs/>
                      <w:color w:val="auto"/>
                      <w:highlight w:val="none"/>
                    </w:rPr>
                    <w:t>第1次</w:t>
                  </w:r>
                </w:p>
              </w:tc>
              <w:tc>
                <w:tcPr>
                  <w:tcW w:w="364" w:type="pct"/>
                  <w:tcBorders>
                    <w:top w:val="single" w:color="auto" w:sz="4" w:space="0"/>
                    <w:bottom w:val="single" w:color="auto" w:sz="12" w:space="0"/>
                  </w:tcBorders>
                  <w:vAlign w:val="center"/>
                </w:tcPr>
                <w:p w14:paraId="1EA3A883">
                  <w:pPr>
                    <w:jc w:val="center"/>
                    <w:rPr>
                      <w:b/>
                      <w:bCs/>
                      <w:color w:val="auto"/>
                      <w:highlight w:val="none"/>
                    </w:rPr>
                  </w:pPr>
                  <w:r>
                    <w:rPr>
                      <w:b/>
                      <w:bCs/>
                      <w:color w:val="auto"/>
                      <w:highlight w:val="none"/>
                    </w:rPr>
                    <w:t>第2次</w:t>
                  </w:r>
                </w:p>
              </w:tc>
              <w:tc>
                <w:tcPr>
                  <w:tcW w:w="364" w:type="pct"/>
                  <w:tcBorders>
                    <w:top w:val="single" w:color="auto" w:sz="4" w:space="0"/>
                    <w:bottom w:val="single" w:color="auto" w:sz="12" w:space="0"/>
                  </w:tcBorders>
                  <w:vAlign w:val="center"/>
                </w:tcPr>
                <w:p w14:paraId="32D2107D">
                  <w:pPr>
                    <w:jc w:val="center"/>
                    <w:rPr>
                      <w:b/>
                      <w:bCs/>
                      <w:color w:val="auto"/>
                      <w:highlight w:val="none"/>
                    </w:rPr>
                  </w:pPr>
                  <w:r>
                    <w:rPr>
                      <w:b/>
                      <w:bCs/>
                      <w:color w:val="auto"/>
                      <w:highlight w:val="none"/>
                    </w:rPr>
                    <w:t>第3次</w:t>
                  </w:r>
                </w:p>
              </w:tc>
              <w:tc>
                <w:tcPr>
                  <w:tcW w:w="371" w:type="pct"/>
                  <w:tcBorders>
                    <w:top w:val="single" w:color="auto" w:sz="4" w:space="0"/>
                    <w:bottom w:val="single" w:color="auto" w:sz="12" w:space="0"/>
                  </w:tcBorders>
                  <w:vAlign w:val="center"/>
                </w:tcPr>
                <w:p w14:paraId="2EB98598">
                  <w:pPr>
                    <w:jc w:val="center"/>
                    <w:rPr>
                      <w:b/>
                      <w:bCs/>
                      <w:color w:val="auto"/>
                      <w:highlight w:val="none"/>
                    </w:rPr>
                  </w:pPr>
                  <w:r>
                    <w:rPr>
                      <w:b/>
                      <w:bCs/>
                      <w:color w:val="auto"/>
                      <w:highlight w:val="none"/>
                    </w:rPr>
                    <w:t>第4次</w:t>
                  </w:r>
                </w:p>
              </w:tc>
              <w:tc>
                <w:tcPr>
                  <w:tcW w:w="536" w:type="pct"/>
                  <w:vMerge w:val="continue"/>
                  <w:tcBorders>
                    <w:bottom w:val="single" w:color="auto" w:sz="12" w:space="0"/>
                  </w:tcBorders>
                  <w:vAlign w:val="center"/>
                </w:tcPr>
                <w:p w14:paraId="5ED8DFC9">
                  <w:pPr>
                    <w:jc w:val="center"/>
                    <w:rPr>
                      <w:color w:val="auto"/>
                      <w:highlight w:val="none"/>
                    </w:rPr>
                  </w:pPr>
                </w:p>
              </w:tc>
              <w:tc>
                <w:tcPr>
                  <w:tcW w:w="568" w:type="pct"/>
                  <w:vMerge w:val="continue"/>
                  <w:tcBorders>
                    <w:bottom w:val="single" w:color="auto" w:sz="12" w:space="0"/>
                  </w:tcBorders>
                  <w:vAlign w:val="center"/>
                </w:tcPr>
                <w:p w14:paraId="45B2428E">
                  <w:pPr>
                    <w:jc w:val="center"/>
                    <w:rPr>
                      <w:color w:val="auto"/>
                      <w:highlight w:val="none"/>
                    </w:rPr>
                  </w:pPr>
                </w:p>
              </w:tc>
              <w:tc>
                <w:tcPr>
                  <w:tcW w:w="324" w:type="pct"/>
                  <w:vMerge w:val="continue"/>
                  <w:tcBorders>
                    <w:bottom w:val="single" w:color="auto" w:sz="12" w:space="0"/>
                  </w:tcBorders>
                  <w:vAlign w:val="center"/>
                </w:tcPr>
                <w:p w14:paraId="27E8A1F7">
                  <w:pPr>
                    <w:jc w:val="center"/>
                    <w:rPr>
                      <w:color w:val="auto"/>
                      <w:highlight w:val="none"/>
                    </w:rPr>
                  </w:pPr>
                </w:p>
              </w:tc>
            </w:tr>
            <w:tr w14:paraId="363779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restart"/>
                  <w:shd w:val="clear" w:color="auto" w:fill="auto"/>
                  <w:vAlign w:val="center"/>
                </w:tcPr>
                <w:p w14:paraId="5863FF1E">
                  <w:pPr>
                    <w:jc w:val="center"/>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rPr>
                    <w:t>厂界上风向</w:t>
                  </w:r>
                  <w:r>
                    <w:rPr>
                      <w:rFonts w:hint="eastAsia" w:ascii="Times New Roman" w:hAnsi="Times New Roman" w:eastAsia="宋体" w:cs="Times New Roman"/>
                      <w:color w:val="auto"/>
                      <w:sz w:val="18"/>
                      <w:szCs w:val="18"/>
                      <w:highlight w:val="none"/>
                      <w:lang w:val="en-US" w:eastAsia="zh-CN"/>
                    </w:rPr>
                    <w:t>01#</w:t>
                  </w:r>
                  <w:r>
                    <w:rPr>
                      <w:rFonts w:hint="default" w:ascii="Times New Roman" w:hAnsi="Times New Roman" w:eastAsia="宋体" w:cs="Times New Roman"/>
                      <w:color w:val="auto"/>
                      <w:sz w:val="18"/>
                      <w:szCs w:val="18"/>
                      <w:highlight w:val="none"/>
                    </w:rPr>
                    <w:t>〇</w:t>
                  </w:r>
                  <w:r>
                    <w:rPr>
                      <w:rFonts w:hint="eastAsia" w:ascii="Times New Roman" w:hAnsi="Times New Roman" w:eastAsia="宋体" w:cs="Times New Roman"/>
                      <w:color w:val="auto"/>
                      <w:sz w:val="18"/>
                      <w:szCs w:val="18"/>
                      <w:highlight w:val="none"/>
                    </w:rPr>
                    <w:t>W</w:t>
                  </w:r>
                  <w:r>
                    <w:rPr>
                      <w:rFonts w:hint="default" w:ascii="Times New Roman" w:hAnsi="Times New Roman" w:eastAsia="宋体" w:cs="Times New Roman"/>
                      <w:color w:val="auto"/>
                      <w:sz w:val="18"/>
                      <w:szCs w:val="18"/>
                      <w:highlight w:val="none"/>
                    </w:rPr>
                    <w:t>Q1</w:t>
                  </w:r>
                </w:p>
              </w:tc>
              <w:tc>
                <w:tcPr>
                  <w:tcW w:w="520" w:type="pct"/>
                  <w:shd w:val="clear" w:color="auto" w:fill="auto"/>
                  <w:vAlign w:val="center"/>
                </w:tcPr>
                <w:p w14:paraId="7B6BAE0C">
                  <w:pPr>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2024.12.10</w:t>
                  </w:r>
                </w:p>
              </w:tc>
              <w:tc>
                <w:tcPr>
                  <w:tcW w:w="893" w:type="pct"/>
                  <w:shd w:val="clear" w:color="auto" w:fill="auto"/>
                  <w:vAlign w:val="center"/>
                </w:tcPr>
                <w:p w14:paraId="60EAC404">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334DE170">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0.161</w:t>
                  </w:r>
                </w:p>
              </w:tc>
              <w:tc>
                <w:tcPr>
                  <w:tcW w:w="364" w:type="pct"/>
                  <w:shd w:val="clear" w:color="auto" w:fill="auto"/>
                  <w:vAlign w:val="center"/>
                </w:tcPr>
                <w:p w14:paraId="6EAC9E67">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0.146</w:t>
                  </w:r>
                </w:p>
              </w:tc>
              <w:tc>
                <w:tcPr>
                  <w:tcW w:w="364" w:type="pct"/>
                  <w:shd w:val="clear" w:color="auto" w:fill="auto"/>
                  <w:vAlign w:val="center"/>
                </w:tcPr>
                <w:p w14:paraId="4C2915D2">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0.123</w:t>
                  </w:r>
                </w:p>
              </w:tc>
              <w:tc>
                <w:tcPr>
                  <w:tcW w:w="371" w:type="pct"/>
                  <w:shd w:val="clear" w:color="auto" w:fill="auto"/>
                  <w:vAlign w:val="center"/>
                </w:tcPr>
                <w:p w14:paraId="3A7061FB">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0.111</w:t>
                  </w:r>
                </w:p>
              </w:tc>
              <w:tc>
                <w:tcPr>
                  <w:tcW w:w="536" w:type="pct"/>
                  <w:shd w:val="clear" w:color="auto" w:fill="auto"/>
                  <w:vAlign w:val="center"/>
                </w:tcPr>
                <w:p w14:paraId="0D459AB0">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0.161</w:t>
                  </w:r>
                </w:p>
              </w:tc>
              <w:tc>
                <w:tcPr>
                  <w:tcW w:w="568" w:type="pct"/>
                  <w:shd w:val="clear" w:color="auto" w:fill="auto"/>
                  <w:vAlign w:val="center"/>
                </w:tcPr>
                <w:p w14:paraId="7D02C68C">
                  <w:pPr>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18F2CD3D">
                  <w:pPr>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达标</w:t>
                  </w:r>
                </w:p>
              </w:tc>
            </w:tr>
            <w:tr w14:paraId="0F7DCF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continue"/>
                  <w:vAlign w:val="center"/>
                </w:tcPr>
                <w:p w14:paraId="20D107B5">
                  <w:pPr>
                    <w:jc w:val="center"/>
                    <w:rPr>
                      <w:rFonts w:hint="eastAsia" w:ascii="Times New Roman" w:hAnsi="Times New Roman" w:eastAsia="宋体" w:cs="Times New Roman"/>
                      <w:color w:val="auto"/>
                      <w:sz w:val="18"/>
                      <w:szCs w:val="18"/>
                      <w:highlight w:val="none"/>
                    </w:rPr>
                  </w:pPr>
                </w:p>
              </w:tc>
              <w:tc>
                <w:tcPr>
                  <w:tcW w:w="520" w:type="pct"/>
                  <w:shd w:val="clear" w:color="auto" w:fill="auto"/>
                  <w:vAlign w:val="center"/>
                </w:tcPr>
                <w:p w14:paraId="3343C9E3">
                  <w:pPr>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2024.12.11</w:t>
                  </w:r>
                </w:p>
              </w:tc>
              <w:tc>
                <w:tcPr>
                  <w:tcW w:w="893" w:type="pct"/>
                  <w:shd w:val="clear" w:color="auto" w:fill="auto"/>
                  <w:vAlign w:val="center"/>
                </w:tcPr>
                <w:p w14:paraId="2EC0C8A2">
                  <w:pPr>
                    <w:jc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143B4D76">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0.119</w:t>
                  </w:r>
                </w:p>
              </w:tc>
              <w:tc>
                <w:tcPr>
                  <w:tcW w:w="364" w:type="pct"/>
                  <w:shd w:val="clear" w:color="auto" w:fill="auto"/>
                  <w:vAlign w:val="center"/>
                </w:tcPr>
                <w:p w14:paraId="135CC85A">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0.152</w:t>
                  </w:r>
                </w:p>
              </w:tc>
              <w:tc>
                <w:tcPr>
                  <w:tcW w:w="364" w:type="pct"/>
                  <w:shd w:val="clear" w:color="auto" w:fill="auto"/>
                  <w:vAlign w:val="center"/>
                </w:tcPr>
                <w:p w14:paraId="65AFBEE8">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0.156</w:t>
                  </w:r>
                </w:p>
              </w:tc>
              <w:tc>
                <w:tcPr>
                  <w:tcW w:w="371" w:type="pct"/>
                  <w:shd w:val="clear" w:color="auto" w:fill="auto"/>
                  <w:vAlign w:val="center"/>
                </w:tcPr>
                <w:p w14:paraId="549235A1">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0.130</w:t>
                  </w:r>
                </w:p>
              </w:tc>
              <w:tc>
                <w:tcPr>
                  <w:tcW w:w="536" w:type="pct"/>
                  <w:shd w:val="clear" w:color="auto" w:fill="auto"/>
                  <w:vAlign w:val="center"/>
                </w:tcPr>
                <w:p w14:paraId="7633F69F">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0.156</w:t>
                  </w:r>
                </w:p>
              </w:tc>
              <w:tc>
                <w:tcPr>
                  <w:tcW w:w="568" w:type="pct"/>
                  <w:shd w:val="clear" w:color="auto" w:fill="auto"/>
                  <w:vAlign w:val="center"/>
                </w:tcPr>
                <w:p w14:paraId="2B959CE2">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13AD0BBC">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eastAsia="zh-CN"/>
                    </w:rPr>
                    <w:t>达标</w:t>
                  </w:r>
                </w:p>
              </w:tc>
            </w:tr>
            <w:tr w14:paraId="4DA215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restart"/>
                  <w:shd w:val="clear" w:color="auto" w:fill="auto"/>
                  <w:vAlign w:val="center"/>
                </w:tcPr>
                <w:p w14:paraId="36AC2A11">
                  <w:pPr>
                    <w:jc w:val="center"/>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rPr>
                    <w:t>厂界下风向</w:t>
                  </w:r>
                  <w:r>
                    <w:rPr>
                      <w:rFonts w:hint="eastAsia" w:ascii="Times New Roman" w:hAnsi="Times New Roman" w:eastAsia="宋体" w:cs="Times New Roman"/>
                      <w:color w:val="auto"/>
                      <w:sz w:val="18"/>
                      <w:szCs w:val="18"/>
                      <w:highlight w:val="none"/>
                      <w:lang w:val="en-US" w:eastAsia="zh-CN"/>
                    </w:rPr>
                    <w:t>02#</w:t>
                  </w:r>
                  <w:r>
                    <w:rPr>
                      <w:rFonts w:hint="default" w:ascii="Times New Roman" w:hAnsi="Times New Roman" w:eastAsia="宋体" w:cs="Times New Roman"/>
                      <w:color w:val="auto"/>
                      <w:sz w:val="18"/>
                      <w:szCs w:val="18"/>
                      <w:highlight w:val="none"/>
                    </w:rPr>
                    <w:t>〇</w:t>
                  </w:r>
                  <w:r>
                    <w:rPr>
                      <w:rFonts w:hint="eastAsia" w:ascii="Times New Roman" w:hAnsi="Times New Roman" w:eastAsia="宋体" w:cs="Times New Roman"/>
                      <w:color w:val="auto"/>
                      <w:sz w:val="18"/>
                      <w:szCs w:val="18"/>
                      <w:highlight w:val="none"/>
                    </w:rPr>
                    <w:t>W</w:t>
                  </w:r>
                  <w:r>
                    <w:rPr>
                      <w:rFonts w:hint="default" w:ascii="Times New Roman" w:hAnsi="Times New Roman" w:eastAsia="宋体" w:cs="Times New Roman"/>
                      <w:color w:val="auto"/>
                      <w:sz w:val="18"/>
                      <w:szCs w:val="18"/>
                      <w:highlight w:val="none"/>
                    </w:rPr>
                    <w:t>Q2</w:t>
                  </w:r>
                </w:p>
              </w:tc>
              <w:tc>
                <w:tcPr>
                  <w:tcW w:w="520" w:type="pct"/>
                  <w:shd w:val="clear" w:color="auto" w:fill="auto"/>
                  <w:vAlign w:val="center"/>
                </w:tcPr>
                <w:p w14:paraId="374454C5">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2024.12.10</w:t>
                  </w:r>
                </w:p>
              </w:tc>
              <w:tc>
                <w:tcPr>
                  <w:tcW w:w="893" w:type="pct"/>
                  <w:shd w:val="clear" w:color="auto" w:fill="auto"/>
                  <w:vAlign w:val="center"/>
                </w:tcPr>
                <w:p w14:paraId="6CF63777">
                  <w:pPr>
                    <w:jc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6CAA2382">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0.255</w:t>
                  </w:r>
                </w:p>
              </w:tc>
              <w:tc>
                <w:tcPr>
                  <w:tcW w:w="364" w:type="pct"/>
                  <w:shd w:val="clear" w:color="auto" w:fill="auto"/>
                  <w:vAlign w:val="center"/>
                </w:tcPr>
                <w:p w14:paraId="49D0F70C">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0.266</w:t>
                  </w:r>
                </w:p>
              </w:tc>
              <w:tc>
                <w:tcPr>
                  <w:tcW w:w="364" w:type="pct"/>
                  <w:shd w:val="clear" w:color="auto" w:fill="auto"/>
                  <w:vAlign w:val="center"/>
                </w:tcPr>
                <w:p w14:paraId="3F75518D">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0.230</w:t>
                  </w:r>
                </w:p>
              </w:tc>
              <w:tc>
                <w:tcPr>
                  <w:tcW w:w="371" w:type="pct"/>
                  <w:shd w:val="clear" w:color="auto" w:fill="auto"/>
                  <w:vAlign w:val="center"/>
                </w:tcPr>
                <w:p w14:paraId="25BAFC35">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0.272</w:t>
                  </w:r>
                </w:p>
              </w:tc>
              <w:tc>
                <w:tcPr>
                  <w:tcW w:w="536" w:type="pct"/>
                  <w:shd w:val="clear" w:color="auto" w:fill="auto"/>
                  <w:vAlign w:val="center"/>
                </w:tcPr>
                <w:p w14:paraId="1B478C81">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0.272</w:t>
                  </w:r>
                </w:p>
              </w:tc>
              <w:tc>
                <w:tcPr>
                  <w:tcW w:w="568" w:type="pct"/>
                  <w:shd w:val="clear" w:color="auto" w:fill="auto"/>
                  <w:vAlign w:val="center"/>
                </w:tcPr>
                <w:p w14:paraId="057C11FA">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shd w:val="clear" w:color="auto" w:fill="auto"/>
                  <w:vAlign w:val="center"/>
                </w:tcPr>
                <w:p w14:paraId="17423751">
                  <w:pPr>
                    <w:jc w:val="center"/>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达标</w:t>
                  </w:r>
                </w:p>
              </w:tc>
            </w:tr>
            <w:tr w14:paraId="350CD1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continue"/>
                  <w:vAlign w:val="center"/>
                </w:tcPr>
                <w:p w14:paraId="4ABDA9B6">
                  <w:pPr>
                    <w:jc w:val="center"/>
                    <w:rPr>
                      <w:rFonts w:hint="eastAsia" w:ascii="Times New Roman" w:hAnsi="Times New Roman" w:eastAsia="宋体" w:cs="Times New Roman"/>
                      <w:color w:val="auto"/>
                      <w:sz w:val="18"/>
                      <w:szCs w:val="18"/>
                      <w:highlight w:val="none"/>
                    </w:rPr>
                  </w:pPr>
                </w:p>
              </w:tc>
              <w:tc>
                <w:tcPr>
                  <w:tcW w:w="520" w:type="pct"/>
                  <w:shd w:val="clear" w:color="auto" w:fill="auto"/>
                  <w:vAlign w:val="center"/>
                </w:tcPr>
                <w:p w14:paraId="5CC98D50">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2024.12.11</w:t>
                  </w:r>
                </w:p>
              </w:tc>
              <w:tc>
                <w:tcPr>
                  <w:tcW w:w="893" w:type="pct"/>
                  <w:shd w:val="clear" w:color="auto" w:fill="auto"/>
                  <w:vAlign w:val="center"/>
                </w:tcPr>
                <w:p w14:paraId="3E5FE79E">
                  <w:pPr>
                    <w:jc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590D021A">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0.246</w:t>
                  </w:r>
                </w:p>
              </w:tc>
              <w:tc>
                <w:tcPr>
                  <w:tcW w:w="364" w:type="pct"/>
                  <w:shd w:val="clear" w:color="auto" w:fill="auto"/>
                  <w:vAlign w:val="center"/>
                </w:tcPr>
                <w:p w14:paraId="6AE3B38B">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0.285</w:t>
                  </w:r>
                </w:p>
              </w:tc>
              <w:tc>
                <w:tcPr>
                  <w:tcW w:w="364" w:type="pct"/>
                  <w:shd w:val="clear" w:color="auto" w:fill="auto"/>
                  <w:vAlign w:val="center"/>
                </w:tcPr>
                <w:p w14:paraId="31645F39">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0.294</w:t>
                  </w:r>
                </w:p>
              </w:tc>
              <w:tc>
                <w:tcPr>
                  <w:tcW w:w="371" w:type="pct"/>
                  <w:shd w:val="clear" w:color="auto" w:fill="auto"/>
                  <w:vAlign w:val="center"/>
                </w:tcPr>
                <w:p w14:paraId="40A314DB">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0.220</w:t>
                  </w:r>
                </w:p>
              </w:tc>
              <w:tc>
                <w:tcPr>
                  <w:tcW w:w="536" w:type="pct"/>
                  <w:shd w:val="clear" w:color="auto" w:fill="auto"/>
                  <w:vAlign w:val="center"/>
                </w:tcPr>
                <w:p w14:paraId="590B9031">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0.294</w:t>
                  </w:r>
                </w:p>
              </w:tc>
              <w:tc>
                <w:tcPr>
                  <w:tcW w:w="568" w:type="pct"/>
                  <w:shd w:val="clear" w:color="auto" w:fill="auto"/>
                  <w:vAlign w:val="center"/>
                </w:tcPr>
                <w:p w14:paraId="7EA0DCF1">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shd w:val="clear" w:color="auto" w:fill="auto"/>
                  <w:vAlign w:val="center"/>
                </w:tcPr>
                <w:p w14:paraId="704AE60C">
                  <w:pPr>
                    <w:jc w:val="center"/>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lang w:eastAsia="zh-CN"/>
                    </w:rPr>
                    <w:t>达标</w:t>
                  </w:r>
                </w:p>
              </w:tc>
            </w:tr>
            <w:tr w14:paraId="13B2A9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restart"/>
                  <w:shd w:val="clear" w:color="auto" w:fill="auto"/>
                  <w:vAlign w:val="center"/>
                </w:tcPr>
                <w:p w14:paraId="71A9207E">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rPr>
                    <w:t>厂界下风向</w:t>
                  </w:r>
                  <w:r>
                    <w:rPr>
                      <w:rFonts w:hint="eastAsia" w:ascii="Times New Roman" w:hAnsi="Times New Roman" w:eastAsia="宋体" w:cs="Times New Roman"/>
                      <w:color w:val="auto"/>
                      <w:sz w:val="18"/>
                      <w:szCs w:val="18"/>
                      <w:highlight w:val="none"/>
                      <w:lang w:val="en-US" w:eastAsia="zh-CN"/>
                    </w:rPr>
                    <w:t>03#</w:t>
                  </w:r>
                  <w:r>
                    <w:rPr>
                      <w:rFonts w:hint="default" w:ascii="Times New Roman" w:hAnsi="Times New Roman" w:eastAsia="宋体" w:cs="Times New Roman"/>
                      <w:color w:val="auto"/>
                      <w:sz w:val="18"/>
                      <w:szCs w:val="18"/>
                      <w:highlight w:val="none"/>
                    </w:rPr>
                    <w:t>〇</w:t>
                  </w:r>
                  <w:r>
                    <w:rPr>
                      <w:rFonts w:hint="eastAsia" w:ascii="Times New Roman" w:hAnsi="Times New Roman" w:eastAsia="宋体" w:cs="Times New Roman"/>
                      <w:color w:val="auto"/>
                      <w:sz w:val="18"/>
                      <w:szCs w:val="18"/>
                      <w:highlight w:val="none"/>
                    </w:rPr>
                    <w:t>W</w:t>
                  </w:r>
                  <w:r>
                    <w:rPr>
                      <w:rFonts w:hint="default" w:ascii="Times New Roman" w:hAnsi="Times New Roman" w:eastAsia="宋体" w:cs="Times New Roman"/>
                      <w:color w:val="auto"/>
                      <w:sz w:val="18"/>
                      <w:szCs w:val="18"/>
                      <w:highlight w:val="none"/>
                    </w:rPr>
                    <w:t>Q3</w:t>
                  </w:r>
                </w:p>
              </w:tc>
              <w:tc>
                <w:tcPr>
                  <w:tcW w:w="520" w:type="pct"/>
                  <w:shd w:val="clear" w:color="auto" w:fill="auto"/>
                  <w:vAlign w:val="center"/>
                </w:tcPr>
                <w:p w14:paraId="38B67837">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2024.12.10</w:t>
                  </w:r>
                </w:p>
              </w:tc>
              <w:tc>
                <w:tcPr>
                  <w:tcW w:w="893" w:type="pct"/>
                  <w:shd w:val="clear" w:color="auto" w:fill="auto"/>
                  <w:vAlign w:val="center"/>
                </w:tcPr>
                <w:p w14:paraId="51CCE246">
                  <w:pPr>
                    <w:jc w:val="center"/>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64DA23AC">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0.211</w:t>
                  </w:r>
                </w:p>
              </w:tc>
              <w:tc>
                <w:tcPr>
                  <w:tcW w:w="364" w:type="pct"/>
                  <w:shd w:val="clear" w:color="auto" w:fill="auto"/>
                  <w:vAlign w:val="center"/>
                </w:tcPr>
                <w:p w14:paraId="01229BF8">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0.314</w:t>
                  </w:r>
                </w:p>
              </w:tc>
              <w:tc>
                <w:tcPr>
                  <w:tcW w:w="364" w:type="pct"/>
                  <w:shd w:val="clear" w:color="auto" w:fill="auto"/>
                  <w:vAlign w:val="center"/>
                </w:tcPr>
                <w:p w14:paraId="2908A9ED">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0.252</w:t>
                  </w:r>
                </w:p>
              </w:tc>
              <w:tc>
                <w:tcPr>
                  <w:tcW w:w="371" w:type="pct"/>
                  <w:shd w:val="clear" w:color="auto" w:fill="auto"/>
                  <w:vAlign w:val="center"/>
                </w:tcPr>
                <w:p w14:paraId="02D144CA">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0.270</w:t>
                  </w:r>
                </w:p>
              </w:tc>
              <w:tc>
                <w:tcPr>
                  <w:tcW w:w="536" w:type="pct"/>
                  <w:shd w:val="clear" w:color="auto" w:fill="auto"/>
                  <w:vAlign w:val="center"/>
                </w:tcPr>
                <w:p w14:paraId="53BFC1B6">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0.314</w:t>
                  </w:r>
                </w:p>
              </w:tc>
              <w:tc>
                <w:tcPr>
                  <w:tcW w:w="568" w:type="pct"/>
                  <w:shd w:val="clear" w:color="auto" w:fill="auto"/>
                  <w:vAlign w:val="center"/>
                </w:tcPr>
                <w:p w14:paraId="610763F0">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20A7031E">
                  <w:pPr>
                    <w:jc w:val="center"/>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eastAsia="zh-CN"/>
                    </w:rPr>
                    <w:t>达标</w:t>
                  </w:r>
                </w:p>
              </w:tc>
            </w:tr>
            <w:tr w14:paraId="10E439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continue"/>
                  <w:vAlign w:val="center"/>
                </w:tcPr>
                <w:p w14:paraId="702D5268">
                  <w:pPr>
                    <w:jc w:val="center"/>
                    <w:rPr>
                      <w:rFonts w:hint="default" w:ascii="Times New Roman" w:hAnsi="Times New Roman" w:eastAsia="宋体" w:cs="Times New Roman"/>
                      <w:color w:val="auto"/>
                      <w:sz w:val="18"/>
                      <w:szCs w:val="18"/>
                      <w:highlight w:val="none"/>
                    </w:rPr>
                  </w:pPr>
                </w:p>
              </w:tc>
              <w:tc>
                <w:tcPr>
                  <w:tcW w:w="520" w:type="pct"/>
                  <w:shd w:val="clear" w:color="auto" w:fill="auto"/>
                  <w:vAlign w:val="center"/>
                </w:tcPr>
                <w:p w14:paraId="33085AB0">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2024.12.11</w:t>
                  </w:r>
                </w:p>
              </w:tc>
              <w:tc>
                <w:tcPr>
                  <w:tcW w:w="893" w:type="pct"/>
                  <w:shd w:val="clear" w:color="auto" w:fill="auto"/>
                  <w:vAlign w:val="center"/>
                </w:tcPr>
                <w:p w14:paraId="07A79E17">
                  <w:pPr>
                    <w:jc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16388CD1">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0.279</w:t>
                  </w:r>
                </w:p>
              </w:tc>
              <w:tc>
                <w:tcPr>
                  <w:tcW w:w="364" w:type="pct"/>
                  <w:shd w:val="clear" w:color="auto" w:fill="auto"/>
                  <w:vAlign w:val="center"/>
                </w:tcPr>
                <w:p w14:paraId="3DCB1FBD">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0.302</w:t>
                  </w:r>
                </w:p>
              </w:tc>
              <w:tc>
                <w:tcPr>
                  <w:tcW w:w="364" w:type="pct"/>
                  <w:shd w:val="clear" w:color="auto" w:fill="auto"/>
                  <w:vAlign w:val="center"/>
                </w:tcPr>
                <w:p w14:paraId="06A27E2F">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0.233</w:t>
                  </w:r>
                </w:p>
              </w:tc>
              <w:tc>
                <w:tcPr>
                  <w:tcW w:w="371" w:type="pct"/>
                  <w:shd w:val="clear" w:color="auto" w:fill="auto"/>
                  <w:vAlign w:val="center"/>
                </w:tcPr>
                <w:p w14:paraId="308E0759">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0.296</w:t>
                  </w:r>
                </w:p>
              </w:tc>
              <w:tc>
                <w:tcPr>
                  <w:tcW w:w="536" w:type="pct"/>
                  <w:shd w:val="clear" w:color="auto" w:fill="auto"/>
                  <w:vAlign w:val="center"/>
                </w:tcPr>
                <w:p w14:paraId="356E4F0C">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0.302</w:t>
                  </w:r>
                </w:p>
              </w:tc>
              <w:tc>
                <w:tcPr>
                  <w:tcW w:w="568" w:type="pct"/>
                  <w:shd w:val="clear" w:color="auto" w:fill="auto"/>
                  <w:vAlign w:val="center"/>
                </w:tcPr>
                <w:p w14:paraId="11322D22">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7CB08CE0">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eastAsia="zh-CN"/>
                    </w:rPr>
                    <w:t>达标</w:t>
                  </w:r>
                </w:p>
              </w:tc>
            </w:tr>
            <w:tr w14:paraId="1D0083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restart"/>
                  <w:shd w:val="clear" w:color="auto" w:fill="auto"/>
                  <w:vAlign w:val="center"/>
                </w:tcPr>
                <w:p w14:paraId="547AA746">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rPr>
                    <w:t>厂界下风向</w:t>
                  </w:r>
                  <w:r>
                    <w:rPr>
                      <w:rFonts w:hint="eastAsia" w:ascii="Times New Roman" w:hAnsi="Times New Roman" w:eastAsia="宋体" w:cs="Times New Roman"/>
                      <w:color w:val="auto"/>
                      <w:sz w:val="18"/>
                      <w:szCs w:val="18"/>
                      <w:highlight w:val="none"/>
                      <w:lang w:val="en-US" w:eastAsia="zh-CN"/>
                    </w:rPr>
                    <w:t>04#</w:t>
                  </w:r>
                  <w:r>
                    <w:rPr>
                      <w:rFonts w:hint="default" w:ascii="Times New Roman" w:hAnsi="Times New Roman" w:eastAsia="宋体" w:cs="Times New Roman"/>
                      <w:color w:val="auto"/>
                      <w:sz w:val="18"/>
                      <w:szCs w:val="18"/>
                      <w:highlight w:val="none"/>
                    </w:rPr>
                    <w:t>〇</w:t>
                  </w:r>
                  <w:r>
                    <w:rPr>
                      <w:rFonts w:hint="eastAsia" w:ascii="Times New Roman" w:hAnsi="Times New Roman" w:eastAsia="宋体" w:cs="Times New Roman"/>
                      <w:color w:val="auto"/>
                      <w:sz w:val="18"/>
                      <w:szCs w:val="18"/>
                      <w:highlight w:val="none"/>
                    </w:rPr>
                    <w:t>W</w:t>
                  </w:r>
                  <w:r>
                    <w:rPr>
                      <w:rFonts w:hint="default" w:ascii="Times New Roman" w:hAnsi="Times New Roman" w:eastAsia="宋体" w:cs="Times New Roman"/>
                      <w:color w:val="auto"/>
                      <w:sz w:val="18"/>
                      <w:szCs w:val="18"/>
                      <w:highlight w:val="none"/>
                    </w:rPr>
                    <w:t>Q</w:t>
                  </w:r>
                  <w:r>
                    <w:rPr>
                      <w:rFonts w:hint="eastAsia" w:ascii="Times New Roman" w:hAnsi="Times New Roman" w:eastAsia="宋体" w:cs="Times New Roman"/>
                      <w:color w:val="auto"/>
                      <w:sz w:val="18"/>
                      <w:szCs w:val="18"/>
                      <w:highlight w:val="none"/>
                    </w:rPr>
                    <w:t>4</w:t>
                  </w:r>
                </w:p>
              </w:tc>
              <w:tc>
                <w:tcPr>
                  <w:tcW w:w="520" w:type="pct"/>
                  <w:shd w:val="clear" w:color="auto" w:fill="auto"/>
                  <w:vAlign w:val="center"/>
                </w:tcPr>
                <w:p w14:paraId="5417F21E">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2024.12.10</w:t>
                  </w:r>
                </w:p>
              </w:tc>
              <w:tc>
                <w:tcPr>
                  <w:tcW w:w="893" w:type="pct"/>
                  <w:shd w:val="clear" w:color="auto" w:fill="auto"/>
                  <w:vAlign w:val="center"/>
                </w:tcPr>
                <w:p w14:paraId="3E1C1F58">
                  <w:pPr>
                    <w:jc w:val="center"/>
                    <w:rPr>
                      <w:rFonts w:hint="eastAsia"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6FB8828C">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0.238</w:t>
                  </w:r>
                </w:p>
              </w:tc>
              <w:tc>
                <w:tcPr>
                  <w:tcW w:w="364" w:type="pct"/>
                  <w:shd w:val="clear" w:color="auto" w:fill="auto"/>
                  <w:vAlign w:val="center"/>
                </w:tcPr>
                <w:p w14:paraId="105219A6">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0.259</w:t>
                  </w:r>
                </w:p>
              </w:tc>
              <w:tc>
                <w:tcPr>
                  <w:tcW w:w="364" w:type="pct"/>
                  <w:shd w:val="clear" w:color="auto" w:fill="auto"/>
                  <w:vAlign w:val="center"/>
                </w:tcPr>
                <w:p w14:paraId="6ED59E14">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0.274</w:t>
                  </w:r>
                </w:p>
              </w:tc>
              <w:tc>
                <w:tcPr>
                  <w:tcW w:w="371" w:type="pct"/>
                  <w:shd w:val="clear" w:color="auto" w:fill="auto"/>
                  <w:vAlign w:val="center"/>
                </w:tcPr>
                <w:p w14:paraId="5B883E66">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0.299</w:t>
                  </w:r>
                </w:p>
              </w:tc>
              <w:tc>
                <w:tcPr>
                  <w:tcW w:w="536" w:type="pct"/>
                  <w:shd w:val="clear" w:color="auto" w:fill="auto"/>
                  <w:vAlign w:val="center"/>
                </w:tcPr>
                <w:p w14:paraId="49146392">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0.299</w:t>
                  </w:r>
                </w:p>
              </w:tc>
              <w:tc>
                <w:tcPr>
                  <w:tcW w:w="568" w:type="pct"/>
                  <w:shd w:val="clear" w:color="auto" w:fill="auto"/>
                  <w:vAlign w:val="center"/>
                </w:tcPr>
                <w:p w14:paraId="4D0B1444">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5A1CD68F">
                  <w:pPr>
                    <w:jc w:val="center"/>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eastAsia="zh-CN"/>
                    </w:rPr>
                    <w:t>达标</w:t>
                  </w:r>
                </w:p>
              </w:tc>
            </w:tr>
            <w:tr w14:paraId="5579D1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93" w:type="pct"/>
                  <w:vMerge w:val="continue"/>
                  <w:vAlign w:val="center"/>
                </w:tcPr>
                <w:p w14:paraId="54350A74">
                  <w:pPr>
                    <w:jc w:val="center"/>
                    <w:rPr>
                      <w:rFonts w:hint="default" w:ascii="Times New Roman" w:hAnsi="Times New Roman" w:eastAsia="宋体" w:cs="Times New Roman"/>
                      <w:color w:val="auto"/>
                      <w:sz w:val="18"/>
                      <w:szCs w:val="18"/>
                      <w:highlight w:val="none"/>
                    </w:rPr>
                  </w:pPr>
                </w:p>
              </w:tc>
              <w:tc>
                <w:tcPr>
                  <w:tcW w:w="520" w:type="pct"/>
                  <w:shd w:val="clear" w:color="auto" w:fill="auto"/>
                  <w:vAlign w:val="center"/>
                </w:tcPr>
                <w:p w14:paraId="157C847F">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2024.12.11</w:t>
                  </w:r>
                </w:p>
              </w:tc>
              <w:tc>
                <w:tcPr>
                  <w:tcW w:w="893" w:type="pct"/>
                  <w:shd w:val="clear" w:color="auto" w:fill="auto"/>
                  <w:vAlign w:val="center"/>
                </w:tcPr>
                <w:p w14:paraId="2AD0D461">
                  <w:pPr>
                    <w:jc w:val="center"/>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sz w:val="18"/>
                      <w:szCs w:val="18"/>
                      <w:highlight w:val="none"/>
                    </w:rPr>
                    <w:t>颗粒物（m</w:t>
                  </w:r>
                  <w:r>
                    <w:rPr>
                      <w:rFonts w:hint="default" w:ascii="Times New Roman" w:hAnsi="Times New Roman" w:eastAsia="宋体" w:cs="Times New Roman"/>
                      <w:color w:val="auto"/>
                      <w:sz w:val="18"/>
                      <w:szCs w:val="18"/>
                      <w:highlight w:val="none"/>
                    </w:rPr>
                    <w:t>g/m</w:t>
                  </w:r>
                  <w:r>
                    <w:rPr>
                      <w:rFonts w:hint="default" w:ascii="Times New Roman" w:hAnsi="Times New Roman" w:eastAsia="宋体" w:cs="Times New Roman"/>
                      <w:color w:val="auto"/>
                      <w:sz w:val="18"/>
                      <w:szCs w:val="18"/>
                      <w:highlight w:val="none"/>
                      <w:vertAlign w:val="superscript"/>
                    </w:rPr>
                    <w:t>3</w:t>
                  </w:r>
                  <w:r>
                    <w:rPr>
                      <w:rFonts w:hint="eastAsia" w:ascii="Times New Roman" w:hAnsi="Times New Roman" w:eastAsia="宋体" w:cs="Times New Roman"/>
                      <w:color w:val="auto"/>
                      <w:sz w:val="18"/>
                      <w:szCs w:val="18"/>
                      <w:highlight w:val="none"/>
                    </w:rPr>
                    <w:t>）</w:t>
                  </w:r>
                </w:p>
              </w:tc>
              <w:tc>
                <w:tcPr>
                  <w:tcW w:w="364" w:type="pct"/>
                  <w:shd w:val="clear" w:color="auto" w:fill="auto"/>
                  <w:vAlign w:val="center"/>
                </w:tcPr>
                <w:p w14:paraId="617E9F06">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0.279</w:t>
                  </w:r>
                </w:p>
              </w:tc>
              <w:tc>
                <w:tcPr>
                  <w:tcW w:w="364" w:type="pct"/>
                  <w:shd w:val="clear" w:color="auto" w:fill="auto"/>
                  <w:vAlign w:val="center"/>
                </w:tcPr>
                <w:p w14:paraId="55C1C68B">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0.257</w:t>
                  </w:r>
                </w:p>
              </w:tc>
              <w:tc>
                <w:tcPr>
                  <w:tcW w:w="364" w:type="pct"/>
                  <w:shd w:val="clear" w:color="auto" w:fill="auto"/>
                  <w:vAlign w:val="center"/>
                </w:tcPr>
                <w:p w14:paraId="5492B669">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0.289</w:t>
                  </w:r>
                </w:p>
              </w:tc>
              <w:tc>
                <w:tcPr>
                  <w:tcW w:w="371" w:type="pct"/>
                  <w:shd w:val="clear" w:color="auto" w:fill="auto"/>
                  <w:vAlign w:val="center"/>
                </w:tcPr>
                <w:p w14:paraId="26B1D504">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0.314</w:t>
                  </w:r>
                </w:p>
              </w:tc>
              <w:tc>
                <w:tcPr>
                  <w:tcW w:w="536" w:type="pct"/>
                  <w:shd w:val="clear" w:color="auto" w:fill="auto"/>
                  <w:vAlign w:val="center"/>
                </w:tcPr>
                <w:p w14:paraId="1B3B11F9">
                  <w:pPr>
                    <w:jc w:val="center"/>
                    <w:rPr>
                      <w:rFonts w:hint="eastAsia"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0.314</w:t>
                  </w:r>
                </w:p>
              </w:tc>
              <w:tc>
                <w:tcPr>
                  <w:tcW w:w="568" w:type="pct"/>
                  <w:shd w:val="clear" w:color="auto" w:fill="auto"/>
                  <w:vAlign w:val="center"/>
                </w:tcPr>
                <w:p w14:paraId="75EF0BB1">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4" w:type="pct"/>
                  <w:vAlign w:val="center"/>
                </w:tcPr>
                <w:p w14:paraId="0DE7156D">
                  <w:pPr>
                    <w:jc w:val="center"/>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eastAsia="zh-CN"/>
                    </w:rPr>
                    <w:t>达标</w:t>
                  </w:r>
                </w:p>
              </w:tc>
            </w:tr>
          </w:tbl>
          <w:p w14:paraId="7E10FB36">
            <w:pPr>
              <w:adjustRightInd/>
              <w:snapToGrid/>
              <w:spacing w:line="360" w:lineRule="auto"/>
              <w:ind w:firstLine="480" w:firstLineChars="200"/>
              <w:rPr>
                <w:rFonts w:hint="eastAsia" w:ascii="Times New Roman" w:hAnsi="Times New Roman" w:cs="Times New Roman"/>
                <w:color w:val="auto"/>
                <w:sz w:val="24"/>
                <w:highlight w:val="none"/>
              </w:rPr>
            </w:pPr>
            <w:r>
              <w:rPr>
                <w:rFonts w:hint="eastAsia"/>
                <w:color w:val="auto"/>
                <w:sz w:val="24"/>
                <w:highlight w:val="none"/>
              </w:rPr>
              <w:t>由上</w:t>
            </w:r>
            <w:r>
              <w:rPr>
                <w:color w:val="auto"/>
                <w:sz w:val="24"/>
                <w:highlight w:val="none"/>
              </w:rPr>
              <w:t>表</w:t>
            </w:r>
            <w:r>
              <w:rPr>
                <w:rFonts w:hint="eastAsia"/>
                <w:color w:val="auto"/>
                <w:sz w:val="24"/>
                <w:highlight w:val="none"/>
              </w:rPr>
              <w:t>可知</w:t>
            </w:r>
            <w:r>
              <w:rPr>
                <w:color w:val="auto"/>
                <w:sz w:val="24"/>
                <w:highlight w:val="none"/>
              </w:rPr>
              <w:t>，</w:t>
            </w:r>
            <w:r>
              <w:rPr>
                <w:rFonts w:hint="default" w:ascii="Times New Roman" w:hAnsi="Times New Roman" w:cs="Times New Roman"/>
                <w:color w:val="auto"/>
                <w:sz w:val="24"/>
                <w:highlight w:val="none"/>
              </w:rPr>
              <w:t>项目厂界</w:t>
            </w:r>
            <w:r>
              <w:rPr>
                <w:rFonts w:eastAsiaTheme="minorEastAsia"/>
                <w:color w:val="auto"/>
                <w:sz w:val="24"/>
                <w:highlight w:val="none"/>
              </w:rPr>
              <w:t>无组织废气监测点位</w:t>
            </w:r>
            <w:r>
              <w:rPr>
                <w:rFonts w:hint="eastAsia" w:eastAsiaTheme="minorEastAsia"/>
                <w:color w:val="auto"/>
                <w:sz w:val="24"/>
                <w:highlight w:val="none"/>
              </w:rPr>
              <w:t>颗粒物排放</w:t>
            </w:r>
            <w:r>
              <w:rPr>
                <w:rFonts w:hint="eastAsia"/>
                <w:color w:val="auto"/>
                <w:sz w:val="24"/>
                <w:highlight w:val="none"/>
              </w:rPr>
              <w:t>浓度满足《大气污染物综合排放标准》（GB16297-1996）表2无组织排放监控浓度限值</w:t>
            </w:r>
            <w:r>
              <w:rPr>
                <w:rFonts w:hint="eastAsia" w:ascii="Times New Roman" w:hAnsi="Times New Roman" w:cs="Times New Roman"/>
                <w:color w:val="auto"/>
                <w:sz w:val="24"/>
                <w:highlight w:val="none"/>
              </w:rPr>
              <w:t>。</w:t>
            </w:r>
          </w:p>
          <w:p w14:paraId="61F3E86B">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气象参数检测结果</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209"/>
              <w:gridCol w:w="1209"/>
              <w:gridCol w:w="1209"/>
              <w:gridCol w:w="1085"/>
              <w:gridCol w:w="1085"/>
              <w:gridCol w:w="1085"/>
              <w:gridCol w:w="1085"/>
              <w:gridCol w:w="1099"/>
            </w:tblGrid>
            <w:tr w14:paraId="06D898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66" w:type="pct"/>
                  <w:vMerge w:val="restart"/>
                  <w:vAlign w:val="center"/>
                </w:tcPr>
                <w:p w14:paraId="124824D7">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检测点位</w:t>
                  </w:r>
                </w:p>
              </w:tc>
              <w:tc>
                <w:tcPr>
                  <w:tcW w:w="666" w:type="pct"/>
                  <w:vMerge w:val="restart"/>
                  <w:vAlign w:val="center"/>
                </w:tcPr>
                <w:p w14:paraId="77EE90F9">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采样日期</w:t>
                  </w:r>
                </w:p>
              </w:tc>
              <w:tc>
                <w:tcPr>
                  <w:tcW w:w="666" w:type="pct"/>
                  <w:vMerge w:val="restart"/>
                  <w:vAlign w:val="center"/>
                </w:tcPr>
                <w:p w14:paraId="21BE081D">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检测频次</w:t>
                  </w:r>
                </w:p>
              </w:tc>
              <w:tc>
                <w:tcPr>
                  <w:tcW w:w="2999" w:type="pct"/>
                  <w:gridSpan w:val="5"/>
                  <w:vAlign w:val="center"/>
                </w:tcPr>
                <w:p w14:paraId="7175FDC1">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气象参数</w:t>
                  </w:r>
                </w:p>
              </w:tc>
            </w:tr>
            <w:tr w14:paraId="6C3C3A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66" w:type="pct"/>
                  <w:vMerge w:val="continue"/>
                  <w:tcBorders>
                    <w:bottom w:val="single" w:color="auto" w:sz="12" w:space="0"/>
                  </w:tcBorders>
                  <w:vAlign w:val="center"/>
                </w:tcPr>
                <w:p w14:paraId="59A0938F">
                  <w:pPr>
                    <w:jc w:val="center"/>
                    <w:rPr>
                      <w:rFonts w:hint="eastAsia" w:ascii="Times New Roman" w:hAnsi="Times New Roman" w:cs="Times New Roman"/>
                      <w:b/>
                      <w:bCs/>
                      <w:color w:val="auto"/>
                      <w:highlight w:val="none"/>
                    </w:rPr>
                  </w:pPr>
                </w:p>
              </w:tc>
              <w:tc>
                <w:tcPr>
                  <w:tcW w:w="666" w:type="pct"/>
                  <w:vMerge w:val="continue"/>
                  <w:tcBorders>
                    <w:bottom w:val="single" w:color="auto" w:sz="12" w:space="0"/>
                  </w:tcBorders>
                  <w:vAlign w:val="center"/>
                </w:tcPr>
                <w:p w14:paraId="56B17636">
                  <w:pPr>
                    <w:jc w:val="center"/>
                    <w:rPr>
                      <w:rFonts w:hint="eastAsia" w:ascii="Times New Roman" w:hAnsi="Times New Roman" w:cs="Times New Roman"/>
                      <w:b/>
                      <w:bCs/>
                      <w:color w:val="auto"/>
                      <w:highlight w:val="none"/>
                    </w:rPr>
                  </w:pPr>
                </w:p>
              </w:tc>
              <w:tc>
                <w:tcPr>
                  <w:tcW w:w="666" w:type="pct"/>
                  <w:vMerge w:val="continue"/>
                  <w:tcBorders>
                    <w:bottom w:val="single" w:color="auto" w:sz="12" w:space="0"/>
                  </w:tcBorders>
                  <w:vAlign w:val="center"/>
                </w:tcPr>
                <w:p w14:paraId="7F495306">
                  <w:pPr>
                    <w:jc w:val="center"/>
                    <w:rPr>
                      <w:rFonts w:hint="eastAsia" w:ascii="Times New Roman" w:hAnsi="Times New Roman" w:cs="Times New Roman"/>
                      <w:b/>
                      <w:bCs/>
                      <w:color w:val="auto"/>
                      <w:highlight w:val="none"/>
                    </w:rPr>
                  </w:pPr>
                </w:p>
              </w:tc>
              <w:tc>
                <w:tcPr>
                  <w:tcW w:w="598" w:type="pct"/>
                  <w:tcBorders>
                    <w:bottom w:val="single" w:color="auto" w:sz="12" w:space="0"/>
                  </w:tcBorders>
                  <w:vAlign w:val="center"/>
                </w:tcPr>
                <w:p w14:paraId="54AE30E9">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气温（℃）</w:t>
                  </w:r>
                </w:p>
              </w:tc>
              <w:tc>
                <w:tcPr>
                  <w:tcW w:w="598" w:type="pct"/>
                  <w:tcBorders>
                    <w:bottom w:val="single" w:color="auto" w:sz="12" w:space="0"/>
                  </w:tcBorders>
                  <w:vAlign w:val="center"/>
                </w:tcPr>
                <w:p w14:paraId="02E95543">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气压（kPa）</w:t>
                  </w:r>
                </w:p>
              </w:tc>
              <w:tc>
                <w:tcPr>
                  <w:tcW w:w="598" w:type="pct"/>
                  <w:tcBorders>
                    <w:bottom w:val="single" w:color="auto" w:sz="12" w:space="0"/>
                  </w:tcBorders>
                  <w:vAlign w:val="center"/>
                </w:tcPr>
                <w:p w14:paraId="5D41683E">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湿度（%）</w:t>
                  </w:r>
                </w:p>
              </w:tc>
              <w:tc>
                <w:tcPr>
                  <w:tcW w:w="598" w:type="pct"/>
                  <w:tcBorders>
                    <w:bottom w:val="single" w:color="auto" w:sz="12" w:space="0"/>
                  </w:tcBorders>
                  <w:vAlign w:val="center"/>
                </w:tcPr>
                <w:p w14:paraId="4E46A873">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风速（m/s）</w:t>
                  </w:r>
                </w:p>
              </w:tc>
              <w:tc>
                <w:tcPr>
                  <w:tcW w:w="606" w:type="pct"/>
                  <w:tcBorders>
                    <w:bottom w:val="single" w:color="auto" w:sz="12" w:space="0"/>
                  </w:tcBorders>
                  <w:vAlign w:val="center"/>
                </w:tcPr>
                <w:p w14:paraId="117C0547">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风向</w:t>
                  </w:r>
                </w:p>
              </w:tc>
            </w:tr>
            <w:tr w14:paraId="45FDC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restart"/>
                  <w:tcBorders>
                    <w:top w:val="single" w:color="auto" w:sz="12" w:space="0"/>
                    <w:tl2br w:val="nil"/>
                    <w:tr2bl w:val="nil"/>
                  </w:tcBorders>
                  <w:vAlign w:val="center"/>
                </w:tcPr>
                <w:p w14:paraId="004D00F6">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rPr>
                    <w:t>厂界上风向01#</w:t>
                  </w:r>
                </w:p>
              </w:tc>
              <w:tc>
                <w:tcPr>
                  <w:tcW w:w="666" w:type="pct"/>
                  <w:vMerge w:val="restart"/>
                  <w:tcBorders>
                    <w:top w:val="single" w:color="auto" w:sz="12" w:space="0"/>
                    <w:tl2br w:val="nil"/>
                    <w:tr2bl w:val="nil"/>
                  </w:tcBorders>
                  <w:shd w:val="clear" w:color="auto" w:fill="auto"/>
                  <w:vAlign w:val="center"/>
                </w:tcPr>
                <w:p w14:paraId="3371B23E">
                  <w:pPr>
                    <w:jc w:val="center"/>
                    <w:rPr>
                      <w:rFonts w:hint="eastAsia" w:ascii="Times New Roman" w:hAnsi="Times New Roman" w:cs="Times New Roman"/>
                      <w:color w:val="auto"/>
                      <w:highlight w:val="none"/>
                    </w:rPr>
                  </w:pPr>
                  <w:r>
                    <w:rPr>
                      <w:rFonts w:hint="eastAsia" w:ascii="Times New Roman" w:hAnsi="Times New Roman" w:eastAsia="宋体" w:cs="Times New Roman"/>
                      <w:color w:val="auto"/>
                      <w:sz w:val="18"/>
                      <w:szCs w:val="18"/>
                      <w:highlight w:val="none"/>
                      <w:lang w:val="en-US" w:eastAsia="zh-CN"/>
                    </w:rPr>
                    <w:t>2024.12.10</w:t>
                  </w:r>
                </w:p>
              </w:tc>
              <w:tc>
                <w:tcPr>
                  <w:tcW w:w="666" w:type="pct"/>
                  <w:tcBorders>
                    <w:top w:val="single" w:color="auto" w:sz="12" w:space="0"/>
                    <w:tl2br w:val="nil"/>
                    <w:tr2bl w:val="nil"/>
                  </w:tcBorders>
                  <w:shd w:val="clear" w:color="auto" w:fill="auto"/>
                  <w:vAlign w:val="center"/>
                </w:tcPr>
                <w:p w14:paraId="2BC5B7C0">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第1次</w:t>
                  </w:r>
                </w:p>
              </w:tc>
              <w:tc>
                <w:tcPr>
                  <w:tcW w:w="598" w:type="pct"/>
                  <w:tcBorders>
                    <w:top w:val="single" w:color="auto" w:sz="12" w:space="0"/>
                    <w:tl2br w:val="nil"/>
                    <w:tr2bl w:val="nil"/>
                  </w:tcBorders>
                  <w:shd w:val="clear" w:color="auto" w:fill="auto"/>
                  <w:vAlign w:val="center"/>
                </w:tcPr>
                <w:p w14:paraId="0C5CA63D">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9.1</w:t>
                  </w:r>
                </w:p>
              </w:tc>
              <w:tc>
                <w:tcPr>
                  <w:tcW w:w="598" w:type="pct"/>
                  <w:tcBorders>
                    <w:top w:val="single" w:color="auto" w:sz="12" w:space="0"/>
                    <w:tl2br w:val="nil"/>
                    <w:tr2bl w:val="nil"/>
                  </w:tcBorders>
                  <w:shd w:val="clear" w:color="auto" w:fill="auto"/>
                  <w:vAlign w:val="center"/>
                </w:tcPr>
                <w:p w14:paraId="4D07E9F6">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101.9</w:t>
                  </w:r>
                </w:p>
              </w:tc>
              <w:tc>
                <w:tcPr>
                  <w:tcW w:w="598" w:type="pct"/>
                  <w:tcBorders>
                    <w:top w:val="single" w:color="auto" w:sz="12" w:space="0"/>
                    <w:tl2br w:val="nil"/>
                    <w:tr2bl w:val="nil"/>
                  </w:tcBorders>
                  <w:shd w:val="clear" w:color="auto" w:fill="auto"/>
                  <w:vAlign w:val="center"/>
                </w:tcPr>
                <w:p w14:paraId="088C66C1">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82.3</w:t>
                  </w:r>
                </w:p>
              </w:tc>
              <w:tc>
                <w:tcPr>
                  <w:tcW w:w="598" w:type="pct"/>
                  <w:tcBorders>
                    <w:top w:val="single" w:color="auto" w:sz="12" w:space="0"/>
                    <w:tl2br w:val="nil"/>
                    <w:tr2bl w:val="nil"/>
                  </w:tcBorders>
                  <w:shd w:val="clear" w:color="auto" w:fill="auto"/>
                  <w:vAlign w:val="center"/>
                </w:tcPr>
                <w:p w14:paraId="7D1128EB">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1.7</w:t>
                  </w:r>
                </w:p>
              </w:tc>
              <w:tc>
                <w:tcPr>
                  <w:tcW w:w="606" w:type="pct"/>
                  <w:tcBorders>
                    <w:top w:val="single" w:color="auto" w:sz="12" w:space="0"/>
                    <w:tl2br w:val="nil"/>
                    <w:tr2bl w:val="nil"/>
                  </w:tcBorders>
                  <w:shd w:val="clear" w:color="auto" w:fill="auto"/>
                  <w:vAlign w:val="center"/>
                </w:tcPr>
                <w:p w14:paraId="35F43677">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72B330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0FE3661D">
                  <w:pPr>
                    <w:jc w:val="center"/>
                    <w:rPr>
                      <w:rFonts w:hint="eastAsia" w:ascii="Times New Roman" w:hAnsi="Times New Roman" w:cs="Times New Roman"/>
                      <w:color w:val="auto"/>
                      <w:highlight w:val="none"/>
                    </w:rPr>
                  </w:pPr>
                </w:p>
              </w:tc>
              <w:tc>
                <w:tcPr>
                  <w:tcW w:w="666" w:type="pct"/>
                  <w:vMerge w:val="continue"/>
                  <w:tcBorders>
                    <w:tl2br w:val="nil"/>
                    <w:tr2bl w:val="nil"/>
                  </w:tcBorders>
                  <w:shd w:val="clear" w:color="auto" w:fill="auto"/>
                  <w:vAlign w:val="center"/>
                </w:tcPr>
                <w:p w14:paraId="50D99D15">
                  <w:pPr>
                    <w:jc w:val="center"/>
                    <w:rPr>
                      <w:rFonts w:hint="eastAsia" w:ascii="Times New Roman" w:hAnsi="Times New Roman" w:eastAsia="宋体" w:cs="Times New Roman"/>
                      <w:color w:val="auto"/>
                      <w:kern w:val="2"/>
                      <w:sz w:val="18"/>
                      <w:szCs w:val="18"/>
                      <w:highlight w:val="none"/>
                      <w:lang w:val="en-US" w:eastAsia="zh-CN" w:bidi="ar-SA"/>
                    </w:rPr>
                  </w:pPr>
                </w:p>
              </w:tc>
              <w:tc>
                <w:tcPr>
                  <w:tcW w:w="666" w:type="pct"/>
                  <w:tcBorders>
                    <w:tl2br w:val="nil"/>
                    <w:tr2bl w:val="nil"/>
                  </w:tcBorders>
                  <w:shd w:val="clear" w:color="auto" w:fill="auto"/>
                  <w:vAlign w:val="center"/>
                </w:tcPr>
                <w:p w14:paraId="2129C25A">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第2次</w:t>
                  </w:r>
                </w:p>
              </w:tc>
              <w:tc>
                <w:tcPr>
                  <w:tcW w:w="598" w:type="pct"/>
                  <w:tcBorders>
                    <w:tl2br w:val="nil"/>
                    <w:tr2bl w:val="nil"/>
                  </w:tcBorders>
                  <w:shd w:val="clear" w:color="auto" w:fill="auto"/>
                  <w:vAlign w:val="center"/>
                </w:tcPr>
                <w:p w14:paraId="341F95B5">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9.3</w:t>
                  </w:r>
                </w:p>
              </w:tc>
              <w:tc>
                <w:tcPr>
                  <w:tcW w:w="598" w:type="pct"/>
                  <w:tcBorders>
                    <w:tl2br w:val="nil"/>
                    <w:tr2bl w:val="nil"/>
                  </w:tcBorders>
                  <w:shd w:val="clear" w:color="auto" w:fill="auto"/>
                  <w:vAlign w:val="center"/>
                </w:tcPr>
                <w:p w14:paraId="347B5CC7">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101.7</w:t>
                  </w:r>
                </w:p>
              </w:tc>
              <w:tc>
                <w:tcPr>
                  <w:tcW w:w="598" w:type="pct"/>
                  <w:tcBorders>
                    <w:tl2br w:val="nil"/>
                    <w:tr2bl w:val="nil"/>
                  </w:tcBorders>
                  <w:shd w:val="clear" w:color="auto" w:fill="auto"/>
                  <w:vAlign w:val="center"/>
                </w:tcPr>
                <w:p w14:paraId="023B5829">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68.5</w:t>
                  </w:r>
                </w:p>
              </w:tc>
              <w:tc>
                <w:tcPr>
                  <w:tcW w:w="598" w:type="pct"/>
                  <w:tcBorders>
                    <w:tl2br w:val="nil"/>
                    <w:tr2bl w:val="nil"/>
                  </w:tcBorders>
                  <w:shd w:val="clear" w:color="auto" w:fill="auto"/>
                  <w:vAlign w:val="center"/>
                </w:tcPr>
                <w:p w14:paraId="291BBFD4">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1.7</w:t>
                  </w:r>
                </w:p>
              </w:tc>
              <w:tc>
                <w:tcPr>
                  <w:tcW w:w="606" w:type="pct"/>
                  <w:tcBorders>
                    <w:tl2br w:val="nil"/>
                    <w:tr2bl w:val="nil"/>
                  </w:tcBorders>
                  <w:shd w:val="clear" w:color="auto" w:fill="auto"/>
                  <w:vAlign w:val="center"/>
                </w:tcPr>
                <w:p w14:paraId="2A7B0AB9">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5DB0F5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551E6F49">
                  <w:pPr>
                    <w:jc w:val="center"/>
                    <w:rPr>
                      <w:rFonts w:hint="eastAsia" w:ascii="Times New Roman" w:hAnsi="Times New Roman" w:cs="Times New Roman"/>
                      <w:color w:val="auto"/>
                      <w:highlight w:val="none"/>
                    </w:rPr>
                  </w:pPr>
                </w:p>
              </w:tc>
              <w:tc>
                <w:tcPr>
                  <w:tcW w:w="666" w:type="pct"/>
                  <w:vMerge w:val="continue"/>
                  <w:tcBorders>
                    <w:tl2br w:val="nil"/>
                    <w:tr2bl w:val="nil"/>
                  </w:tcBorders>
                  <w:vAlign w:val="center"/>
                </w:tcPr>
                <w:p w14:paraId="0E4FCB99">
                  <w:pPr>
                    <w:jc w:val="center"/>
                    <w:rPr>
                      <w:rFonts w:hint="eastAsia" w:ascii="Times New Roman" w:hAnsi="Times New Roman" w:cs="Times New Roman"/>
                      <w:color w:val="auto"/>
                      <w:highlight w:val="none"/>
                    </w:rPr>
                  </w:pPr>
                </w:p>
              </w:tc>
              <w:tc>
                <w:tcPr>
                  <w:tcW w:w="666" w:type="pct"/>
                  <w:tcBorders>
                    <w:tl2br w:val="nil"/>
                    <w:tr2bl w:val="nil"/>
                  </w:tcBorders>
                  <w:shd w:val="clear" w:color="auto" w:fill="auto"/>
                  <w:vAlign w:val="center"/>
                </w:tcPr>
                <w:p w14:paraId="54397654">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第3次</w:t>
                  </w:r>
                </w:p>
              </w:tc>
              <w:tc>
                <w:tcPr>
                  <w:tcW w:w="598" w:type="pct"/>
                  <w:tcBorders>
                    <w:tl2br w:val="nil"/>
                    <w:tr2bl w:val="nil"/>
                  </w:tcBorders>
                  <w:shd w:val="clear" w:color="auto" w:fill="auto"/>
                  <w:vAlign w:val="center"/>
                </w:tcPr>
                <w:p w14:paraId="49179F3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9.2</w:t>
                  </w:r>
                </w:p>
              </w:tc>
              <w:tc>
                <w:tcPr>
                  <w:tcW w:w="598" w:type="pct"/>
                  <w:tcBorders>
                    <w:tl2br w:val="nil"/>
                    <w:tr2bl w:val="nil"/>
                  </w:tcBorders>
                  <w:shd w:val="clear" w:color="auto" w:fill="auto"/>
                  <w:vAlign w:val="center"/>
                </w:tcPr>
                <w:p w14:paraId="09340A28">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101.8</w:t>
                  </w:r>
                </w:p>
              </w:tc>
              <w:tc>
                <w:tcPr>
                  <w:tcW w:w="598" w:type="pct"/>
                  <w:tcBorders>
                    <w:tl2br w:val="nil"/>
                    <w:tr2bl w:val="nil"/>
                  </w:tcBorders>
                  <w:shd w:val="clear" w:color="auto" w:fill="auto"/>
                  <w:vAlign w:val="center"/>
                </w:tcPr>
                <w:p w14:paraId="6E259459">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58.2</w:t>
                  </w:r>
                </w:p>
              </w:tc>
              <w:tc>
                <w:tcPr>
                  <w:tcW w:w="598" w:type="pct"/>
                  <w:tcBorders>
                    <w:tl2br w:val="nil"/>
                    <w:tr2bl w:val="nil"/>
                  </w:tcBorders>
                  <w:shd w:val="clear" w:color="auto" w:fill="auto"/>
                  <w:vAlign w:val="center"/>
                </w:tcPr>
                <w:p w14:paraId="6F58F9F2">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1.6</w:t>
                  </w:r>
                </w:p>
              </w:tc>
              <w:tc>
                <w:tcPr>
                  <w:tcW w:w="606" w:type="pct"/>
                  <w:tcBorders>
                    <w:tl2br w:val="nil"/>
                    <w:tr2bl w:val="nil"/>
                  </w:tcBorders>
                  <w:shd w:val="clear" w:color="auto" w:fill="auto"/>
                  <w:vAlign w:val="center"/>
                </w:tcPr>
                <w:p w14:paraId="03EC0534">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2D5910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693778AB">
                  <w:pPr>
                    <w:jc w:val="center"/>
                    <w:rPr>
                      <w:rFonts w:hint="eastAsia" w:ascii="Times New Roman" w:hAnsi="Times New Roman" w:cs="Times New Roman"/>
                      <w:color w:val="auto"/>
                      <w:highlight w:val="none"/>
                    </w:rPr>
                  </w:pPr>
                </w:p>
              </w:tc>
              <w:tc>
                <w:tcPr>
                  <w:tcW w:w="666" w:type="pct"/>
                  <w:vMerge w:val="continue"/>
                  <w:tcBorders>
                    <w:tl2br w:val="nil"/>
                    <w:tr2bl w:val="nil"/>
                  </w:tcBorders>
                  <w:vAlign w:val="center"/>
                </w:tcPr>
                <w:p w14:paraId="695DFAD2">
                  <w:pPr>
                    <w:jc w:val="center"/>
                    <w:rPr>
                      <w:rFonts w:hint="eastAsia" w:ascii="Times New Roman" w:hAnsi="Times New Roman" w:cs="Times New Roman"/>
                      <w:color w:val="auto"/>
                      <w:highlight w:val="none"/>
                    </w:rPr>
                  </w:pPr>
                </w:p>
              </w:tc>
              <w:tc>
                <w:tcPr>
                  <w:tcW w:w="666" w:type="pct"/>
                  <w:tcBorders>
                    <w:tl2br w:val="nil"/>
                    <w:tr2bl w:val="nil"/>
                  </w:tcBorders>
                  <w:shd w:val="clear" w:color="auto" w:fill="auto"/>
                  <w:vAlign w:val="center"/>
                </w:tcPr>
                <w:p w14:paraId="71C0AB27">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第4次</w:t>
                  </w:r>
                </w:p>
              </w:tc>
              <w:tc>
                <w:tcPr>
                  <w:tcW w:w="598" w:type="pct"/>
                  <w:tcBorders>
                    <w:tl2br w:val="nil"/>
                    <w:tr2bl w:val="nil"/>
                  </w:tcBorders>
                  <w:shd w:val="clear" w:color="auto" w:fill="auto"/>
                  <w:vAlign w:val="center"/>
                </w:tcPr>
                <w:p w14:paraId="4B026D3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8.9</w:t>
                  </w:r>
                </w:p>
              </w:tc>
              <w:tc>
                <w:tcPr>
                  <w:tcW w:w="598" w:type="pct"/>
                  <w:tcBorders>
                    <w:tl2br w:val="nil"/>
                    <w:tr2bl w:val="nil"/>
                  </w:tcBorders>
                  <w:shd w:val="clear" w:color="auto" w:fill="auto"/>
                  <w:vAlign w:val="center"/>
                </w:tcPr>
                <w:p w14:paraId="7A34D14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102.0</w:t>
                  </w:r>
                </w:p>
              </w:tc>
              <w:tc>
                <w:tcPr>
                  <w:tcW w:w="598" w:type="pct"/>
                  <w:tcBorders>
                    <w:tl2br w:val="nil"/>
                    <w:tr2bl w:val="nil"/>
                  </w:tcBorders>
                  <w:shd w:val="clear" w:color="auto" w:fill="auto"/>
                  <w:vAlign w:val="center"/>
                </w:tcPr>
                <w:p w14:paraId="3CCDB68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48.0</w:t>
                  </w:r>
                </w:p>
              </w:tc>
              <w:tc>
                <w:tcPr>
                  <w:tcW w:w="598" w:type="pct"/>
                  <w:tcBorders>
                    <w:tl2br w:val="nil"/>
                    <w:tr2bl w:val="nil"/>
                  </w:tcBorders>
                  <w:shd w:val="clear" w:color="auto" w:fill="auto"/>
                  <w:vAlign w:val="center"/>
                </w:tcPr>
                <w:p w14:paraId="2E8AE02B">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w:t>
                  </w:r>
                </w:p>
              </w:tc>
              <w:tc>
                <w:tcPr>
                  <w:tcW w:w="606" w:type="pct"/>
                  <w:tcBorders>
                    <w:tl2br w:val="nil"/>
                    <w:tr2bl w:val="nil"/>
                  </w:tcBorders>
                  <w:shd w:val="clear" w:color="auto" w:fill="auto"/>
                  <w:vAlign w:val="center"/>
                </w:tcPr>
                <w:p w14:paraId="72C910C7">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6BB94D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43EFC948">
                  <w:pPr>
                    <w:jc w:val="center"/>
                    <w:rPr>
                      <w:rFonts w:hint="eastAsia" w:ascii="Times New Roman" w:hAnsi="Times New Roman" w:cs="Times New Roman"/>
                      <w:color w:val="auto"/>
                      <w:highlight w:val="none"/>
                    </w:rPr>
                  </w:pPr>
                </w:p>
              </w:tc>
              <w:tc>
                <w:tcPr>
                  <w:tcW w:w="666" w:type="pct"/>
                  <w:vMerge w:val="restart"/>
                  <w:tcBorders>
                    <w:tl2br w:val="nil"/>
                    <w:tr2bl w:val="nil"/>
                  </w:tcBorders>
                  <w:vAlign w:val="center"/>
                </w:tcPr>
                <w:p w14:paraId="464FD01D">
                  <w:pPr>
                    <w:jc w:val="center"/>
                    <w:rPr>
                      <w:rFonts w:hint="eastAsia" w:ascii="Times New Roman" w:hAnsi="Times New Roman" w:cs="Times New Roman"/>
                      <w:color w:val="auto"/>
                      <w:highlight w:val="none"/>
                    </w:rPr>
                  </w:pPr>
                  <w:r>
                    <w:rPr>
                      <w:rFonts w:hint="eastAsia" w:ascii="Times New Roman" w:hAnsi="Times New Roman" w:eastAsia="宋体" w:cs="Times New Roman"/>
                      <w:color w:val="auto"/>
                      <w:sz w:val="18"/>
                      <w:szCs w:val="18"/>
                      <w:highlight w:val="none"/>
                      <w:lang w:val="en-US" w:eastAsia="zh-CN"/>
                    </w:rPr>
                    <w:t>2024.12.11</w:t>
                  </w:r>
                </w:p>
              </w:tc>
              <w:tc>
                <w:tcPr>
                  <w:tcW w:w="666" w:type="pct"/>
                  <w:tcBorders>
                    <w:tl2br w:val="nil"/>
                    <w:tr2bl w:val="nil"/>
                  </w:tcBorders>
                  <w:shd w:val="clear" w:color="auto" w:fill="auto"/>
                  <w:vAlign w:val="center"/>
                </w:tcPr>
                <w:p w14:paraId="7335B3F7">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第1次</w:t>
                  </w:r>
                </w:p>
              </w:tc>
              <w:tc>
                <w:tcPr>
                  <w:tcW w:w="598" w:type="pct"/>
                  <w:tcBorders>
                    <w:tl2br w:val="nil"/>
                    <w:tr2bl w:val="nil"/>
                  </w:tcBorders>
                  <w:shd w:val="clear" w:color="auto" w:fill="auto"/>
                  <w:vAlign w:val="center"/>
                </w:tcPr>
                <w:p w14:paraId="183C9893">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9.6</w:t>
                  </w:r>
                </w:p>
              </w:tc>
              <w:tc>
                <w:tcPr>
                  <w:tcW w:w="598" w:type="pct"/>
                  <w:tcBorders>
                    <w:tl2br w:val="nil"/>
                    <w:tr2bl w:val="nil"/>
                  </w:tcBorders>
                  <w:shd w:val="clear" w:color="auto" w:fill="auto"/>
                  <w:vAlign w:val="center"/>
                </w:tcPr>
                <w:p w14:paraId="4465E0C0">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101.6</w:t>
                  </w:r>
                </w:p>
              </w:tc>
              <w:tc>
                <w:tcPr>
                  <w:tcW w:w="598" w:type="pct"/>
                  <w:tcBorders>
                    <w:tl2br w:val="nil"/>
                    <w:tr2bl w:val="nil"/>
                  </w:tcBorders>
                  <w:shd w:val="clear" w:color="auto" w:fill="auto"/>
                  <w:vAlign w:val="center"/>
                </w:tcPr>
                <w:p w14:paraId="1B4B6987">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65.1</w:t>
                  </w:r>
                </w:p>
              </w:tc>
              <w:tc>
                <w:tcPr>
                  <w:tcW w:w="598" w:type="pct"/>
                  <w:tcBorders>
                    <w:tl2br w:val="nil"/>
                    <w:tr2bl w:val="nil"/>
                  </w:tcBorders>
                  <w:shd w:val="clear" w:color="auto" w:fill="auto"/>
                  <w:vAlign w:val="center"/>
                </w:tcPr>
                <w:p w14:paraId="5D67A17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1.7</w:t>
                  </w:r>
                </w:p>
              </w:tc>
              <w:tc>
                <w:tcPr>
                  <w:tcW w:w="606" w:type="pct"/>
                  <w:tcBorders>
                    <w:tl2br w:val="nil"/>
                    <w:tr2bl w:val="nil"/>
                  </w:tcBorders>
                  <w:shd w:val="clear" w:color="auto" w:fill="auto"/>
                  <w:vAlign w:val="center"/>
                </w:tcPr>
                <w:p w14:paraId="455AEB72">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0896C6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01C6F4B3">
                  <w:pPr>
                    <w:jc w:val="center"/>
                    <w:rPr>
                      <w:rFonts w:hint="eastAsia" w:ascii="Times New Roman" w:hAnsi="Times New Roman" w:cs="Times New Roman"/>
                      <w:color w:val="auto"/>
                      <w:highlight w:val="none"/>
                    </w:rPr>
                  </w:pPr>
                </w:p>
              </w:tc>
              <w:tc>
                <w:tcPr>
                  <w:tcW w:w="666" w:type="pct"/>
                  <w:vMerge w:val="continue"/>
                  <w:tcBorders>
                    <w:tl2br w:val="nil"/>
                    <w:tr2bl w:val="nil"/>
                  </w:tcBorders>
                  <w:vAlign w:val="center"/>
                </w:tcPr>
                <w:p w14:paraId="1F87C336">
                  <w:pPr>
                    <w:jc w:val="center"/>
                    <w:rPr>
                      <w:rFonts w:hint="eastAsia" w:ascii="Times New Roman" w:hAnsi="Times New Roman" w:cs="Times New Roman"/>
                      <w:color w:val="auto"/>
                      <w:highlight w:val="none"/>
                    </w:rPr>
                  </w:pPr>
                </w:p>
              </w:tc>
              <w:tc>
                <w:tcPr>
                  <w:tcW w:w="666" w:type="pct"/>
                  <w:tcBorders>
                    <w:tl2br w:val="nil"/>
                    <w:tr2bl w:val="nil"/>
                  </w:tcBorders>
                  <w:shd w:val="clear" w:color="auto" w:fill="auto"/>
                  <w:vAlign w:val="center"/>
                </w:tcPr>
                <w:p w14:paraId="779D8EA0">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第2次</w:t>
                  </w:r>
                </w:p>
              </w:tc>
              <w:tc>
                <w:tcPr>
                  <w:tcW w:w="598" w:type="pct"/>
                  <w:tcBorders>
                    <w:tl2br w:val="nil"/>
                    <w:tr2bl w:val="nil"/>
                  </w:tcBorders>
                  <w:shd w:val="clear" w:color="auto" w:fill="auto"/>
                  <w:vAlign w:val="center"/>
                </w:tcPr>
                <w:p w14:paraId="7E037158">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w:t>
                  </w:r>
                </w:p>
              </w:tc>
              <w:tc>
                <w:tcPr>
                  <w:tcW w:w="598" w:type="pct"/>
                  <w:tcBorders>
                    <w:tl2br w:val="nil"/>
                    <w:tr2bl w:val="nil"/>
                  </w:tcBorders>
                  <w:shd w:val="clear" w:color="auto" w:fill="auto"/>
                  <w:vAlign w:val="center"/>
                </w:tcPr>
                <w:p w14:paraId="50874188">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101.4</w:t>
                  </w:r>
                </w:p>
              </w:tc>
              <w:tc>
                <w:tcPr>
                  <w:tcW w:w="598" w:type="pct"/>
                  <w:tcBorders>
                    <w:tl2br w:val="nil"/>
                    <w:tr2bl w:val="nil"/>
                  </w:tcBorders>
                  <w:shd w:val="clear" w:color="auto" w:fill="auto"/>
                  <w:vAlign w:val="center"/>
                </w:tcPr>
                <w:p w14:paraId="6D83AA1C">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58.3</w:t>
                  </w:r>
                </w:p>
              </w:tc>
              <w:tc>
                <w:tcPr>
                  <w:tcW w:w="598" w:type="pct"/>
                  <w:tcBorders>
                    <w:tl2br w:val="nil"/>
                    <w:tr2bl w:val="nil"/>
                  </w:tcBorders>
                  <w:shd w:val="clear" w:color="auto" w:fill="auto"/>
                  <w:vAlign w:val="center"/>
                </w:tcPr>
                <w:p w14:paraId="7A5DD04C">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1.6</w:t>
                  </w:r>
                </w:p>
              </w:tc>
              <w:tc>
                <w:tcPr>
                  <w:tcW w:w="606" w:type="pct"/>
                  <w:tcBorders>
                    <w:tl2br w:val="nil"/>
                    <w:tr2bl w:val="nil"/>
                  </w:tcBorders>
                  <w:shd w:val="clear" w:color="auto" w:fill="auto"/>
                  <w:vAlign w:val="center"/>
                </w:tcPr>
                <w:p w14:paraId="11B9B1AC">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4030BD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3E904C45">
                  <w:pPr>
                    <w:jc w:val="center"/>
                    <w:rPr>
                      <w:rFonts w:hint="eastAsia" w:ascii="Times New Roman" w:hAnsi="Times New Roman" w:cs="Times New Roman"/>
                      <w:color w:val="auto"/>
                      <w:highlight w:val="none"/>
                    </w:rPr>
                  </w:pPr>
                </w:p>
              </w:tc>
              <w:tc>
                <w:tcPr>
                  <w:tcW w:w="666" w:type="pct"/>
                  <w:vMerge w:val="continue"/>
                  <w:tcBorders>
                    <w:tl2br w:val="nil"/>
                    <w:tr2bl w:val="nil"/>
                  </w:tcBorders>
                  <w:vAlign w:val="center"/>
                </w:tcPr>
                <w:p w14:paraId="3494E299">
                  <w:pPr>
                    <w:jc w:val="center"/>
                    <w:rPr>
                      <w:rFonts w:hint="eastAsia" w:ascii="Times New Roman" w:hAnsi="Times New Roman" w:cs="Times New Roman"/>
                      <w:color w:val="auto"/>
                      <w:highlight w:val="none"/>
                    </w:rPr>
                  </w:pPr>
                </w:p>
              </w:tc>
              <w:tc>
                <w:tcPr>
                  <w:tcW w:w="666" w:type="pct"/>
                  <w:tcBorders>
                    <w:tl2br w:val="nil"/>
                    <w:tr2bl w:val="nil"/>
                  </w:tcBorders>
                  <w:shd w:val="clear" w:color="auto" w:fill="auto"/>
                  <w:vAlign w:val="center"/>
                </w:tcPr>
                <w:p w14:paraId="688A1B78">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第3次</w:t>
                  </w:r>
                </w:p>
              </w:tc>
              <w:tc>
                <w:tcPr>
                  <w:tcW w:w="598" w:type="pct"/>
                  <w:tcBorders>
                    <w:tl2br w:val="nil"/>
                    <w:tr2bl w:val="nil"/>
                  </w:tcBorders>
                  <w:shd w:val="clear" w:color="auto" w:fill="auto"/>
                  <w:vAlign w:val="center"/>
                </w:tcPr>
                <w:p w14:paraId="124DA017">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10.3</w:t>
                  </w:r>
                </w:p>
              </w:tc>
              <w:tc>
                <w:tcPr>
                  <w:tcW w:w="598" w:type="pct"/>
                  <w:tcBorders>
                    <w:tl2br w:val="nil"/>
                    <w:tr2bl w:val="nil"/>
                  </w:tcBorders>
                  <w:shd w:val="clear" w:color="auto" w:fill="auto"/>
                  <w:vAlign w:val="center"/>
                </w:tcPr>
                <w:p w14:paraId="24689EC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101.4</w:t>
                  </w:r>
                </w:p>
              </w:tc>
              <w:tc>
                <w:tcPr>
                  <w:tcW w:w="598" w:type="pct"/>
                  <w:tcBorders>
                    <w:tl2br w:val="nil"/>
                    <w:tr2bl w:val="nil"/>
                  </w:tcBorders>
                  <w:shd w:val="clear" w:color="auto" w:fill="auto"/>
                  <w:vAlign w:val="center"/>
                </w:tcPr>
                <w:p w14:paraId="5187D015">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45.7</w:t>
                  </w:r>
                </w:p>
              </w:tc>
              <w:tc>
                <w:tcPr>
                  <w:tcW w:w="598" w:type="pct"/>
                  <w:tcBorders>
                    <w:tl2br w:val="nil"/>
                    <w:tr2bl w:val="nil"/>
                  </w:tcBorders>
                  <w:shd w:val="clear" w:color="auto" w:fill="auto"/>
                  <w:vAlign w:val="center"/>
                </w:tcPr>
                <w:p w14:paraId="02485034">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1.5</w:t>
                  </w:r>
                </w:p>
              </w:tc>
              <w:tc>
                <w:tcPr>
                  <w:tcW w:w="606" w:type="pct"/>
                  <w:tcBorders>
                    <w:tl2br w:val="nil"/>
                    <w:tr2bl w:val="nil"/>
                  </w:tcBorders>
                  <w:shd w:val="clear" w:color="auto" w:fill="auto"/>
                  <w:vAlign w:val="center"/>
                </w:tcPr>
                <w:p w14:paraId="4D3F417F">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r w14:paraId="1BBF3A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66" w:type="pct"/>
                  <w:vMerge w:val="continue"/>
                  <w:tcBorders>
                    <w:tl2br w:val="nil"/>
                    <w:tr2bl w:val="nil"/>
                  </w:tcBorders>
                  <w:vAlign w:val="center"/>
                </w:tcPr>
                <w:p w14:paraId="1FE96FE7">
                  <w:pPr>
                    <w:jc w:val="center"/>
                    <w:rPr>
                      <w:rFonts w:hint="eastAsia" w:ascii="Times New Roman" w:hAnsi="Times New Roman" w:cs="Times New Roman"/>
                      <w:color w:val="auto"/>
                      <w:highlight w:val="none"/>
                    </w:rPr>
                  </w:pPr>
                </w:p>
              </w:tc>
              <w:tc>
                <w:tcPr>
                  <w:tcW w:w="666" w:type="pct"/>
                  <w:vMerge w:val="continue"/>
                  <w:tcBorders>
                    <w:tl2br w:val="nil"/>
                    <w:tr2bl w:val="nil"/>
                  </w:tcBorders>
                  <w:vAlign w:val="center"/>
                </w:tcPr>
                <w:p w14:paraId="19AB3DA0">
                  <w:pPr>
                    <w:jc w:val="center"/>
                    <w:rPr>
                      <w:rFonts w:hint="eastAsia" w:ascii="Times New Roman" w:hAnsi="Times New Roman" w:cs="Times New Roman"/>
                      <w:color w:val="auto"/>
                      <w:highlight w:val="none"/>
                    </w:rPr>
                  </w:pPr>
                </w:p>
              </w:tc>
              <w:tc>
                <w:tcPr>
                  <w:tcW w:w="666" w:type="pct"/>
                  <w:tcBorders>
                    <w:tl2br w:val="nil"/>
                    <w:tr2bl w:val="nil"/>
                  </w:tcBorders>
                  <w:shd w:val="clear" w:color="auto" w:fill="auto"/>
                  <w:vAlign w:val="center"/>
                </w:tcPr>
                <w:p w14:paraId="5133E4F6">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第4次</w:t>
                  </w:r>
                </w:p>
              </w:tc>
              <w:tc>
                <w:tcPr>
                  <w:tcW w:w="598" w:type="pct"/>
                  <w:tcBorders>
                    <w:tl2br w:val="nil"/>
                    <w:tr2bl w:val="nil"/>
                  </w:tcBorders>
                  <w:shd w:val="clear" w:color="auto" w:fill="auto"/>
                  <w:vAlign w:val="center"/>
                </w:tcPr>
                <w:p w14:paraId="4A5DA1E7">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10.6</w:t>
                  </w:r>
                </w:p>
              </w:tc>
              <w:tc>
                <w:tcPr>
                  <w:tcW w:w="598" w:type="pct"/>
                  <w:tcBorders>
                    <w:tl2br w:val="nil"/>
                    <w:tr2bl w:val="nil"/>
                  </w:tcBorders>
                  <w:shd w:val="clear" w:color="auto" w:fill="auto"/>
                  <w:vAlign w:val="center"/>
                </w:tcPr>
                <w:p w14:paraId="62E73E0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101.2</w:t>
                  </w:r>
                </w:p>
              </w:tc>
              <w:tc>
                <w:tcPr>
                  <w:tcW w:w="598" w:type="pct"/>
                  <w:tcBorders>
                    <w:tl2br w:val="nil"/>
                    <w:tr2bl w:val="nil"/>
                  </w:tcBorders>
                  <w:shd w:val="clear" w:color="auto" w:fill="auto"/>
                  <w:vAlign w:val="center"/>
                </w:tcPr>
                <w:p w14:paraId="16522098">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45.3</w:t>
                  </w:r>
                </w:p>
              </w:tc>
              <w:tc>
                <w:tcPr>
                  <w:tcW w:w="598" w:type="pct"/>
                  <w:tcBorders>
                    <w:tl2br w:val="nil"/>
                    <w:tr2bl w:val="nil"/>
                  </w:tcBorders>
                  <w:shd w:val="clear" w:color="auto" w:fill="auto"/>
                  <w:vAlign w:val="center"/>
                </w:tcPr>
                <w:p w14:paraId="6E86DB48">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1.7</w:t>
                  </w:r>
                </w:p>
              </w:tc>
              <w:tc>
                <w:tcPr>
                  <w:tcW w:w="606" w:type="pct"/>
                  <w:tcBorders>
                    <w:tl2br w:val="nil"/>
                    <w:tr2bl w:val="nil"/>
                  </w:tcBorders>
                  <w:shd w:val="clear" w:color="auto" w:fill="auto"/>
                  <w:vAlign w:val="center"/>
                </w:tcPr>
                <w:p w14:paraId="03C37F66">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东北</w:t>
                  </w:r>
                </w:p>
              </w:tc>
            </w:tr>
          </w:tbl>
          <w:p w14:paraId="747F64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黑体" w:cs="Times New Roman"/>
                <w:bCs/>
                <w:color w:val="auto"/>
                <w:sz w:val="24"/>
                <w:szCs w:val="24"/>
                <w:highlight w:val="none"/>
              </w:rPr>
            </w:pPr>
            <w:r>
              <w:rPr>
                <w:rFonts w:hint="eastAsia" w:ascii="Times New Roman" w:hAnsi="Times New Roman" w:eastAsia="黑体" w:cs="Times New Roman"/>
                <w:bCs/>
                <w:color w:val="auto"/>
                <w:sz w:val="24"/>
                <w:szCs w:val="24"/>
                <w:highlight w:val="none"/>
              </w:rPr>
              <w:t>7.2.</w:t>
            </w:r>
            <w:r>
              <w:rPr>
                <w:rFonts w:hint="eastAsia" w:ascii="Times New Roman" w:hAnsi="Times New Roman" w:eastAsia="黑体" w:cs="Times New Roman"/>
                <w:bCs/>
                <w:color w:val="auto"/>
                <w:sz w:val="24"/>
                <w:szCs w:val="24"/>
                <w:highlight w:val="none"/>
                <w:lang w:val="en-US" w:eastAsia="zh-CN"/>
              </w:rPr>
              <w:t>4</w:t>
            </w:r>
            <w:r>
              <w:rPr>
                <w:rFonts w:hint="eastAsia" w:ascii="Times New Roman" w:hAnsi="Times New Roman" w:eastAsia="黑体" w:cs="Times New Roman"/>
                <w:bCs/>
                <w:color w:val="auto"/>
                <w:sz w:val="24"/>
                <w:szCs w:val="24"/>
                <w:highlight w:val="none"/>
              </w:rPr>
              <w:t>厂界噪声监测结果分析</w:t>
            </w:r>
          </w:p>
          <w:p w14:paraId="2ED702D9">
            <w:pPr>
              <w:adjustRightInd/>
              <w:snapToGrid/>
              <w:spacing w:line="360" w:lineRule="auto"/>
              <w:ind w:firstLine="480" w:firstLineChars="200"/>
              <w:rPr>
                <w:color w:val="auto"/>
                <w:sz w:val="24"/>
                <w:highlight w:val="none"/>
              </w:rPr>
            </w:pPr>
            <w:r>
              <w:rPr>
                <w:color w:val="auto"/>
                <w:sz w:val="24"/>
                <w:highlight w:val="none"/>
              </w:rPr>
              <w:t>本次验收监测期间，厂界噪声监测结果见</w:t>
            </w:r>
            <w:r>
              <w:rPr>
                <w:rFonts w:hint="eastAsia"/>
                <w:color w:val="auto"/>
                <w:sz w:val="24"/>
                <w:highlight w:val="none"/>
              </w:rPr>
              <w:t>下</w:t>
            </w:r>
            <w:r>
              <w:rPr>
                <w:color w:val="auto"/>
                <w:sz w:val="24"/>
                <w:highlight w:val="none"/>
              </w:rPr>
              <w:t>表。</w:t>
            </w:r>
          </w:p>
          <w:p w14:paraId="13A7EB09">
            <w:pPr>
              <w:pStyle w:val="121"/>
              <w:adjustRightInd/>
              <w:snapToGrid/>
              <w:rPr>
                <w:rFonts w:hint="eastAsia" w:ascii="Times New Roman" w:hAnsi="Times New Roman" w:cs="Times New Roman"/>
                <w:color w:val="auto"/>
                <w:sz w:val="21"/>
                <w:highlight w:val="none"/>
              </w:rPr>
            </w:pPr>
            <w:r>
              <w:rPr>
                <w:rFonts w:hint="eastAsia" w:ascii="Times New Roman" w:hAnsi="Times New Roman" w:cs="Times New Roman"/>
                <w:color w:val="auto"/>
                <w:sz w:val="21"/>
                <w:highlight w:val="none"/>
              </w:rPr>
              <w:t>厂界噪声监测结果一览表单位：dB（A）</w:t>
            </w:r>
          </w:p>
          <w:tbl>
            <w:tblPr>
              <w:tblStyle w:val="2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130"/>
              <w:gridCol w:w="1446"/>
              <w:gridCol w:w="1498"/>
              <w:gridCol w:w="1498"/>
              <w:gridCol w:w="1246"/>
              <w:gridCol w:w="1248"/>
            </w:tblGrid>
            <w:tr w14:paraId="30DBC4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174" w:type="pct"/>
                  <w:vMerge w:val="restart"/>
                  <w:tcBorders>
                    <w:top w:val="single" w:color="auto" w:sz="12" w:space="0"/>
                  </w:tcBorders>
                  <w:vAlign w:val="center"/>
                </w:tcPr>
                <w:p w14:paraId="67BF9EAB">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检测点位</w:t>
                  </w:r>
                </w:p>
              </w:tc>
              <w:tc>
                <w:tcPr>
                  <w:tcW w:w="797" w:type="pct"/>
                  <w:vMerge w:val="restart"/>
                  <w:tcBorders>
                    <w:top w:val="single" w:color="auto" w:sz="12" w:space="0"/>
                  </w:tcBorders>
                  <w:vAlign w:val="center"/>
                </w:tcPr>
                <w:p w14:paraId="4ED77413">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采样时间</w:t>
                  </w:r>
                </w:p>
              </w:tc>
              <w:tc>
                <w:tcPr>
                  <w:tcW w:w="1652" w:type="pct"/>
                  <w:gridSpan w:val="2"/>
                  <w:tcBorders>
                    <w:top w:val="single" w:color="auto" w:sz="12" w:space="0"/>
                    <w:bottom w:val="single" w:color="auto" w:sz="4" w:space="0"/>
                  </w:tcBorders>
                  <w:vAlign w:val="center"/>
                </w:tcPr>
                <w:p w14:paraId="5CFE8400">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检测结果〔dB(A)〕</w:t>
                  </w:r>
                </w:p>
              </w:tc>
              <w:tc>
                <w:tcPr>
                  <w:tcW w:w="687" w:type="pct"/>
                  <w:vMerge w:val="restart"/>
                  <w:tcBorders>
                    <w:top w:val="single" w:color="auto" w:sz="12" w:space="0"/>
                  </w:tcBorders>
                  <w:vAlign w:val="center"/>
                </w:tcPr>
                <w:p w14:paraId="4B8AEE94">
                  <w:pPr>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rPr>
                    <w:t>标准限值〔dB(A)〕</w:t>
                  </w:r>
                </w:p>
              </w:tc>
              <w:tc>
                <w:tcPr>
                  <w:tcW w:w="688" w:type="pct"/>
                  <w:vMerge w:val="restart"/>
                  <w:tcBorders>
                    <w:top w:val="single" w:color="auto" w:sz="12" w:space="0"/>
                  </w:tcBorders>
                  <w:vAlign w:val="center"/>
                </w:tcPr>
                <w:p w14:paraId="1245C0AC">
                  <w:pPr>
                    <w:jc w:val="center"/>
                    <w:rPr>
                      <w:rFonts w:hint="eastAsia" w:ascii="Times New Roman" w:hAnsi="Times New Roman" w:cs="Times New Roman"/>
                      <w:b/>
                      <w:bCs/>
                      <w:color w:val="auto"/>
                      <w:highlight w:val="none"/>
                      <w:lang w:val="en-US" w:eastAsia="zh-CN"/>
                    </w:rPr>
                  </w:pPr>
                  <w:r>
                    <w:rPr>
                      <w:rFonts w:hint="eastAsia" w:ascii="Times New Roman" w:hAnsi="Times New Roman" w:cs="Times New Roman"/>
                      <w:b/>
                      <w:bCs/>
                      <w:color w:val="auto"/>
                      <w:highlight w:val="none"/>
                      <w:lang w:val="en-US" w:eastAsia="zh-CN"/>
                    </w:rPr>
                    <w:t>达标评价</w:t>
                  </w:r>
                </w:p>
              </w:tc>
            </w:tr>
            <w:tr w14:paraId="08A40A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174" w:type="pct"/>
                  <w:vMerge w:val="continue"/>
                  <w:tcBorders>
                    <w:bottom w:val="single" w:color="auto" w:sz="12" w:space="0"/>
                  </w:tcBorders>
                  <w:vAlign w:val="center"/>
                </w:tcPr>
                <w:p w14:paraId="1707FC30">
                  <w:pPr>
                    <w:jc w:val="center"/>
                    <w:rPr>
                      <w:rFonts w:hint="eastAsia" w:ascii="Times New Roman" w:hAnsi="Times New Roman" w:cs="Times New Roman"/>
                      <w:b/>
                      <w:bCs/>
                      <w:color w:val="auto"/>
                      <w:highlight w:val="none"/>
                    </w:rPr>
                  </w:pPr>
                </w:p>
              </w:tc>
              <w:tc>
                <w:tcPr>
                  <w:tcW w:w="797" w:type="pct"/>
                  <w:vMerge w:val="continue"/>
                  <w:tcBorders>
                    <w:bottom w:val="single" w:color="auto" w:sz="12" w:space="0"/>
                  </w:tcBorders>
                  <w:vAlign w:val="center"/>
                </w:tcPr>
                <w:p w14:paraId="60E61307">
                  <w:pPr>
                    <w:jc w:val="center"/>
                    <w:rPr>
                      <w:rFonts w:hint="eastAsia" w:ascii="Times New Roman" w:hAnsi="Times New Roman" w:cs="Times New Roman"/>
                      <w:b/>
                      <w:bCs/>
                      <w:color w:val="auto"/>
                      <w:highlight w:val="none"/>
                    </w:rPr>
                  </w:pPr>
                </w:p>
              </w:tc>
              <w:tc>
                <w:tcPr>
                  <w:tcW w:w="826" w:type="pct"/>
                  <w:tcBorders>
                    <w:top w:val="single" w:color="auto" w:sz="4" w:space="0"/>
                    <w:bottom w:val="single" w:color="auto" w:sz="12" w:space="0"/>
                  </w:tcBorders>
                  <w:vAlign w:val="center"/>
                </w:tcPr>
                <w:p w14:paraId="422A7B75">
                  <w:pPr>
                    <w:jc w:val="center"/>
                    <w:rPr>
                      <w:rFonts w:hint="default" w:ascii="Times New Roman" w:hAnsi="Times New Roman" w:cs="Times New Roman"/>
                      <w:b/>
                      <w:bCs/>
                      <w:color w:val="auto"/>
                      <w:highlight w:val="none"/>
                      <w:lang w:val="en-US" w:eastAsia="zh-CN"/>
                    </w:rPr>
                  </w:pPr>
                  <w:r>
                    <w:rPr>
                      <w:rFonts w:hint="eastAsia" w:ascii="Times New Roman" w:hAnsi="Times New Roman" w:cs="Times New Roman"/>
                      <w:b/>
                      <w:bCs/>
                      <w:color w:val="auto"/>
                      <w:highlight w:val="none"/>
                      <w:lang w:val="en-US" w:eastAsia="zh-CN"/>
                    </w:rPr>
                    <w:t>2024.</w:t>
                  </w:r>
                  <w:r>
                    <w:rPr>
                      <w:rFonts w:hint="eastAsia" w:cs="Times New Roman"/>
                      <w:b/>
                      <w:bCs/>
                      <w:color w:val="auto"/>
                      <w:highlight w:val="none"/>
                      <w:lang w:val="en-US" w:eastAsia="zh-CN"/>
                    </w:rPr>
                    <w:t>12</w:t>
                  </w:r>
                  <w:r>
                    <w:rPr>
                      <w:rFonts w:hint="eastAsia" w:ascii="Times New Roman" w:hAnsi="Times New Roman" w:cs="Times New Roman"/>
                      <w:b/>
                      <w:bCs/>
                      <w:color w:val="auto"/>
                      <w:highlight w:val="none"/>
                      <w:lang w:val="en-US" w:eastAsia="zh-CN"/>
                    </w:rPr>
                    <w:t>.</w:t>
                  </w:r>
                  <w:r>
                    <w:rPr>
                      <w:rFonts w:hint="eastAsia" w:cs="Times New Roman"/>
                      <w:b/>
                      <w:bCs/>
                      <w:color w:val="auto"/>
                      <w:highlight w:val="none"/>
                      <w:lang w:val="en-US" w:eastAsia="zh-CN"/>
                    </w:rPr>
                    <w:t>10</w:t>
                  </w:r>
                </w:p>
              </w:tc>
              <w:tc>
                <w:tcPr>
                  <w:tcW w:w="826" w:type="pct"/>
                  <w:tcBorders>
                    <w:top w:val="single" w:color="auto" w:sz="4" w:space="0"/>
                    <w:bottom w:val="single" w:color="auto" w:sz="12" w:space="0"/>
                  </w:tcBorders>
                  <w:vAlign w:val="center"/>
                </w:tcPr>
                <w:p w14:paraId="5C339D87">
                  <w:pPr>
                    <w:jc w:val="center"/>
                    <w:rPr>
                      <w:rFonts w:hint="default" w:ascii="Times New Roman" w:hAnsi="Times New Roman" w:cs="Times New Roman"/>
                      <w:b/>
                      <w:bCs/>
                      <w:color w:val="auto"/>
                      <w:highlight w:val="none"/>
                      <w:lang w:val="en-US" w:eastAsia="zh-CN"/>
                    </w:rPr>
                  </w:pPr>
                  <w:r>
                    <w:rPr>
                      <w:rFonts w:hint="eastAsia" w:ascii="Times New Roman" w:hAnsi="Times New Roman" w:cs="Times New Roman"/>
                      <w:b/>
                      <w:bCs/>
                      <w:color w:val="auto"/>
                      <w:highlight w:val="none"/>
                      <w:lang w:val="en-US" w:eastAsia="zh-CN"/>
                    </w:rPr>
                    <w:t>2024.</w:t>
                  </w:r>
                  <w:r>
                    <w:rPr>
                      <w:rFonts w:hint="eastAsia" w:cs="Times New Roman"/>
                      <w:b/>
                      <w:bCs/>
                      <w:color w:val="auto"/>
                      <w:highlight w:val="none"/>
                      <w:lang w:val="en-US" w:eastAsia="zh-CN"/>
                    </w:rPr>
                    <w:t>12</w:t>
                  </w:r>
                  <w:r>
                    <w:rPr>
                      <w:rFonts w:hint="eastAsia" w:ascii="Times New Roman" w:hAnsi="Times New Roman" w:cs="Times New Roman"/>
                      <w:b/>
                      <w:bCs/>
                      <w:color w:val="auto"/>
                      <w:highlight w:val="none"/>
                      <w:lang w:val="en-US" w:eastAsia="zh-CN"/>
                    </w:rPr>
                    <w:t>.</w:t>
                  </w:r>
                  <w:r>
                    <w:rPr>
                      <w:rFonts w:hint="eastAsia" w:cs="Times New Roman"/>
                      <w:b/>
                      <w:bCs/>
                      <w:color w:val="auto"/>
                      <w:highlight w:val="none"/>
                      <w:lang w:val="en-US" w:eastAsia="zh-CN"/>
                    </w:rPr>
                    <w:t>11</w:t>
                  </w:r>
                </w:p>
              </w:tc>
              <w:tc>
                <w:tcPr>
                  <w:tcW w:w="687" w:type="pct"/>
                  <w:vMerge w:val="continue"/>
                  <w:tcBorders>
                    <w:bottom w:val="single" w:color="auto" w:sz="12" w:space="0"/>
                  </w:tcBorders>
                  <w:vAlign w:val="center"/>
                </w:tcPr>
                <w:p w14:paraId="3FB4DB1E">
                  <w:pPr>
                    <w:jc w:val="center"/>
                    <w:rPr>
                      <w:rFonts w:hint="eastAsia" w:ascii="Times New Roman" w:hAnsi="Times New Roman" w:cs="Times New Roman"/>
                      <w:b/>
                      <w:bCs/>
                      <w:color w:val="auto"/>
                      <w:highlight w:val="none"/>
                    </w:rPr>
                  </w:pPr>
                </w:p>
              </w:tc>
              <w:tc>
                <w:tcPr>
                  <w:tcW w:w="688" w:type="pct"/>
                  <w:vMerge w:val="continue"/>
                  <w:tcBorders>
                    <w:bottom w:val="single" w:color="auto" w:sz="12" w:space="0"/>
                  </w:tcBorders>
                  <w:vAlign w:val="center"/>
                </w:tcPr>
                <w:p w14:paraId="1CDAF646">
                  <w:pPr>
                    <w:jc w:val="center"/>
                    <w:rPr>
                      <w:rFonts w:hint="eastAsia" w:ascii="Times New Roman" w:hAnsi="Times New Roman" w:cs="Times New Roman"/>
                      <w:b/>
                      <w:bCs/>
                      <w:color w:val="auto"/>
                      <w:highlight w:val="none"/>
                    </w:rPr>
                  </w:pPr>
                </w:p>
              </w:tc>
            </w:tr>
            <w:tr w14:paraId="4044A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restart"/>
                  <w:tcBorders>
                    <w:top w:val="single" w:color="auto" w:sz="12" w:space="0"/>
                  </w:tcBorders>
                  <w:vAlign w:val="center"/>
                </w:tcPr>
                <w:p w14:paraId="4F20D528">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rPr>
                    <w:t>厂界东外1m处▲1</w:t>
                  </w:r>
                </w:p>
              </w:tc>
              <w:tc>
                <w:tcPr>
                  <w:tcW w:w="797" w:type="pct"/>
                  <w:tcBorders>
                    <w:top w:val="single" w:color="auto" w:sz="12" w:space="0"/>
                  </w:tcBorders>
                  <w:shd w:val="clear" w:color="auto" w:fill="auto"/>
                  <w:vAlign w:val="center"/>
                </w:tcPr>
                <w:p w14:paraId="43EE2CB4">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昼间</w:t>
                  </w:r>
                </w:p>
              </w:tc>
              <w:tc>
                <w:tcPr>
                  <w:tcW w:w="826" w:type="pct"/>
                  <w:tcBorders>
                    <w:top w:val="single" w:color="auto" w:sz="12" w:space="0"/>
                  </w:tcBorders>
                  <w:shd w:val="clear" w:color="auto" w:fill="auto"/>
                  <w:vAlign w:val="center"/>
                </w:tcPr>
                <w:p w14:paraId="44545A63">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57.5</w:t>
                  </w:r>
                </w:p>
              </w:tc>
              <w:tc>
                <w:tcPr>
                  <w:tcW w:w="826" w:type="pct"/>
                  <w:tcBorders>
                    <w:top w:val="single" w:color="auto" w:sz="12" w:space="0"/>
                  </w:tcBorders>
                  <w:shd w:val="clear" w:color="auto" w:fill="auto"/>
                  <w:vAlign w:val="center"/>
                </w:tcPr>
                <w:p w14:paraId="3AB8D564">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58.5</w:t>
                  </w:r>
                </w:p>
              </w:tc>
              <w:tc>
                <w:tcPr>
                  <w:tcW w:w="687" w:type="pct"/>
                  <w:tcBorders>
                    <w:top w:val="single" w:color="auto" w:sz="12" w:space="0"/>
                  </w:tcBorders>
                  <w:vAlign w:val="center"/>
                </w:tcPr>
                <w:p w14:paraId="021EE824">
                  <w:pPr>
                    <w:jc w:val="center"/>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60</w:t>
                  </w:r>
                </w:p>
              </w:tc>
              <w:tc>
                <w:tcPr>
                  <w:tcW w:w="688" w:type="pct"/>
                  <w:tcBorders>
                    <w:top w:val="single" w:color="auto" w:sz="12" w:space="0"/>
                  </w:tcBorders>
                  <w:vAlign w:val="center"/>
                </w:tcPr>
                <w:p w14:paraId="162A9906">
                  <w:pPr>
                    <w:jc w:val="center"/>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达标</w:t>
                  </w:r>
                </w:p>
              </w:tc>
            </w:tr>
            <w:tr w14:paraId="707EB0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continue"/>
                  <w:vAlign w:val="center"/>
                </w:tcPr>
                <w:p w14:paraId="59239276">
                  <w:pPr>
                    <w:jc w:val="center"/>
                    <w:rPr>
                      <w:rFonts w:hint="eastAsia" w:ascii="Times New Roman" w:hAnsi="Times New Roman" w:cs="Times New Roman"/>
                      <w:color w:val="auto"/>
                      <w:highlight w:val="none"/>
                    </w:rPr>
                  </w:pPr>
                </w:p>
              </w:tc>
              <w:tc>
                <w:tcPr>
                  <w:tcW w:w="797" w:type="pct"/>
                  <w:shd w:val="clear" w:color="auto" w:fill="auto"/>
                  <w:vAlign w:val="center"/>
                </w:tcPr>
                <w:p w14:paraId="2F793D55">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夜间</w:t>
                  </w:r>
                </w:p>
              </w:tc>
              <w:tc>
                <w:tcPr>
                  <w:tcW w:w="826" w:type="pct"/>
                  <w:shd w:val="clear" w:color="auto" w:fill="auto"/>
                  <w:vAlign w:val="center"/>
                </w:tcPr>
                <w:p w14:paraId="398ECEAA">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48.6</w:t>
                  </w:r>
                </w:p>
              </w:tc>
              <w:tc>
                <w:tcPr>
                  <w:tcW w:w="826" w:type="pct"/>
                  <w:shd w:val="clear" w:color="auto" w:fill="auto"/>
                  <w:vAlign w:val="center"/>
                </w:tcPr>
                <w:p w14:paraId="4A65DC70">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48.8</w:t>
                  </w:r>
                </w:p>
              </w:tc>
              <w:tc>
                <w:tcPr>
                  <w:tcW w:w="687" w:type="pct"/>
                  <w:vAlign w:val="center"/>
                </w:tcPr>
                <w:p w14:paraId="1EB83B28">
                  <w:pPr>
                    <w:jc w:val="center"/>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50</w:t>
                  </w:r>
                </w:p>
              </w:tc>
              <w:tc>
                <w:tcPr>
                  <w:tcW w:w="688" w:type="pct"/>
                  <w:vAlign w:val="center"/>
                </w:tcPr>
                <w:p w14:paraId="1BBCF0E5">
                  <w:pPr>
                    <w:jc w:val="center"/>
                    <w:rPr>
                      <w:rFonts w:hint="eastAsia"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达标</w:t>
                  </w:r>
                </w:p>
              </w:tc>
            </w:tr>
            <w:tr w14:paraId="7DE2DE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restart"/>
                  <w:vAlign w:val="center"/>
                </w:tcPr>
                <w:p w14:paraId="60D46CB0">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rPr>
                    <w:t>厂界南外1m处▲2</w:t>
                  </w:r>
                </w:p>
              </w:tc>
              <w:tc>
                <w:tcPr>
                  <w:tcW w:w="797" w:type="pct"/>
                  <w:shd w:val="clear" w:color="auto" w:fill="auto"/>
                  <w:vAlign w:val="center"/>
                </w:tcPr>
                <w:p w14:paraId="370FDD45">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昼间</w:t>
                  </w:r>
                </w:p>
              </w:tc>
              <w:tc>
                <w:tcPr>
                  <w:tcW w:w="826" w:type="pct"/>
                  <w:shd w:val="clear" w:color="auto" w:fill="auto"/>
                  <w:vAlign w:val="center"/>
                </w:tcPr>
                <w:p w14:paraId="6FEA9BAD">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58.5</w:t>
                  </w:r>
                </w:p>
              </w:tc>
              <w:tc>
                <w:tcPr>
                  <w:tcW w:w="826" w:type="pct"/>
                  <w:shd w:val="clear" w:color="auto" w:fill="auto"/>
                  <w:vAlign w:val="center"/>
                </w:tcPr>
                <w:p w14:paraId="6E3B3B1D">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57.7</w:t>
                  </w:r>
                </w:p>
              </w:tc>
              <w:tc>
                <w:tcPr>
                  <w:tcW w:w="687" w:type="pct"/>
                  <w:vAlign w:val="center"/>
                </w:tcPr>
                <w:p w14:paraId="02A5DD37">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60</w:t>
                  </w:r>
                </w:p>
              </w:tc>
              <w:tc>
                <w:tcPr>
                  <w:tcW w:w="688" w:type="pct"/>
                  <w:vAlign w:val="center"/>
                </w:tcPr>
                <w:p w14:paraId="54CD7D09">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达标</w:t>
                  </w:r>
                </w:p>
              </w:tc>
            </w:tr>
            <w:tr w14:paraId="5D964F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continue"/>
                  <w:vAlign w:val="center"/>
                </w:tcPr>
                <w:p w14:paraId="3F1DBBFB">
                  <w:pPr>
                    <w:jc w:val="center"/>
                    <w:rPr>
                      <w:rFonts w:hint="eastAsia" w:ascii="Times New Roman" w:hAnsi="Times New Roman" w:cs="Times New Roman"/>
                      <w:color w:val="auto"/>
                      <w:highlight w:val="none"/>
                    </w:rPr>
                  </w:pPr>
                </w:p>
              </w:tc>
              <w:tc>
                <w:tcPr>
                  <w:tcW w:w="797" w:type="pct"/>
                  <w:shd w:val="clear" w:color="auto" w:fill="auto"/>
                  <w:vAlign w:val="center"/>
                </w:tcPr>
                <w:p w14:paraId="7AD21EF0">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夜间</w:t>
                  </w:r>
                </w:p>
              </w:tc>
              <w:tc>
                <w:tcPr>
                  <w:tcW w:w="826" w:type="pct"/>
                  <w:shd w:val="clear" w:color="auto" w:fill="auto"/>
                  <w:vAlign w:val="center"/>
                </w:tcPr>
                <w:p w14:paraId="34B4B73B">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49.7</w:t>
                  </w:r>
                </w:p>
              </w:tc>
              <w:tc>
                <w:tcPr>
                  <w:tcW w:w="826" w:type="pct"/>
                  <w:shd w:val="clear" w:color="auto" w:fill="auto"/>
                  <w:vAlign w:val="center"/>
                </w:tcPr>
                <w:p w14:paraId="252E49F5">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49.0</w:t>
                  </w:r>
                </w:p>
              </w:tc>
              <w:tc>
                <w:tcPr>
                  <w:tcW w:w="687" w:type="pct"/>
                  <w:vAlign w:val="center"/>
                </w:tcPr>
                <w:p w14:paraId="58C9BB3E">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50</w:t>
                  </w:r>
                </w:p>
              </w:tc>
              <w:tc>
                <w:tcPr>
                  <w:tcW w:w="688" w:type="pct"/>
                  <w:vAlign w:val="center"/>
                </w:tcPr>
                <w:p w14:paraId="7CA40FE2">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eastAsia="zh-CN"/>
                    </w:rPr>
                    <w:t>达标</w:t>
                  </w:r>
                </w:p>
              </w:tc>
            </w:tr>
            <w:tr w14:paraId="24EACF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restart"/>
                  <w:vAlign w:val="center"/>
                </w:tcPr>
                <w:p w14:paraId="05C94A7B">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rPr>
                    <w:t>厂界西外1m处▲3</w:t>
                  </w:r>
                </w:p>
              </w:tc>
              <w:tc>
                <w:tcPr>
                  <w:tcW w:w="797" w:type="pct"/>
                  <w:shd w:val="clear" w:color="auto" w:fill="auto"/>
                  <w:vAlign w:val="center"/>
                </w:tcPr>
                <w:p w14:paraId="714718BD">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昼间</w:t>
                  </w:r>
                </w:p>
              </w:tc>
              <w:tc>
                <w:tcPr>
                  <w:tcW w:w="826" w:type="pct"/>
                  <w:shd w:val="clear" w:color="auto" w:fill="auto"/>
                  <w:vAlign w:val="center"/>
                </w:tcPr>
                <w:p w14:paraId="6FECC877">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58.3</w:t>
                  </w:r>
                </w:p>
              </w:tc>
              <w:tc>
                <w:tcPr>
                  <w:tcW w:w="826" w:type="pct"/>
                  <w:shd w:val="clear" w:color="auto" w:fill="auto"/>
                  <w:vAlign w:val="center"/>
                </w:tcPr>
                <w:p w14:paraId="0D1026C6">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57.0</w:t>
                  </w:r>
                </w:p>
              </w:tc>
              <w:tc>
                <w:tcPr>
                  <w:tcW w:w="687" w:type="pct"/>
                  <w:vAlign w:val="center"/>
                </w:tcPr>
                <w:p w14:paraId="2D9E2A93">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60</w:t>
                  </w:r>
                </w:p>
              </w:tc>
              <w:tc>
                <w:tcPr>
                  <w:tcW w:w="688" w:type="pct"/>
                  <w:vAlign w:val="center"/>
                </w:tcPr>
                <w:p w14:paraId="4EB90043">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达标</w:t>
                  </w:r>
                </w:p>
              </w:tc>
            </w:tr>
            <w:tr w14:paraId="0BDD74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continue"/>
                  <w:vAlign w:val="center"/>
                </w:tcPr>
                <w:p w14:paraId="71683915">
                  <w:pPr>
                    <w:jc w:val="center"/>
                    <w:rPr>
                      <w:rFonts w:hint="eastAsia" w:ascii="Times New Roman" w:hAnsi="Times New Roman" w:cs="Times New Roman"/>
                      <w:color w:val="auto"/>
                      <w:highlight w:val="none"/>
                    </w:rPr>
                  </w:pPr>
                </w:p>
              </w:tc>
              <w:tc>
                <w:tcPr>
                  <w:tcW w:w="797" w:type="pct"/>
                  <w:shd w:val="clear" w:color="auto" w:fill="auto"/>
                  <w:vAlign w:val="center"/>
                </w:tcPr>
                <w:p w14:paraId="309A1FE8">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夜间</w:t>
                  </w:r>
                </w:p>
              </w:tc>
              <w:tc>
                <w:tcPr>
                  <w:tcW w:w="826" w:type="pct"/>
                  <w:shd w:val="clear" w:color="auto" w:fill="auto"/>
                  <w:vAlign w:val="center"/>
                </w:tcPr>
                <w:p w14:paraId="75E0C172">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47.6</w:t>
                  </w:r>
                </w:p>
              </w:tc>
              <w:tc>
                <w:tcPr>
                  <w:tcW w:w="826" w:type="pct"/>
                  <w:shd w:val="clear" w:color="auto" w:fill="auto"/>
                  <w:vAlign w:val="center"/>
                </w:tcPr>
                <w:p w14:paraId="181FFBB0">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49.3</w:t>
                  </w:r>
                </w:p>
              </w:tc>
              <w:tc>
                <w:tcPr>
                  <w:tcW w:w="687" w:type="pct"/>
                  <w:vAlign w:val="center"/>
                </w:tcPr>
                <w:p w14:paraId="466BA7AC">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50</w:t>
                  </w:r>
                </w:p>
              </w:tc>
              <w:tc>
                <w:tcPr>
                  <w:tcW w:w="688" w:type="pct"/>
                  <w:vAlign w:val="center"/>
                </w:tcPr>
                <w:p w14:paraId="5C18BB0C">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eastAsia="zh-CN"/>
                    </w:rPr>
                    <w:t>达标</w:t>
                  </w:r>
                </w:p>
              </w:tc>
            </w:tr>
            <w:tr w14:paraId="0E0DA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restart"/>
                  <w:vAlign w:val="center"/>
                </w:tcPr>
                <w:p w14:paraId="3E641811">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rPr>
                    <w:t>厂界北外1m处▲4</w:t>
                  </w:r>
                </w:p>
              </w:tc>
              <w:tc>
                <w:tcPr>
                  <w:tcW w:w="797" w:type="pct"/>
                  <w:shd w:val="clear" w:color="auto" w:fill="auto"/>
                  <w:vAlign w:val="center"/>
                </w:tcPr>
                <w:p w14:paraId="0EB20355">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昼间</w:t>
                  </w:r>
                </w:p>
              </w:tc>
              <w:tc>
                <w:tcPr>
                  <w:tcW w:w="826" w:type="pct"/>
                  <w:shd w:val="clear" w:color="auto" w:fill="auto"/>
                  <w:vAlign w:val="center"/>
                </w:tcPr>
                <w:p w14:paraId="1E36272A">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57.2</w:t>
                  </w:r>
                </w:p>
              </w:tc>
              <w:tc>
                <w:tcPr>
                  <w:tcW w:w="826" w:type="pct"/>
                  <w:shd w:val="clear" w:color="auto" w:fill="auto"/>
                  <w:vAlign w:val="center"/>
                </w:tcPr>
                <w:p w14:paraId="3ED5E6DF">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57.4</w:t>
                  </w:r>
                </w:p>
              </w:tc>
              <w:tc>
                <w:tcPr>
                  <w:tcW w:w="687" w:type="pct"/>
                  <w:vAlign w:val="center"/>
                </w:tcPr>
                <w:p w14:paraId="3DC94319">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60</w:t>
                  </w:r>
                </w:p>
              </w:tc>
              <w:tc>
                <w:tcPr>
                  <w:tcW w:w="688" w:type="pct"/>
                  <w:vAlign w:val="center"/>
                </w:tcPr>
                <w:p w14:paraId="6DC164DD">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达标</w:t>
                  </w:r>
                </w:p>
              </w:tc>
            </w:tr>
            <w:tr w14:paraId="5AB695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74" w:type="pct"/>
                  <w:vMerge w:val="continue"/>
                  <w:vAlign w:val="center"/>
                </w:tcPr>
                <w:p w14:paraId="4619990C">
                  <w:pPr>
                    <w:jc w:val="center"/>
                    <w:rPr>
                      <w:rFonts w:hint="eastAsia" w:ascii="Times New Roman" w:hAnsi="Times New Roman" w:cs="Times New Roman"/>
                      <w:color w:val="auto"/>
                      <w:highlight w:val="none"/>
                    </w:rPr>
                  </w:pPr>
                </w:p>
              </w:tc>
              <w:tc>
                <w:tcPr>
                  <w:tcW w:w="797" w:type="pct"/>
                  <w:shd w:val="clear" w:color="auto" w:fill="auto"/>
                  <w:vAlign w:val="center"/>
                </w:tcPr>
                <w:p w14:paraId="52DCDD74">
                  <w:pPr>
                    <w:jc w:val="cente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夜间</w:t>
                  </w:r>
                </w:p>
              </w:tc>
              <w:tc>
                <w:tcPr>
                  <w:tcW w:w="826" w:type="pct"/>
                  <w:shd w:val="clear" w:color="auto" w:fill="auto"/>
                  <w:vAlign w:val="center"/>
                </w:tcPr>
                <w:p w14:paraId="239501E4">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47.7</w:t>
                  </w:r>
                </w:p>
              </w:tc>
              <w:tc>
                <w:tcPr>
                  <w:tcW w:w="826" w:type="pct"/>
                  <w:shd w:val="clear" w:color="auto" w:fill="auto"/>
                  <w:vAlign w:val="center"/>
                </w:tcPr>
                <w:p w14:paraId="488047BC">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48.4</w:t>
                  </w:r>
                </w:p>
              </w:tc>
              <w:tc>
                <w:tcPr>
                  <w:tcW w:w="687" w:type="pct"/>
                  <w:vAlign w:val="center"/>
                </w:tcPr>
                <w:p w14:paraId="1EA7C647">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50</w:t>
                  </w:r>
                </w:p>
              </w:tc>
              <w:tc>
                <w:tcPr>
                  <w:tcW w:w="688" w:type="pct"/>
                  <w:vAlign w:val="center"/>
                </w:tcPr>
                <w:p w14:paraId="66959A87">
                  <w:pPr>
                    <w:jc w:val="center"/>
                    <w:rPr>
                      <w:rFonts w:hint="eastAsia" w:ascii="Times New Roman" w:hAnsi="Times New Roman" w:cs="Times New Roman"/>
                      <w:color w:val="auto"/>
                      <w:highlight w:val="none"/>
                    </w:rPr>
                  </w:pPr>
                  <w:r>
                    <w:rPr>
                      <w:rFonts w:hint="eastAsia" w:ascii="Times New Roman" w:hAnsi="Times New Roman" w:cs="Times New Roman"/>
                      <w:color w:val="auto"/>
                      <w:highlight w:val="none"/>
                      <w:lang w:eastAsia="zh-CN"/>
                    </w:rPr>
                    <w:t>达标</w:t>
                  </w:r>
                </w:p>
              </w:tc>
            </w:tr>
          </w:tbl>
          <w:p w14:paraId="42C4CCCA">
            <w:pPr>
              <w:adjustRightInd/>
              <w:snapToGrid/>
              <w:spacing w:line="360" w:lineRule="auto"/>
              <w:ind w:firstLine="480" w:firstLineChars="200"/>
              <w:rPr>
                <w:color w:val="auto"/>
                <w:sz w:val="24"/>
                <w:highlight w:val="none"/>
              </w:rPr>
            </w:pPr>
            <w:r>
              <w:rPr>
                <w:color w:val="auto"/>
                <w:sz w:val="24"/>
                <w:highlight w:val="none"/>
              </w:rPr>
              <w:t>由</w:t>
            </w:r>
            <w:r>
              <w:rPr>
                <w:rFonts w:hint="eastAsia"/>
                <w:color w:val="auto"/>
                <w:sz w:val="24"/>
                <w:highlight w:val="none"/>
              </w:rPr>
              <w:t>上</w:t>
            </w:r>
            <w:r>
              <w:rPr>
                <w:color w:val="auto"/>
                <w:sz w:val="24"/>
                <w:highlight w:val="none"/>
              </w:rPr>
              <w:t>表</w:t>
            </w:r>
            <w:r>
              <w:rPr>
                <w:rFonts w:hint="eastAsia"/>
                <w:color w:val="auto"/>
                <w:sz w:val="24"/>
                <w:highlight w:val="none"/>
              </w:rPr>
              <w:t>可知</w:t>
            </w:r>
            <w:r>
              <w:rPr>
                <w:color w:val="auto"/>
                <w:sz w:val="24"/>
                <w:highlight w:val="none"/>
              </w:rPr>
              <w:t>，</w:t>
            </w:r>
            <w:r>
              <w:rPr>
                <w:rFonts w:hint="eastAsia"/>
                <w:color w:val="auto"/>
                <w:sz w:val="24"/>
                <w:highlight w:val="none"/>
                <w:lang w:eastAsia="zh-CN"/>
              </w:rPr>
              <w:t>续建工程</w:t>
            </w:r>
            <w:r>
              <w:rPr>
                <w:rFonts w:hint="eastAsia" w:eastAsiaTheme="minorEastAsia"/>
                <w:color w:val="auto"/>
                <w:sz w:val="24"/>
                <w:highlight w:val="none"/>
                <w:lang w:eastAsia="zh-CN"/>
              </w:rPr>
              <w:t>建成后，</w:t>
            </w:r>
            <w:r>
              <w:rPr>
                <w:color w:val="auto"/>
                <w:sz w:val="24"/>
                <w:highlight w:val="none"/>
              </w:rPr>
              <w:t>厂界</w:t>
            </w:r>
            <w:r>
              <w:rPr>
                <w:rFonts w:hint="eastAsia"/>
                <w:color w:val="auto"/>
                <w:sz w:val="24"/>
                <w:highlight w:val="none"/>
                <w:lang w:eastAsia="zh-CN"/>
              </w:rPr>
              <w:t>的</w:t>
            </w:r>
            <w:r>
              <w:rPr>
                <w:color w:val="auto"/>
                <w:sz w:val="24"/>
                <w:highlight w:val="none"/>
              </w:rPr>
              <w:t>噪声监测结果</w:t>
            </w:r>
            <w:r>
              <w:rPr>
                <w:rFonts w:hint="eastAsia"/>
                <w:color w:val="auto"/>
                <w:sz w:val="24"/>
                <w:highlight w:val="none"/>
                <w:lang w:eastAsia="zh-CN"/>
              </w:rPr>
              <w:t>均</w:t>
            </w:r>
            <w:r>
              <w:rPr>
                <w:color w:val="auto"/>
                <w:sz w:val="24"/>
                <w:highlight w:val="none"/>
              </w:rPr>
              <w:t>满足</w:t>
            </w:r>
            <w:r>
              <w:rPr>
                <w:rFonts w:hint="eastAsia"/>
                <w:color w:val="auto"/>
                <w:sz w:val="24"/>
                <w:highlight w:val="none"/>
              </w:rPr>
              <w:t>《工业企业厂界环境噪声排放标准》（GB12348-2008）</w:t>
            </w:r>
            <w:r>
              <w:rPr>
                <w:rFonts w:hint="eastAsia"/>
                <w:color w:val="auto"/>
                <w:sz w:val="24"/>
                <w:highlight w:val="none"/>
                <w:lang w:val="en-US" w:eastAsia="zh-CN"/>
              </w:rPr>
              <w:t>2</w:t>
            </w:r>
            <w:r>
              <w:rPr>
                <w:rFonts w:hint="eastAsia"/>
                <w:color w:val="auto"/>
                <w:sz w:val="24"/>
                <w:highlight w:val="none"/>
              </w:rPr>
              <w:t>类</w:t>
            </w:r>
            <w:r>
              <w:rPr>
                <w:color w:val="auto"/>
                <w:sz w:val="24"/>
                <w:highlight w:val="none"/>
              </w:rPr>
              <w:t>标准</w:t>
            </w:r>
            <w:r>
              <w:rPr>
                <w:rFonts w:hint="eastAsia"/>
                <w:color w:val="auto"/>
                <w:sz w:val="24"/>
                <w:highlight w:val="none"/>
              </w:rPr>
              <w:t>限值要求</w:t>
            </w:r>
            <w:r>
              <w:rPr>
                <w:color w:val="auto"/>
                <w:sz w:val="24"/>
                <w:highlight w:val="none"/>
              </w:rPr>
              <w:t>。</w:t>
            </w:r>
          </w:p>
          <w:p w14:paraId="48E04496">
            <w:pPr>
              <w:adjustRightInd/>
              <w:snapToGrid/>
              <w:spacing w:line="360" w:lineRule="auto"/>
              <w:ind w:firstLine="480" w:firstLineChars="200"/>
              <w:rPr>
                <w:color w:val="auto"/>
                <w:sz w:val="24"/>
                <w:highlight w:val="none"/>
              </w:rPr>
            </w:pPr>
          </w:p>
          <w:p w14:paraId="4308906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7.3污染物排放总量核算</w:t>
            </w:r>
          </w:p>
          <w:p w14:paraId="3F20120A">
            <w:pPr>
              <w:adjustRightInd/>
              <w:snapToGrid/>
              <w:spacing w:line="360" w:lineRule="auto"/>
              <w:ind w:firstLine="480" w:firstLineChars="200"/>
              <w:rPr>
                <w:rFonts w:hint="eastAsia" w:eastAsiaTheme="minorEastAsia"/>
                <w:color w:val="auto"/>
                <w:sz w:val="24"/>
                <w:szCs w:val="24"/>
                <w:highlight w:val="none"/>
                <w:lang w:eastAsia="zh-CN"/>
              </w:rPr>
            </w:pPr>
            <w:r>
              <w:rPr>
                <w:rFonts w:hint="eastAsia"/>
                <w:color w:val="auto"/>
                <w:sz w:val="24"/>
                <w:szCs w:val="24"/>
                <w:highlight w:val="none"/>
                <w:lang w:eastAsia="zh-CN"/>
              </w:rPr>
              <w:t>根据项目环境影响报告表及环评批复，续建工程</w:t>
            </w:r>
            <w:r>
              <w:rPr>
                <w:rFonts w:hint="eastAsia" w:eastAsiaTheme="minorEastAsia"/>
                <w:color w:val="auto"/>
                <w:sz w:val="24"/>
                <w:szCs w:val="24"/>
                <w:highlight w:val="none"/>
                <w:lang w:eastAsia="zh-CN"/>
              </w:rPr>
              <w:t>燃气内燃发电机组排气筒烟粉尘、二氧化硫、氮氧化物排放量应分别控制在0.290吨/年、1.994吨/年、9.818吨/年的总量指标以内；化学需氧量、氨氮排放量应分别控制在</w:t>
            </w:r>
            <w:r>
              <w:rPr>
                <w:rFonts w:hint="eastAsia" w:eastAsiaTheme="minorEastAsia"/>
                <w:color w:val="auto"/>
                <w:sz w:val="24"/>
                <w:szCs w:val="24"/>
                <w:highlight w:val="none"/>
                <w:lang w:val="en-US" w:eastAsia="zh-CN"/>
              </w:rPr>
              <w:t>0.03吨/年</w:t>
            </w:r>
            <w:r>
              <w:rPr>
                <w:rFonts w:hint="eastAsia" w:eastAsiaTheme="minorEastAsia"/>
                <w:color w:val="auto"/>
                <w:sz w:val="24"/>
                <w:szCs w:val="24"/>
                <w:highlight w:val="none"/>
                <w:lang w:eastAsia="zh-CN"/>
              </w:rPr>
              <w:t>、0.0</w:t>
            </w:r>
            <w:r>
              <w:rPr>
                <w:rFonts w:hint="eastAsia" w:eastAsiaTheme="minorEastAsia"/>
                <w:color w:val="auto"/>
                <w:sz w:val="24"/>
                <w:szCs w:val="24"/>
                <w:highlight w:val="none"/>
                <w:lang w:val="en-US" w:eastAsia="zh-CN"/>
              </w:rPr>
              <w:t>03</w:t>
            </w:r>
            <w:r>
              <w:rPr>
                <w:rFonts w:hint="eastAsia" w:eastAsiaTheme="minorEastAsia"/>
                <w:color w:val="auto"/>
                <w:sz w:val="24"/>
                <w:szCs w:val="24"/>
                <w:highlight w:val="none"/>
                <w:lang w:eastAsia="zh-CN"/>
              </w:rPr>
              <w:t>吨/年以内，纳入长山口生活垃圾填埋场统一管理。</w:t>
            </w:r>
          </w:p>
          <w:p w14:paraId="6BFC4A8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rPr>
              <w:t>7.3.1废水污染物排放总量</w:t>
            </w:r>
          </w:p>
          <w:p w14:paraId="7230FD2B">
            <w:pPr>
              <w:adjustRightInd/>
              <w:snapToGrid/>
              <w:spacing w:line="360" w:lineRule="auto"/>
              <w:ind w:firstLine="480" w:firstLineChars="200"/>
              <w:rPr>
                <w:color w:val="auto"/>
                <w:sz w:val="24"/>
                <w:szCs w:val="24"/>
                <w:highlight w:val="none"/>
              </w:rPr>
            </w:pPr>
            <w:r>
              <w:rPr>
                <w:rFonts w:hint="eastAsia"/>
                <w:color w:val="auto"/>
                <w:kern w:val="0"/>
                <w:sz w:val="24"/>
                <w:szCs w:val="24"/>
                <w:highlight w:val="none"/>
                <w:lang w:eastAsia="zh-CN"/>
              </w:rPr>
              <w:t>续建工程</w:t>
            </w:r>
            <w:r>
              <w:rPr>
                <w:rFonts w:hint="eastAsia"/>
                <w:color w:val="auto"/>
                <w:kern w:val="0"/>
                <w:sz w:val="24"/>
                <w:szCs w:val="24"/>
                <w:highlight w:val="none"/>
              </w:rPr>
              <w:t>产生的废水主要为填埋气冷凝废水。项目填埋气冷凝废水直接排入</w:t>
            </w:r>
            <w:r>
              <w:rPr>
                <w:rFonts w:hint="eastAsia"/>
                <w:color w:val="auto"/>
                <w:kern w:val="0"/>
                <w:sz w:val="24"/>
                <w:szCs w:val="24"/>
                <w:highlight w:val="none"/>
                <w:lang w:eastAsia="zh-CN"/>
              </w:rPr>
              <w:t>长山口生活垃圾填埋场</w:t>
            </w:r>
            <w:r>
              <w:rPr>
                <w:rFonts w:hint="eastAsia"/>
                <w:color w:val="auto"/>
                <w:kern w:val="0"/>
                <w:sz w:val="24"/>
                <w:szCs w:val="24"/>
                <w:highlight w:val="none"/>
              </w:rPr>
              <w:t>现有渗滤液处理站</w:t>
            </w:r>
            <w:r>
              <w:rPr>
                <w:rFonts w:hint="eastAsia"/>
                <w:color w:val="auto"/>
                <w:kern w:val="0"/>
                <w:sz w:val="24"/>
                <w:szCs w:val="24"/>
                <w:highlight w:val="none"/>
                <w:lang w:eastAsia="zh-CN"/>
              </w:rPr>
              <w:t>，依托长山口生活垃圾卫生填埋场污水</w:t>
            </w:r>
            <w:r>
              <w:rPr>
                <w:rFonts w:hint="eastAsia"/>
                <w:color w:val="auto"/>
                <w:kern w:val="0"/>
                <w:sz w:val="24"/>
                <w:szCs w:val="24"/>
                <w:highlight w:val="none"/>
              </w:rPr>
              <w:t>处理站处理达标后排入</w:t>
            </w:r>
            <w:r>
              <w:rPr>
                <w:rFonts w:hint="eastAsia"/>
                <w:color w:val="auto"/>
                <w:kern w:val="0"/>
                <w:sz w:val="24"/>
                <w:szCs w:val="24"/>
                <w:highlight w:val="none"/>
                <w:lang w:eastAsia="zh-CN"/>
              </w:rPr>
              <w:t>金口污水处理厂</w:t>
            </w:r>
            <w:r>
              <w:rPr>
                <w:rFonts w:hint="eastAsia"/>
                <w:color w:val="auto"/>
                <w:kern w:val="0"/>
                <w:sz w:val="24"/>
                <w:szCs w:val="24"/>
                <w:highlight w:val="none"/>
              </w:rPr>
              <w:t>进一步处理</w:t>
            </w:r>
            <w:r>
              <w:rPr>
                <w:rFonts w:hint="eastAsia"/>
                <w:color w:val="auto"/>
                <w:sz w:val="24"/>
                <w:szCs w:val="24"/>
                <w:highlight w:val="none"/>
              </w:rPr>
              <w:t>，</w:t>
            </w:r>
            <w:r>
              <w:rPr>
                <w:rFonts w:hint="eastAsia"/>
                <w:color w:val="auto"/>
                <w:kern w:val="0"/>
                <w:sz w:val="24"/>
                <w:szCs w:val="24"/>
                <w:highlight w:val="none"/>
                <w:lang w:eastAsia="zh-CN"/>
              </w:rPr>
              <w:t>金口污水处理厂</w:t>
            </w:r>
            <w:r>
              <w:rPr>
                <w:rFonts w:hint="eastAsia"/>
                <w:color w:val="auto"/>
                <w:sz w:val="24"/>
                <w:highlight w:val="none"/>
              </w:rPr>
              <w:t>出水水质标准为《城镇污水处理厂污染物排放标准》（GB18918-2002）一级A标准：化学需氧量50mg/L、氨氮5mg/L</w:t>
            </w:r>
            <w:r>
              <w:rPr>
                <w:rFonts w:hint="eastAsia"/>
                <w:color w:val="auto"/>
                <w:sz w:val="24"/>
                <w:szCs w:val="24"/>
                <w:highlight w:val="none"/>
              </w:rPr>
              <w:t>。</w:t>
            </w:r>
          </w:p>
          <w:p w14:paraId="14025A41">
            <w:pPr>
              <w:adjustRightInd/>
              <w:snapToGrid/>
              <w:spacing w:line="360" w:lineRule="auto"/>
              <w:ind w:firstLine="480" w:firstLineChars="200"/>
              <w:rPr>
                <w:rFonts w:hint="eastAsia"/>
                <w:color w:val="auto"/>
                <w:sz w:val="24"/>
                <w:szCs w:val="24"/>
                <w:highlight w:val="none"/>
              </w:rPr>
            </w:pPr>
            <w:r>
              <w:rPr>
                <w:rFonts w:hint="eastAsia"/>
                <w:color w:val="auto"/>
                <w:sz w:val="24"/>
                <w:szCs w:val="24"/>
                <w:highlight w:val="none"/>
                <w:lang w:eastAsia="zh-CN"/>
              </w:rPr>
              <w:t>根据《武汉市江夏长山口生活垃圾卫生填埋场填埋气利用发电项目（续建工程）环境影响报告表》（报批本），续建工程</w:t>
            </w:r>
            <w:r>
              <w:rPr>
                <w:rFonts w:hint="eastAsia"/>
                <w:color w:val="auto"/>
                <w:sz w:val="24"/>
                <w:szCs w:val="24"/>
                <w:highlight w:val="none"/>
              </w:rPr>
              <w:t>废水排放量为613.26m</w:t>
            </w:r>
            <w:r>
              <w:rPr>
                <w:rFonts w:hint="eastAsia"/>
                <w:color w:val="auto"/>
                <w:sz w:val="24"/>
                <w:szCs w:val="24"/>
                <w:highlight w:val="none"/>
                <w:vertAlign w:val="superscript"/>
              </w:rPr>
              <w:t>3</w:t>
            </w:r>
            <w:r>
              <w:rPr>
                <w:rFonts w:hint="eastAsia"/>
                <w:color w:val="auto"/>
                <w:sz w:val="24"/>
                <w:szCs w:val="24"/>
                <w:highlight w:val="none"/>
              </w:rPr>
              <w:t>/a。本次验收监测期间，</w:t>
            </w:r>
            <w:r>
              <w:rPr>
                <w:rFonts w:hint="eastAsia"/>
                <w:b/>
                <w:bCs/>
                <w:color w:val="auto"/>
                <w:sz w:val="24"/>
                <w:szCs w:val="24"/>
                <w:highlight w:val="none"/>
                <w:lang w:eastAsia="zh-CN"/>
              </w:rPr>
              <w:t>废水排放量未超过环评核算废水量</w:t>
            </w:r>
            <w:r>
              <w:rPr>
                <w:rFonts w:hint="eastAsia"/>
                <w:color w:val="auto"/>
                <w:sz w:val="24"/>
                <w:szCs w:val="24"/>
                <w:highlight w:val="none"/>
                <w:lang w:eastAsia="zh-CN"/>
              </w:rPr>
              <w:t>，</w:t>
            </w:r>
            <w:r>
              <w:rPr>
                <w:rFonts w:hint="eastAsia"/>
                <w:color w:val="auto"/>
                <w:sz w:val="24"/>
                <w:szCs w:val="24"/>
                <w:highlight w:val="none"/>
              </w:rPr>
              <w:t>废水污染物纳管量见下表。</w:t>
            </w:r>
          </w:p>
          <w:p w14:paraId="7883B946">
            <w:pPr>
              <w:pStyle w:val="2"/>
            </w:pPr>
          </w:p>
          <w:p w14:paraId="5509ABD3">
            <w:pPr>
              <w:pStyle w:val="121"/>
              <w:rPr>
                <w:b/>
                <w:color w:val="auto"/>
                <w:sz w:val="21"/>
                <w:highlight w:val="none"/>
              </w:rPr>
            </w:pPr>
            <w:r>
              <w:rPr>
                <w:b/>
                <w:color w:val="auto"/>
                <w:sz w:val="21"/>
                <w:highlight w:val="none"/>
              </w:rPr>
              <w:t>项目废水污染物纳管量结果一览表</w:t>
            </w:r>
          </w:p>
          <w:tbl>
            <w:tblPr>
              <w:tblStyle w:val="30"/>
              <w:tblW w:w="498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63"/>
              <w:gridCol w:w="1270"/>
              <w:gridCol w:w="1806"/>
              <w:gridCol w:w="2840"/>
              <w:gridCol w:w="2157"/>
            </w:tblGrid>
            <w:tr w14:paraId="6CECB7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963" w:type="dxa"/>
                  <w:tcBorders>
                    <w:bottom w:val="single" w:color="auto" w:sz="12" w:space="0"/>
                  </w:tcBorders>
                  <w:vAlign w:val="center"/>
                </w:tcPr>
                <w:p w14:paraId="4F253B36">
                  <w:pPr>
                    <w:jc w:val="center"/>
                    <w:rPr>
                      <w:b/>
                      <w:color w:val="auto"/>
                      <w:highlight w:val="none"/>
                    </w:rPr>
                  </w:pPr>
                  <w:r>
                    <w:rPr>
                      <w:b/>
                      <w:color w:val="auto"/>
                      <w:highlight w:val="none"/>
                    </w:rPr>
                    <w:t>类别</w:t>
                  </w:r>
                </w:p>
              </w:tc>
              <w:tc>
                <w:tcPr>
                  <w:tcW w:w="1270" w:type="dxa"/>
                  <w:tcBorders>
                    <w:bottom w:val="single" w:color="auto" w:sz="12" w:space="0"/>
                  </w:tcBorders>
                  <w:vAlign w:val="center"/>
                </w:tcPr>
                <w:p w14:paraId="445D7A76">
                  <w:pPr>
                    <w:jc w:val="center"/>
                    <w:rPr>
                      <w:b/>
                      <w:color w:val="auto"/>
                      <w:highlight w:val="none"/>
                    </w:rPr>
                  </w:pPr>
                  <w:r>
                    <w:rPr>
                      <w:b/>
                      <w:color w:val="auto"/>
                      <w:highlight w:val="none"/>
                    </w:rPr>
                    <w:t>废水总量</w:t>
                  </w:r>
                </w:p>
              </w:tc>
              <w:tc>
                <w:tcPr>
                  <w:tcW w:w="1806" w:type="dxa"/>
                  <w:tcBorders>
                    <w:bottom w:val="single" w:color="auto" w:sz="12" w:space="0"/>
                  </w:tcBorders>
                  <w:vAlign w:val="center"/>
                </w:tcPr>
                <w:p w14:paraId="19A8AD88">
                  <w:pPr>
                    <w:jc w:val="center"/>
                    <w:rPr>
                      <w:b/>
                      <w:color w:val="auto"/>
                      <w:highlight w:val="none"/>
                    </w:rPr>
                  </w:pPr>
                  <w:r>
                    <w:rPr>
                      <w:b/>
                      <w:color w:val="auto"/>
                      <w:highlight w:val="none"/>
                    </w:rPr>
                    <w:t>主要污染物</w:t>
                  </w:r>
                </w:p>
              </w:tc>
              <w:tc>
                <w:tcPr>
                  <w:tcW w:w="2840" w:type="dxa"/>
                  <w:tcBorders>
                    <w:bottom w:val="single" w:color="auto" w:sz="12" w:space="0"/>
                  </w:tcBorders>
                  <w:vAlign w:val="center"/>
                </w:tcPr>
                <w:p w14:paraId="7B654D76">
                  <w:pPr>
                    <w:jc w:val="center"/>
                    <w:rPr>
                      <w:b/>
                      <w:color w:val="auto"/>
                      <w:highlight w:val="none"/>
                    </w:rPr>
                  </w:pPr>
                  <w:r>
                    <w:rPr>
                      <w:b/>
                      <w:color w:val="auto"/>
                      <w:highlight w:val="none"/>
                    </w:rPr>
                    <w:t>监测数据均值</w:t>
                  </w:r>
                  <w:r>
                    <w:rPr>
                      <w:rFonts w:hint="eastAsia"/>
                      <w:b/>
                      <w:color w:val="auto"/>
                      <w:highlight w:val="none"/>
                    </w:rPr>
                    <w:t>*</w:t>
                  </w:r>
                </w:p>
              </w:tc>
              <w:tc>
                <w:tcPr>
                  <w:tcW w:w="2157" w:type="dxa"/>
                  <w:tcBorders>
                    <w:bottom w:val="single" w:color="auto" w:sz="12" w:space="0"/>
                  </w:tcBorders>
                  <w:vAlign w:val="center"/>
                </w:tcPr>
                <w:p w14:paraId="6E90648C">
                  <w:pPr>
                    <w:jc w:val="center"/>
                    <w:rPr>
                      <w:b/>
                      <w:color w:val="auto"/>
                      <w:highlight w:val="none"/>
                    </w:rPr>
                  </w:pPr>
                  <w:r>
                    <w:rPr>
                      <w:b/>
                      <w:color w:val="auto"/>
                      <w:highlight w:val="none"/>
                    </w:rPr>
                    <w:t>纳管量</w:t>
                  </w:r>
                </w:p>
              </w:tc>
            </w:tr>
            <w:tr w14:paraId="63801E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963" w:type="dxa"/>
                  <w:vMerge w:val="restart"/>
                  <w:tcBorders>
                    <w:top w:val="single" w:color="auto" w:sz="12" w:space="0"/>
                    <w:tl2br w:val="nil"/>
                    <w:tr2bl w:val="nil"/>
                  </w:tcBorders>
                  <w:vAlign w:val="center"/>
                </w:tcPr>
                <w:p w14:paraId="2F9EEF4A">
                  <w:pPr>
                    <w:jc w:val="center"/>
                    <w:rPr>
                      <w:color w:val="auto"/>
                      <w:highlight w:val="none"/>
                    </w:rPr>
                  </w:pPr>
                  <w:r>
                    <w:rPr>
                      <w:color w:val="auto"/>
                      <w:highlight w:val="none"/>
                    </w:rPr>
                    <w:t>废水</w:t>
                  </w:r>
                </w:p>
              </w:tc>
              <w:tc>
                <w:tcPr>
                  <w:tcW w:w="1270" w:type="dxa"/>
                  <w:vMerge w:val="restart"/>
                  <w:tcBorders>
                    <w:top w:val="single" w:color="auto" w:sz="12" w:space="0"/>
                    <w:tl2br w:val="nil"/>
                    <w:tr2bl w:val="nil"/>
                  </w:tcBorders>
                  <w:vAlign w:val="center"/>
                </w:tcPr>
                <w:p w14:paraId="15B93D91">
                  <w:pPr>
                    <w:jc w:val="center"/>
                    <w:rPr>
                      <w:color w:val="auto"/>
                      <w:highlight w:val="none"/>
                    </w:rPr>
                  </w:pPr>
                  <w:r>
                    <w:rPr>
                      <w:rFonts w:hint="eastAsia"/>
                      <w:color w:val="auto"/>
                      <w:highlight w:val="none"/>
                    </w:rPr>
                    <w:t>613.26</w:t>
                  </w:r>
                  <w:r>
                    <w:rPr>
                      <w:color w:val="auto"/>
                      <w:highlight w:val="none"/>
                    </w:rPr>
                    <w:t>m</w:t>
                  </w:r>
                  <w:r>
                    <w:rPr>
                      <w:color w:val="auto"/>
                      <w:highlight w:val="none"/>
                      <w:vertAlign w:val="superscript"/>
                    </w:rPr>
                    <w:t>3</w:t>
                  </w:r>
                  <w:r>
                    <w:rPr>
                      <w:color w:val="auto"/>
                      <w:highlight w:val="none"/>
                    </w:rPr>
                    <w:t>/a</w:t>
                  </w:r>
                </w:p>
              </w:tc>
              <w:tc>
                <w:tcPr>
                  <w:tcW w:w="1806" w:type="dxa"/>
                  <w:tcBorders>
                    <w:top w:val="single" w:color="auto" w:sz="12" w:space="0"/>
                    <w:tl2br w:val="nil"/>
                    <w:tr2bl w:val="nil"/>
                  </w:tcBorders>
                  <w:vAlign w:val="center"/>
                </w:tcPr>
                <w:p w14:paraId="79C37652">
                  <w:pPr>
                    <w:jc w:val="center"/>
                    <w:rPr>
                      <w:color w:val="auto"/>
                      <w:highlight w:val="none"/>
                    </w:rPr>
                  </w:pPr>
                  <w:r>
                    <w:rPr>
                      <w:color w:val="auto"/>
                      <w:highlight w:val="none"/>
                    </w:rPr>
                    <w:t>化学需氧量</w:t>
                  </w:r>
                </w:p>
              </w:tc>
              <w:tc>
                <w:tcPr>
                  <w:tcW w:w="2840" w:type="dxa"/>
                  <w:tcBorders>
                    <w:top w:val="single" w:color="auto" w:sz="12" w:space="0"/>
                    <w:tl2br w:val="nil"/>
                    <w:tr2bl w:val="nil"/>
                  </w:tcBorders>
                  <w:vAlign w:val="center"/>
                </w:tcPr>
                <w:p w14:paraId="30E56EEF">
                  <w:pPr>
                    <w:widowControl/>
                    <w:jc w:val="center"/>
                    <w:textAlignment w:val="center"/>
                    <w:rPr>
                      <w:color w:val="auto"/>
                      <w:highlight w:val="none"/>
                    </w:rPr>
                  </w:pPr>
                  <w:r>
                    <w:rPr>
                      <w:rFonts w:hint="eastAsia"/>
                      <w:color w:val="auto"/>
                      <w:kern w:val="0"/>
                      <w:highlight w:val="none"/>
                      <w:lang w:val="en-US" w:eastAsia="zh-CN" w:bidi="ar"/>
                    </w:rPr>
                    <w:t>8</w:t>
                  </w:r>
                  <w:r>
                    <w:rPr>
                      <w:color w:val="auto"/>
                      <w:highlight w:val="none"/>
                    </w:rPr>
                    <w:t>mg/L</w:t>
                  </w:r>
                </w:p>
              </w:tc>
              <w:tc>
                <w:tcPr>
                  <w:tcW w:w="2157" w:type="dxa"/>
                  <w:tcBorders>
                    <w:top w:val="single" w:color="auto" w:sz="12" w:space="0"/>
                    <w:tl2br w:val="nil"/>
                    <w:tr2bl w:val="nil"/>
                  </w:tcBorders>
                  <w:vAlign w:val="center"/>
                </w:tcPr>
                <w:p w14:paraId="51D0A90C">
                  <w:pPr>
                    <w:widowControl/>
                    <w:jc w:val="center"/>
                    <w:textAlignment w:val="center"/>
                    <w:rPr>
                      <w:rFonts w:hint="eastAsia" w:ascii="Times New Roman" w:hAnsi="Times New Roman" w:eastAsia="宋体" w:cs="Times New Roman"/>
                      <w:color w:val="auto"/>
                      <w:kern w:val="0"/>
                      <w:highlight w:val="none"/>
                      <w:lang w:eastAsia="zh-CN" w:bidi="ar"/>
                    </w:rPr>
                  </w:pPr>
                  <w:r>
                    <w:rPr>
                      <w:rFonts w:hint="eastAsia" w:cs="Times New Roman"/>
                      <w:color w:val="auto"/>
                      <w:kern w:val="0"/>
                      <w:highlight w:val="none"/>
                      <w:lang w:val="en-US" w:eastAsia="zh-CN" w:bidi="ar"/>
                    </w:rPr>
                    <w:t>0.005</w:t>
                  </w:r>
                  <w:r>
                    <w:rPr>
                      <w:rFonts w:hint="eastAsia" w:ascii="Times New Roman" w:hAnsi="Times New Roman" w:eastAsia="宋体" w:cs="Times New Roman"/>
                      <w:color w:val="auto"/>
                      <w:kern w:val="0"/>
                      <w:highlight w:val="none"/>
                      <w:lang w:bidi="ar"/>
                    </w:rPr>
                    <w:t>t/a</w:t>
                  </w:r>
                </w:p>
              </w:tc>
            </w:tr>
            <w:tr w14:paraId="67840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963" w:type="dxa"/>
                  <w:vMerge w:val="continue"/>
                  <w:tcBorders>
                    <w:tl2br w:val="nil"/>
                    <w:tr2bl w:val="nil"/>
                  </w:tcBorders>
                  <w:vAlign w:val="center"/>
                </w:tcPr>
                <w:p w14:paraId="64A59278">
                  <w:pPr>
                    <w:jc w:val="center"/>
                    <w:rPr>
                      <w:color w:val="auto"/>
                      <w:highlight w:val="none"/>
                    </w:rPr>
                  </w:pPr>
                </w:p>
              </w:tc>
              <w:tc>
                <w:tcPr>
                  <w:tcW w:w="1270" w:type="dxa"/>
                  <w:vMerge w:val="continue"/>
                  <w:tcBorders>
                    <w:tl2br w:val="nil"/>
                    <w:tr2bl w:val="nil"/>
                  </w:tcBorders>
                  <w:vAlign w:val="center"/>
                </w:tcPr>
                <w:p w14:paraId="7AAE1C43">
                  <w:pPr>
                    <w:jc w:val="center"/>
                    <w:rPr>
                      <w:color w:val="auto"/>
                      <w:highlight w:val="none"/>
                    </w:rPr>
                  </w:pPr>
                </w:p>
              </w:tc>
              <w:tc>
                <w:tcPr>
                  <w:tcW w:w="1806" w:type="dxa"/>
                  <w:tcBorders>
                    <w:tl2br w:val="nil"/>
                    <w:tr2bl w:val="nil"/>
                  </w:tcBorders>
                  <w:vAlign w:val="center"/>
                </w:tcPr>
                <w:p w14:paraId="1B053FDB">
                  <w:pPr>
                    <w:jc w:val="center"/>
                    <w:rPr>
                      <w:color w:val="auto"/>
                      <w:highlight w:val="none"/>
                    </w:rPr>
                  </w:pPr>
                  <w:r>
                    <w:rPr>
                      <w:color w:val="auto"/>
                      <w:highlight w:val="none"/>
                    </w:rPr>
                    <w:t>氨氮</w:t>
                  </w:r>
                </w:p>
              </w:tc>
              <w:tc>
                <w:tcPr>
                  <w:tcW w:w="2840" w:type="dxa"/>
                  <w:tcBorders>
                    <w:tl2br w:val="nil"/>
                    <w:tr2bl w:val="nil"/>
                  </w:tcBorders>
                  <w:vAlign w:val="center"/>
                </w:tcPr>
                <w:p w14:paraId="4BAAB25B">
                  <w:pPr>
                    <w:widowControl/>
                    <w:jc w:val="center"/>
                    <w:textAlignment w:val="center"/>
                    <w:rPr>
                      <w:color w:val="auto"/>
                      <w:highlight w:val="none"/>
                    </w:rPr>
                  </w:pPr>
                  <w:r>
                    <w:rPr>
                      <w:rFonts w:hint="eastAsia"/>
                      <w:color w:val="auto"/>
                      <w:kern w:val="0"/>
                      <w:highlight w:val="none"/>
                      <w:lang w:val="en-US" w:eastAsia="zh-CN" w:bidi="ar"/>
                    </w:rPr>
                    <w:t>0.036</w:t>
                  </w:r>
                  <w:r>
                    <w:rPr>
                      <w:color w:val="auto"/>
                      <w:highlight w:val="none"/>
                    </w:rPr>
                    <w:t>mg/L</w:t>
                  </w:r>
                </w:p>
              </w:tc>
              <w:tc>
                <w:tcPr>
                  <w:tcW w:w="2157" w:type="dxa"/>
                  <w:tcBorders>
                    <w:tl2br w:val="nil"/>
                    <w:tr2bl w:val="nil"/>
                  </w:tcBorders>
                  <w:vAlign w:val="center"/>
                </w:tcPr>
                <w:p w14:paraId="71F8C809">
                  <w:pPr>
                    <w:widowControl/>
                    <w:jc w:val="center"/>
                    <w:textAlignment w:val="center"/>
                    <w:rPr>
                      <w:rFonts w:hint="eastAsia" w:ascii="Times New Roman" w:hAnsi="Times New Roman" w:eastAsia="宋体" w:cs="Times New Roman"/>
                      <w:color w:val="auto"/>
                      <w:kern w:val="0"/>
                      <w:highlight w:val="none"/>
                      <w:lang w:eastAsia="zh-CN" w:bidi="ar"/>
                    </w:rPr>
                  </w:pPr>
                  <w:r>
                    <w:rPr>
                      <w:rFonts w:hint="eastAsia" w:cs="Times New Roman"/>
                      <w:color w:val="auto"/>
                      <w:kern w:val="0"/>
                      <w:highlight w:val="none"/>
                      <w:lang w:val="en-US" w:eastAsia="zh-CN" w:bidi="ar"/>
                    </w:rPr>
                    <w:t>2.21×10</w:t>
                  </w:r>
                  <w:r>
                    <w:rPr>
                      <w:rFonts w:hint="eastAsia" w:cs="Times New Roman"/>
                      <w:color w:val="auto"/>
                      <w:kern w:val="0"/>
                      <w:highlight w:val="none"/>
                      <w:vertAlign w:val="superscript"/>
                      <w:lang w:val="en-US" w:eastAsia="zh-CN" w:bidi="ar"/>
                    </w:rPr>
                    <w:t>-5</w:t>
                  </w:r>
                  <w:r>
                    <w:rPr>
                      <w:rFonts w:hint="eastAsia" w:ascii="Times New Roman" w:hAnsi="Times New Roman" w:eastAsia="宋体" w:cs="Times New Roman"/>
                      <w:color w:val="auto"/>
                      <w:kern w:val="0"/>
                      <w:highlight w:val="none"/>
                      <w:lang w:bidi="ar"/>
                    </w:rPr>
                    <w:t>t/a</w:t>
                  </w:r>
                </w:p>
              </w:tc>
            </w:tr>
          </w:tbl>
          <w:p w14:paraId="395751BE">
            <w:pPr>
              <w:jc w:val="left"/>
              <w:rPr>
                <w:rFonts w:hint="eastAsia" w:ascii="Times New Roman" w:hAnsi="Times New Roman" w:eastAsia="宋体" w:cs="Times New Roman"/>
                <w:color w:val="auto"/>
                <w:highlight w:val="none"/>
              </w:rPr>
            </w:pPr>
            <w:r>
              <w:rPr>
                <w:rFonts w:ascii="Times New Roman" w:hAnsi="Times New Roman" w:eastAsia="宋体" w:cs="Times New Roman"/>
                <w:color w:val="auto"/>
                <w:highlight w:val="none"/>
              </w:rPr>
              <w:t>注：以202</w:t>
            </w:r>
            <w:r>
              <w:rPr>
                <w:rFonts w:hint="eastAsia" w:cs="Times New Roman"/>
                <w:color w:val="auto"/>
                <w:highlight w:val="none"/>
                <w:lang w:val="en-US" w:eastAsia="zh-CN"/>
              </w:rPr>
              <w:t>4</w:t>
            </w:r>
            <w:r>
              <w:rPr>
                <w:rFonts w:ascii="Times New Roman" w:hAnsi="Times New Roman" w:eastAsia="宋体" w:cs="Times New Roman"/>
                <w:color w:val="auto"/>
                <w:highlight w:val="none"/>
              </w:rPr>
              <w:t>年</w:t>
            </w:r>
            <w:r>
              <w:rPr>
                <w:rFonts w:hint="eastAsia" w:cs="Times New Roman"/>
                <w:color w:val="auto"/>
                <w:highlight w:val="none"/>
                <w:lang w:val="en-US" w:eastAsia="zh-CN"/>
              </w:rPr>
              <w:t>12</w:t>
            </w:r>
            <w:r>
              <w:rPr>
                <w:rFonts w:ascii="Times New Roman" w:hAnsi="Times New Roman" w:eastAsia="宋体" w:cs="Times New Roman"/>
                <w:color w:val="auto"/>
                <w:highlight w:val="none"/>
              </w:rPr>
              <w:t>月</w:t>
            </w:r>
            <w:r>
              <w:rPr>
                <w:rFonts w:hint="eastAsia" w:cs="Times New Roman"/>
                <w:color w:val="auto"/>
                <w:highlight w:val="none"/>
                <w:lang w:val="en-US" w:eastAsia="zh-CN"/>
              </w:rPr>
              <w:t>10</w:t>
            </w:r>
            <w:r>
              <w:rPr>
                <w:rFonts w:ascii="Times New Roman" w:hAnsi="Times New Roman" w:eastAsia="宋体" w:cs="Times New Roman"/>
                <w:color w:val="auto"/>
                <w:highlight w:val="none"/>
              </w:rPr>
              <w:t>日</w:t>
            </w:r>
            <w:r>
              <w:rPr>
                <w:rFonts w:hint="eastAsia" w:ascii="Times New Roman" w:hAnsi="Times New Roman" w:eastAsia="宋体" w:cs="Times New Roman"/>
                <w:color w:val="auto"/>
                <w:highlight w:val="none"/>
              </w:rPr>
              <w:t>填埋场</w:t>
            </w:r>
            <w:r>
              <w:rPr>
                <w:rFonts w:hint="eastAsia" w:cs="Times New Roman"/>
                <w:color w:val="auto"/>
                <w:highlight w:val="none"/>
                <w:lang w:eastAsia="zh-CN"/>
              </w:rPr>
              <w:t>污水</w:t>
            </w:r>
            <w:r>
              <w:rPr>
                <w:rFonts w:hint="eastAsia" w:ascii="Times New Roman" w:hAnsi="Times New Roman" w:eastAsia="宋体" w:cs="Times New Roman"/>
                <w:color w:val="auto"/>
                <w:highlight w:val="none"/>
              </w:rPr>
              <w:t>处理站</w:t>
            </w:r>
            <w:r>
              <w:rPr>
                <w:rFonts w:hint="eastAsia" w:ascii="Times New Roman" w:hAnsi="Times New Roman" w:eastAsia="宋体" w:cs="Times New Roman"/>
                <w:color w:val="auto"/>
                <w:highlight w:val="none"/>
                <w:lang w:eastAsia="zh-CN"/>
              </w:rPr>
              <w:t>出口</w:t>
            </w:r>
            <w:r>
              <w:rPr>
                <w:rFonts w:ascii="Times New Roman" w:hAnsi="Times New Roman" w:eastAsia="宋体" w:cs="Times New Roman"/>
                <w:color w:val="auto"/>
                <w:highlight w:val="none"/>
              </w:rPr>
              <w:t>的监测数据</w:t>
            </w:r>
            <w:r>
              <w:rPr>
                <w:rFonts w:hint="eastAsia" w:ascii="Times New Roman" w:hAnsi="Times New Roman" w:eastAsia="宋体" w:cs="Times New Roman"/>
                <w:color w:val="auto"/>
                <w:highlight w:val="none"/>
                <w:lang w:eastAsia="zh-CN"/>
              </w:rPr>
              <w:t>日</w:t>
            </w:r>
            <w:r>
              <w:rPr>
                <w:rFonts w:ascii="Times New Roman" w:hAnsi="Times New Roman" w:eastAsia="宋体" w:cs="Times New Roman"/>
                <w:color w:val="auto"/>
                <w:highlight w:val="none"/>
              </w:rPr>
              <w:t>均值进行核算。</w:t>
            </w:r>
          </w:p>
          <w:p w14:paraId="7222EF4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rPr>
            </w:pPr>
            <w:r>
              <w:rPr>
                <w:rFonts w:hint="eastAsia" w:ascii="Times New Roman" w:hAnsi="Times New Roman" w:eastAsia="黑体" w:cs="Times New Roman"/>
                <w:b/>
                <w:color w:val="auto"/>
                <w:sz w:val="24"/>
                <w:szCs w:val="24"/>
                <w:highlight w:val="none"/>
              </w:rPr>
              <w:t>7.3.2废气污染物排放总量</w:t>
            </w:r>
          </w:p>
          <w:p w14:paraId="29C2F4C5">
            <w:pPr>
              <w:adjustRightInd/>
              <w:snapToGrid/>
              <w:spacing w:line="360" w:lineRule="auto"/>
              <w:ind w:firstLine="480" w:firstLineChars="200"/>
              <w:rPr>
                <w:rFonts w:hint="eastAsia"/>
                <w:color w:val="auto"/>
                <w:sz w:val="24"/>
                <w:szCs w:val="24"/>
                <w:highlight w:val="none"/>
              </w:rPr>
            </w:pPr>
            <w:r>
              <w:rPr>
                <w:rFonts w:hint="eastAsia"/>
                <w:color w:val="auto"/>
                <w:sz w:val="24"/>
                <w:szCs w:val="24"/>
                <w:highlight w:val="none"/>
                <w:lang w:eastAsia="zh-CN"/>
              </w:rPr>
              <w:t>续建工程</w:t>
            </w:r>
            <w:r>
              <w:rPr>
                <w:rFonts w:hint="eastAsia"/>
                <w:color w:val="auto"/>
                <w:sz w:val="24"/>
                <w:szCs w:val="24"/>
                <w:highlight w:val="none"/>
              </w:rPr>
              <w:t>废气污染物排放总量结果见下表。</w:t>
            </w:r>
          </w:p>
          <w:p w14:paraId="1B5BC4B9">
            <w:pPr>
              <w:pStyle w:val="121"/>
              <w:rPr>
                <w:b/>
                <w:color w:val="auto"/>
                <w:sz w:val="21"/>
                <w:highlight w:val="none"/>
              </w:rPr>
            </w:pPr>
            <w:r>
              <w:rPr>
                <w:b/>
                <w:color w:val="auto"/>
                <w:sz w:val="21"/>
                <w:highlight w:val="none"/>
              </w:rPr>
              <w:t>项目废气污染物排放总量</w:t>
            </w:r>
            <w:r>
              <w:rPr>
                <w:rFonts w:hint="eastAsia"/>
                <w:b/>
                <w:color w:val="auto"/>
                <w:sz w:val="21"/>
                <w:highlight w:val="none"/>
              </w:rPr>
              <w:t>核算</w:t>
            </w:r>
            <w:r>
              <w:rPr>
                <w:b/>
                <w:color w:val="auto"/>
                <w:sz w:val="21"/>
                <w:highlight w:val="none"/>
              </w:rPr>
              <w:t>一览表</w:t>
            </w:r>
          </w:p>
          <w:tbl>
            <w:tblPr>
              <w:tblStyle w:val="30"/>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1059"/>
              <w:gridCol w:w="1327"/>
              <w:gridCol w:w="1305"/>
              <w:gridCol w:w="1030"/>
              <w:gridCol w:w="756"/>
              <w:gridCol w:w="801"/>
              <w:gridCol w:w="915"/>
              <w:gridCol w:w="522"/>
            </w:tblGrid>
            <w:tr w14:paraId="3C38F4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350" w:type="dxa"/>
                  <w:vMerge w:val="restart"/>
                  <w:vAlign w:val="center"/>
                </w:tcPr>
                <w:p w14:paraId="6D286E0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lang w:eastAsia="zh-CN"/>
                    </w:rPr>
                  </w:pPr>
                  <w:r>
                    <w:rPr>
                      <w:rFonts w:hint="default" w:ascii="Times New Roman" w:hAnsi="Times New Roman" w:eastAsia="宋体" w:cs="Times New Roman"/>
                      <w:b/>
                      <w:color w:val="auto"/>
                      <w:sz w:val="18"/>
                      <w:szCs w:val="18"/>
                      <w:highlight w:val="none"/>
                    </w:rPr>
                    <w:t>排放口</w:t>
                  </w:r>
                  <w:r>
                    <w:rPr>
                      <w:rFonts w:hint="default" w:ascii="Times New Roman" w:hAnsi="Times New Roman" w:eastAsia="宋体" w:cs="Times New Roman"/>
                      <w:b/>
                      <w:color w:val="auto"/>
                      <w:sz w:val="18"/>
                      <w:szCs w:val="18"/>
                      <w:highlight w:val="none"/>
                      <w:lang w:eastAsia="zh-CN"/>
                    </w:rPr>
                    <w:t>名称</w:t>
                  </w:r>
                </w:p>
              </w:tc>
              <w:tc>
                <w:tcPr>
                  <w:tcW w:w="1059" w:type="dxa"/>
                  <w:vMerge w:val="restart"/>
                  <w:vAlign w:val="center"/>
                </w:tcPr>
                <w:p w14:paraId="78E115A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污染物</w:t>
                  </w:r>
                </w:p>
              </w:tc>
              <w:tc>
                <w:tcPr>
                  <w:tcW w:w="1327" w:type="dxa"/>
                  <w:vMerge w:val="restart"/>
                  <w:vAlign w:val="center"/>
                </w:tcPr>
                <w:p w14:paraId="43ECD0AB">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kern w:val="0"/>
                      <w:sz w:val="18"/>
                      <w:szCs w:val="18"/>
                      <w:highlight w:val="none"/>
                      <w:lang w:bidi="ar"/>
                    </w:rPr>
                    <w:t>排放速率*</w:t>
                  </w:r>
                  <w:r>
                    <w:rPr>
                      <w:rFonts w:hint="default" w:ascii="Times New Roman" w:hAnsi="Times New Roman" w:eastAsia="宋体" w:cs="Times New Roman"/>
                      <w:b/>
                      <w:color w:val="auto"/>
                      <w:kern w:val="0"/>
                      <w:sz w:val="18"/>
                      <w:szCs w:val="18"/>
                      <w:highlight w:val="none"/>
                      <w:lang w:eastAsia="zh-CN" w:bidi="ar"/>
                    </w:rPr>
                    <w:t>（</w:t>
                  </w:r>
                  <w:r>
                    <w:rPr>
                      <w:rFonts w:hint="default" w:ascii="Times New Roman" w:hAnsi="Times New Roman" w:eastAsia="宋体" w:cs="Times New Roman"/>
                      <w:bCs/>
                      <w:color w:val="auto"/>
                      <w:sz w:val="18"/>
                      <w:szCs w:val="18"/>
                      <w:highlight w:val="none"/>
                    </w:rPr>
                    <w:t>kg/h</w:t>
                  </w:r>
                  <w:r>
                    <w:rPr>
                      <w:rFonts w:hint="default" w:ascii="Times New Roman" w:hAnsi="Times New Roman" w:eastAsia="宋体" w:cs="Times New Roman"/>
                      <w:b/>
                      <w:color w:val="auto"/>
                      <w:kern w:val="0"/>
                      <w:sz w:val="18"/>
                      <w:szCs w:val="18"/>
                      <w:highlight w:val="none"/>
                      <w:lang w:eastAsia="zh-CN" w:bidi="ar"/>
                    </w:rPr>
                    <w:t>）</w:t>
                  </w:r>
                </w:p>
              </w:tc>
              <w:tc>
                <w:tcPr>
                  <w:tcW w:w="1305" w:type="dxa"/>
                  <w:vMerge w:val="restart"/>
                  <w:vAlign w:val="center"/>
                </w:tcPr>
                <w:p w14:paraId="34F2FE64">
                  <w:pPr>
                    <w:keepNext w:val="0"/>
                    <w:keepLines w:val="0"/>
                    <w:pageBreakBefore w:val="0"/>
                    <w:widowControl/>
                    <w:kinsoku/>
                    <w:wordWrap/>
                    <w:overflowPunct/>
                    <w:topLinePunct w:val="0"/>
                    <w:autoSpaceDE/>
                    <w:autoSpaceDN/>
                    <w:bidi w:val="0"/>
                    <w:adjustRightInd w:val="0"/>
                    <w:snapToGrid w:val="0"/>
                    <w:spacing w:line="240" w:lineRule="auto"/>
                    <w:jc w:val="center"/>
                    <w:rPr>
                      <w:rFonts w:hint="eastAsia" w:ascii="Times New Roman" w:hAnsi="Times New Roman" w:eastAsia="宋体" w:cs="Times New Roman"/>
                      <w:b/>
                      <w:color w:val="auto"/>
                      <w:kern w:val="0"/>
                      <w:sz w:val="18"/>
                      <w:szCs w:val="18"/>
                      <w:highlight w:val="none"/>
                      <w:lang w:eastAsia="zh-CN" w:bidi="ar"/>
                    </w:rPr>
                  </w:pPr>
                  <w:r>
                    <w:rPr>
                      <w:rFonts w:hint="eastAsia" w:cs="Times New Roman"/>
                      <w:b/>
                      <w:color w:val="auto"/>
                      <w:kern w:val="0"/>
                      <w:sz w:val="18"/>
                      <w:szCs w:val="18"/>
                      <w:highlight w:val="none"/>
                      <w:lang w:eastAsia="zh-CN" w:bidi="ar"/>
                    </w:rPr>
                    <w:t>折算后的额定工况排放速率</w:t>
                  </w:r>
                  <w:r>
                    <w:rPr>
                      <w:rFonts w:hint="default" w:ascii="Times New Roman" w:hAnsi="Times New Roman" w:eastAsia="宋体" w:cs="Times New Roman"/>
                      <w:b/>
                      <w:color w:val="auto"/>
                      <w:kern w:val="0"/>
                      <w:sz w:val="18"/>
                      <w:szCs w:val="18"/>
                      <w:highlight w:val="none"/>
                      <w:lang w:eastAsia="zh-CN" w:bidi="ar"/>
                    </w:rPr>
                    <w:t>（</w:t>
                  </w:r>
                  <w:r>
                    <w:rPr>
                      <w:rFonts w:hint="default" w:ascii="Times New Roman" w:hAnsi="Times New Roman" w:eastAsia="宋体" w:cs="Times New Roman"/>
                      <w:bCs/>
                      <w:color w:val="auto"/>
                      <w:sz w:val="18"/>
                      <w:szCs w:val="18"/>
                      <w:highlight w:val="none"/>
                    </w:rPr>
                    <w:t>kg/h</w:t>
                  </w:r>
                  <w:r>
                    <w:rPr>
                      <w:rFonts w:hint="default" w:ascii="Times New Roman" w:hAnsi="Times New Roman" w:eastAsia="宋体" w:cs="Times New Roman"/>
                      <w:b/>
                      <w:color w:val="auto"/>
                      <w:kern w:val="0"/>
                      <w:sz w:val="18"/>
                      <w:szCs w:val="18"/>
                      <w:highlight w:val="none"/>
                      <w:lang w:eastAsia="zh-CN" w:bidi="ar"/>
                    </w:rPr>
                    <w:t>）</w:t>
                  </w:r>
                </w:p>
              </w:tc>
              <w:tc>
                <w:tcPr>
                  <w:tcW w:w="1030" w:type="dxa"/>
                  <w:vMerge w:val="restart"/>
                  <w:vAlign w:val="center"/>
                </w:tcPr>
                <w:p w14:paraId="434FEE57">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lang w:eastAsia="zh-CN"/>
                    </w:rPr>
                  </w:pPr>
                  <w:r>
                    <w:rPr>
                      <w:rFonts w:hint="default" w:ascii="Times New Roman" w:hAnsi="Times New Roman" w:eastAsia="宋体" w:cs="Times New Roman"/>
                      <w:b/>
                      <w:color w:val="auto"/>
                      <w:sz w:val="18"/>
                      <w:szCs w:val="18"/>
                      <w:highlight w:val="none"/>
                    </w:rPr>
                    <w:t>年排放时间</w:t>
                  </w:r>
                  <w:r>
                    <w:rPr>
                      <w:rFonts w:hint="default" w:ascii="Times New Roman" w:hAnsi="Times New Roman" w:eastAsia="宋体" w:cs="Times New Roman"/>
                      <w:b/>
                      <w:color w:val="auto"/>
                      <w:sz w:val="18"/>
                      <w:szCs w:val="18"/>
                      <w:highlight w:val="none"/>
                      <w:lang w:eastAsia="zh-CN"/>
                    </w:rPr>
                    <w:t>（</w:t>
                  </w:r>
                  <w:r>
                    <w:rPr>
                      <w:rFonts w:hint="default" w:ascii="Times New Roman" w:hAnsi="Times New Roman" w:eastAsia="宋体" w:cs="Times New Roman"/>
                      <w:bCs/>
                      <w:color w:val="auto"/>
                      <w:sz w:val="18"/>
                      <w:szCs w:val="18"/>
                      <w:highlight w:val="none"/>
                    </w:rPr>
                    <w:t>h</w:t>
                  </w:r>
                  <w:r>
                    <w:rPr>
                      <w:rFonts w:hint="default" w:ascii="Times New Roman" w:hAnsi="Times New Roman" w:eastAsia="宋体" w:cs="Times New Roman"/>
                      <w:b/>
                      <w:color w:val="auto"/>
                      <w:sz w:val="18"/>
                      <w:szCs w:val="18"/>
                      <w:highlight w:val="none"/>
                      <w:lang w:eastAsia="zh-CN"/>
                    </w:rPr>
                    <w:t>）</w:t>
                  </w:r>
                </w:p>
              </w:tc>
              <w:tc>
                <w:tcPr>
                  <w:tcW w:w="1557" w:type="dxa"/>
                  <w:gridSpan w:val="2"/>
                  <w:vAlign w:val="center"/>
                </w:tcPr>
                <w:p w14:paraId="53B04982">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kern w:val="0"/>
                      <w:sz w:val="18"/>
                      <w:szCs w:val="18"/>
                      <w:highlight w:val="none"/>
                      <w:lang w:eastAsia="zh-CN" w:bidi="ar"/>
                    </w:rPr>
                  </w:pPr>
                  <w:r>
                    <w:rPr>
                      <w:rFonts w:hint="default" w:ascii="Times New Roman" w:hAnsi="Times New Roman" w:eastAsia="宋体" w:cs="Times New Roman"/>
                      <w:b/>
                      <w:color w:val="auto"/>
                      <w:kern w:val="0"/>
                      <w:sz w:val="18"/>
                      <w:szCs w:val="18"/>
                      <w:highlight w:val="none"/>
                      <w:lang w:bidi="ar"/>
                    </w:rPr>
                    <w:t>实际排放总量</w:t>
                  </w:r>
                  <w:r>
                    <w:rPr>
                      <w:rFonts w:hint="default" w:ascii="Times New Roman" w:hAnsi="Times New Roman" w:eastAsia="宋体" w:cs="Times New Roman"/>
                      <w:b/>
                      <w:color w:val="auto"/>
                      <w:kern w:val="0"/>
                      <w:sz w:val="18"/>
                      <w:szCs w:val="18"/>
                      <w:highlight w:val="none"/>
                      <w:lang w:eastAsia="zh-CN" w:bidi="ar"/>
                    </w:rPr>
                    <w:t>（</w:t>
                  </w:r>
                  <w:r>
                    <w:rPr>
                      <w:rFonts w:hint="default" w:ascii="Times New Roman" w:hAnsi="Times New Roman" w:eastAsia="宋体" w:cs="Times New Roman"/>
                      <w:bCs/>
                      <w:color w:val="auto"/>
                      <w:sz w:val="18"/>
                      <w:szCs w:val="18"/>
                      <w:highlight w:val="none"/>
                    </w:rPr>
                    <w:t>t/a</w:t>
                  </w:r>
                  <w:r>
                    <w:rPr>
                      <w:rFonts w:hint="default" w:ascii="Times New Roman" w:hAnsi="Times New Roman" w:eastAsia="宋体" w:cs="Times New Roman"/>
                      <w:b/>
                      <w:color w:val="auto"/>
                      <w:kern w:val="0"/>
                      <w:sz w:val="18"/>
                      <w:szCs w:val="18"/>
                      <w:highlight w:val="none"/>
                      <w:lang w:eastAsia="zh-CN" w:bidi="ar"/>
                    </w:rPr>
                    <w:t>）</w:t>
                  </w:r>
                </w:p>
              </w:tc>
              <w:tc>
                <w:tcPr>
                  <w:tcW w:w="915" w:type="dxa"/>
                  <w:vMerge w:val="restart"/>
                  <w:vAlign w:val="center"/>
                </w:tcPr>
                <w:p w14:paraId="1E9DF0C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lang w:eastAsia="zh-CN"/>
                    </w:rPr>
                    <w:t>总量指标</w:t>
                  </w:r>
                  <w:r>
                    <w:rPr>
                      <w:rFonts w:hint="default" w:ascii="Times New Roman" w:hAnsi="Times New Roman" w:eastAsia="宋体" w:cs="Times New Roman"/>
                      <w:b/>
                      <w:color w:val="auto"/>
                      <w:kern w:val="0"/>
                      <w:sz w:val="18"/>
                      <w:szCs w:val="18"/>
                      <w:highlight w:val="none"/>
                      <w:lang w:eastAsia="zh-CN" w:bidi="ar"/>
                    </w:rPr>
                    <w:t>（</w:t>
                  </w:r>
                  <w:r>
                    <w:rPr>
                      <w:rFonts w:hint="default" w:ascii="Times New Roman" w:hAnsi="Times New Roman" w:eastAsia="宋体" w:cs="Times New Roman"/>
                      <w:bCs/>
                      <w:color w:val="auto"/>
                      <w:sz w:val="18"/>
                      <w:szCs w:val="18"/>
                      <w:highlight w:val="none"/>
                    </w:rPr>
                    <w:t>t/a</w:t>
                  </w:r>
                  <w:r>
                    <w:rPr>
                      <w:rFonts w:hint="default" w:ascii="Times New Roman" w:hAnsi="Times New Roman" w:eastAsia="宋体" w:cs="Times New Roman"/>
                      <w:b/>
                      <w:color w:val="auto"/>
                      <w:kern w:val="0"/>
                      <w:sz w:val="18"/>
                      <w:szCs w:val="18"/>
                      <w:highlight w:val="none"/>
                      <w:lang w:eastAsia="zh-CN" w:bidi="ar"/>
                    </w:rPr>
                    <w:t>）</w:t>
                  </w:r>
                </w:p>
              </w:tc>
              <w:tc>
                <w:tcPr>
                  <w:tcW w:w="522" w:type="dxa"/>
                  <w:vMerge w:val="restart"/>
                  <w:vAlign w:val="center"/>
                </w:tcPr>
                <w:p w14:paraId="09326528">
                  <w:pPr>
                    <w:pStyle w:val="72"/>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结果评价</w:t>
                  </w:r>
                </w:p>
              </w:tc>
            </w:tr>
            <w:tr w14:paraId="690210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350" w:type="dxa"/>
                  <w:vMerge w:val="continue"/>
                  <w:tcBorders>
                    <w:bottom w:val="single" w:color="auto" w:sz="12" w:space="0"/>
                  </w:tcBorders>
                  <w:vAlign w:val="center"/>
                </w:tcPr>
                <w:p w14:paraId="51C81516">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059" w:type="dxa"/>
                  <w:vMerge w:val="continue"/>
                  <w:tcBorders>
                    <w:bottom w:val="single" w:color="auto" w:sz="12" w:space="0"/>
                  </w:tcBorders>
                  <w:vAlign w:val="center"/>
                </w:tcPr>
                <w:p w14:paraId="72B9F3C7">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327" w:type="dxa"/>
                  <w:vMerge w:val="continue"/>
                  <w:tcBorders>
                    <w:bottom w:val="single" w:color="auto" w:sz="12" w:space="0"/>
                  </w:tcBorders>
                  <w:vAlign w:val="center"/>
                </w:tcPr>
                <w:p w14:paraId="559EB676">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305" w:type="dxa"/>
                  <w:vMerge w:val="continue"/>
                  <w:tcBorders>
                    <w:bottom w:val="single" w:color="auto" w:sz="12" w:space="0"/>
                  </w:tcBorders>
                  <w:vAlign w:val="center"/>
                </w:tcPr>
                <w:p w14:paraId="34413D90">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030" w:type="dxa"/>
                  <w:vMerge w:val="continue"/>
                  <w:tcBorders>
                    <w:bottom w:val="single" w:color="auto" w:sz="12" w:space="0"/>
                  </w:tcBorders>
                  <w:vAlign w:val="center"/>
                </w:tcPr>
                <w:p w14:paraId="5AD9625D">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756" w:type="dxa"/>
                  <w:tcBorders>
                    <w:bottom w:val="single" w:color="auto" w:sz="12" w:space="0"/>
                  </w:tcBorders>
                  <w:vAlign w:val="center"/>
                </w:tcPr>
                <w:p w14:paraId="3FB485F7">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kern w:val="0"/>
                      <w:sz w:val="18"/>
                      <w:szCs w:val="18"/>
                      <w:highlight w:val="none"/>
                      <w:lang w:eastAsia="zh-CN" w:bidi="ar"/>
                    </w:rPr>
                  </w:pPr>
                  <w:r>
                    <w:rPr>
                      <w:rFonts w:hint="default" w:ascii="Times New Roman" w:hAnsi="Times New Roman" w:eastAsia="宋体" w:cs="Times New Roman"/>
                      <w:b/>
                      <w:color w:val="auto"/>
                      <w:kern w:val="0"/>
                      <w:sz w:val="18"/>
                      <w:szCs w:val="18"/>
                      <w:highlight w:val="none"/>
                      <w:lang w:eastAsia="zh-CN" w:bidi="ar"/>
                    </w:rPr>
                    <w:t>小计</w:t>
                  </w:r>
                </w:p>
              </w:tc>
              <w:tc>
                <w:tcPr>
                  <w:tcW w:w="801" w:type="dxa"/>
                  <w:tcBorders>
                    <w:bottom w:val="single" w:color="auto" w:sz="12" w:space="0"/>
                  </w:tcBorders>
                  <w:vAlign w:val="center"/>
                </w:tcPr>
                <w:p w14:paraId="51FC5602">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kern w:val="0"/>
                      <w:sz w:val="18"/>
                      <w:szCs w:val="18"/>
                      <w:highlight w:val="none"/>
                      <w:lang w:eastAsia="zh-CN" w:bidi="ar"/>
                    </w:rPr>
                  </w:pPr>
                  <w:r>
                    <w:rPr>
                      <w:rFonts w:hint="default" w:ascii="Times New Roman" w:hAnsi="Times New Roman" w:eastAsia="宋体" w:cs="Times New Roman"/>
                      <w:b/>
                      <w:color w:val="auto"/>
                      <w:kern w:val="0"/>
                      <w:sz w:val="18"/>
                      <w:szCs w:val="18"/>
                      <w:highlight w:val="none"/>
                      <w:lang w:eastAsia="zh-CN" w:bidi="ar"/>
                    </w:rPr>
                    <w:t>合计</w:t>
                  </w:r>
                </w:p>
              </w:tc>
              <w:tc>
                <w:tcPr>
                  <w:tcW w:w="915" w:type="dxa"/>
                  <w:vMerge w:val="continue"/>
                  <w:tcBorders>
                    <w:bottom w:val="single" w:color="auto" w:sz="12" w:space="0"/>
                  </w:tcBorders>
                  <w:vAlign w:val="center"/>
                </w:tcPr>
                <w:p w14:paraId="6580E08F">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kern w:val="0"/>
                      <w:sz w:val="18"/>
                      <w:szCs w:val="18"/>
                      <w:highlight w:val="none"/>
                      <w:lang w:bidi="ar"/>
                    </w:rPr>
                  </w:pPr>
                </w:p>
              </w:tc>
              <w:tc>
                <w:tcPr>
                  <w:tcW w:w="522" w:type="dxa"/>
                  <w:vMerge w:val="continue"/>
                  <w:tcBorders>
                    <w:bottom w:val="single" w:color="auto" w:sz="12" w:space="0"/>
                  </w:tcBorders>
                  <w:vAlign w:val="center"/>
                </w:tcPr>
                <w:p w14:paraId="25F52B7A">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
                      <w:color w:val="auto"/>
                      <w:kern w:val="0"/>
                      <w:sz w:val="18"/>
                      <w:szCs w:val="18"/>
                      <w:highlight w:val="none"/>
                      <w:lang w:bidi="ar"/>
                    </w:rPr>
                  </w:pPr>
                </w:p>
              </w:tc>
            </w:tr>
            <w:tr w14:paraId="797551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350" w:type="dxa"/>
                  <w:tcBorders>
                    <w:top w:val="single" w:color="auto" w:sz="12" w:space="0"/>
                    <w:tl2br w:val="nil"/>
                    <w:tr2bl w:val="nil"/>
                  </w:tcBorders>
                  <w:vAlign w:val="center"/>
                </w:tcPr>
                <w:p w14:paraId="6DF75440">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eastAsia="宋体" w:cs="Times New Roman"/>
                      <w:bCs/>
                      <w:color w:val="auto"/>
                      <w:sz w:val="18"/>
                      <w:szCs w:val="18"/>
                      <w:highlight w:val="none"/>
                      <w:lang w:val="en-US" w:eastAsia="zh-CN"/>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5</w:t>
                  </w:r>
                </w:p>
              </w:tc>
              <w:tc>
                <w:tcPr>
                  <w:tcW w:w="1059" w:type="dxa"/>
                  <w:vMerge w:val="restart"/>
                  <w:tcBorders>
                    <w:top w:val="single" w:color="auto" w:sz="12" w:space="0"/>
                    <w:tl2br w:val="nil"/>
                    <w:tr2bl w:val="nil"/>
                  </w:tcBorders>
                  <w:vAlign w:val="center"/>
                </w:tcPr>
                <w:p w14:paraId="7B4F3490">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kern w:val="0"/>
                      <w:sz w:val="18"/>
                      <w:szCs w:val="18"/>
                      <w:highlight w:val="none"/>
                      <w:lang w:val="en-US" w:eastAsia="zh-CN" w:bidi="ar-SA"/>
                    </w:rPr>
                  </w:pPr>
                  <w:r>
                    <w:rPr>
                      <w:rFonts w:hint="default" w:ascii="Times New Roman" w:hAnsi="Times New Roman" w:eastAsia="宋体" w:cs="Times New Roman"/>
                      <w:color w:val="auto"/>
                      <w:w w:val="95"/>
                      <w:sz w:val="18"/>
                      <w:szCs w:val="18"/>
                      <w:highlight w:val="none"/>
                    </w:rPr>
                    <w:t>颗</w:t>
                  </w:r>
                  <w:r>
                    <w:rPr>
                      <w:rFonts w:hint="default" w:ascii="Times New Roman" w:hAnsi="Times New Roman" w:eastAsia="宋体" w:cs="Times New Roman"/>
                      <w:color w:val="auto"/>
                      <w:sz w:val="18"/>
                      <w:szCs w:val="18"/>
                      <w:highlight w:val="none"/>
                    </w:rPr>
                    <w:t>粒物</w:t>
                  </w:r>
                </w:p>
              </w:tc>
              <w:tc>
                <w:tcPr>
                  <w:tcW w:w="1327" w:type="dxa"/>
                  <w:tcBorders>
                    <w:top w:val="single" w:color="auto" w:sz="12" w:space="0"/>
                    <w:tl2br w:val="nil"/>
                    <w:tr2bl w:val="nil"/>
                  </w:tcBorders>
                  <w:shd w:val="clear" w:color="auto" w:fill="auto"/>
                  <w:vAlign w:val="center"/>
                </w:tcPr>
                <w:p w14:paraId="7391B872">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0.00541</w:t>
                  </w:r>
                </w:p>
              </w:tc>
              <w:tc>
                <w:tcPr>
                  <w:tcW w:w="1305" w:type="dxa"/>
                  <w:tcBorders>
                    <w:top w:val="single" w:color="auto" w:sz="12" w:space="0"/>
                    <w:tl2br w:val="nil"/>
                    <w:tr2bl w:val="nil"/>
                  </w:tcBorders>
                  <w:shd w:val="clear" w:color="auto" w:fill="auto"/>
                  <w:vAlign w:val="center"/>
                </w:tcPr>
                <w:p w14:paraId="4EFAB663">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0.00601</w:t>
                  </w:r>
                </w:p>
              </w:tc>
              <w:tc>
                <w:tcPr>
                  <w:tcW w:w="1030" w:type="dxa"/>
                  <w:tcBorders>
                    <w:top w:val="single" w:color="auto" w:sz="12" w:space="0"/>
                    <w:tl2br w:val="nil"/>
                    <w:tr2bl w:val="nil"/>
                  </w:tcBorders>
                  <w:vAlign w:val="center"/>
                </w:tcPr>
                <w:p w14:paraId="47BDE80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cs="Times New Roman"/>
                      <w:bCs/>
                      <w:color w:val="auto"/>
                      <w:sz w:val="18"/>
                      <w:szCs w:val="18"/>
                      <w:highlight w:val="none"/>
                      <w:lang w:val="en-US" w:eastAsia="zh-CN"/>
                    </w:rPr>
                    <w:t>7500</w:t>
                  </w:r>
                </w:p>
              </w:tc>
              <w:tc>
                <w:tcPr>
                  <w:tcW w:w="756" w:type="dxa"/>
                  <w:tcBorders>
                    <w:top w:val="single" w:color="auto" w:sz="12" w:space="0"/>
                    <w:tl2br w:val="nil"/>
                    <w:tr2bl w:val="nil"/>
                  </w:tcBorders>
                  <w:shd w:val="clear" w:color="auto" w:fill="auto"/>
                  <w:vAlign w:val="center"/>
                </w:tcPr>
                <w:p w14:paraId="5CB3720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0.0451</w:t>
                  </w:r>
                </w:p>
              </w:tc>
              <w:tc>
                <w:tcPr>
                  <w:tcW w:w="801" w:type="dxa"/>
                  <w:vMerge w:val="restart"/>
                  <w:tcBorders>
                    <w:top w:val="single" w:color="auto" w:sz="12" w:space="0"/>
                    <w:tl2br w:val="nil"/>
                    <w:tr2bl w:val="nil"/>
                  </w:tcBorders>
                  <w:shd w:val="clear" w:color="auto" w:fill="auto"/>
                  <w:vAlign w:val="center"/>
                </w:tcPr>
                <w:p w14:paraId="49A3609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0.28</w:t>
                  </w:r>
                  <w:r>
                    <w:rPr>
                      <w:rFonts w:hint="eastAsia" w:cs="Times New Roman"/>
                      <w:bCs/>
                      <w:color w:val="auto"/>
                      <w:sz w:val="18"/>
                      <w:szCs w:val="18"/>
                      <w:highlight w:val="none"/>
                      <w:lang w:val="en-US" w:eastAsia="zh-CN"/>
                    </w:rPr>
                    <w:t>4</w:t>
                  </w:r>
                </w:p>
              </w:tc>
              <w:tc>
                <w:tcPr>
                  <w:tcW w:w="915" w:type="dxa"/>
                  <w:vMerge w:val="restart"/>
                  <w:tcBorders>
                    <w:top w:val="single" w:color="auto" w:sz="12" w:space="0"/>
                    <w:tl2br w:val="nil"/>
                    <w:tr2bl w:val="nil"/>
                  </w:tcBorders>
                  <w:vAlign w:val="center"/>
                </w:tcPr>
                <w:p w14:paraId="7F2049C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rPr>
                  </w:pPr>
                  <w:r>
                    <w:rPr>
                      <w:rFonts w:hint="eastAsia" w:cs="Times New Roman"/>
                      <w:color w:val="auto"/>
                      <w:sz w:val="18"/>
                      <w:szCs w:val="18"/>
                      <w:highlight w:val="none"/>
                      <w:lang w:val="en-US" w:eastAsia="zh-CN"/>
                    </w:rPr>
                    <w:t>0.290</w:t>
                  </w:r>
                </w:p>
              </w:tc>
              <w:tc>
                <w:tcPr>
                  <w:tcW w:w="522" w:type="dxa"/>
                  <w:vMerge w:val="restart"/>
                  <w:tcBorders>
                    <w:top w:val="single" w:color="auto" w:sz="12" w:space="0"/>
                    <w:tl2br w:val="nil"/>
                    <w:tr2bl w:val="nil"/>
                  </w:tcBorders>
                  <w:vAlign w:val="center"/>
                </w:tcPr>
                <w:p w14:paraId="70C1DE2E">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r>
                    <w:rPr>
                      <w:rFonts w:hint="default" w:ascii="Times New Roman" w:hAnsi="Times New Roman" w:eastAsia="宋体" w:cs="Times New Roman"/>
                      <w:bCs/>
                      <w:color w:val="auto"/>
                      <w:sz w:val="18"/>
                      <w:szCs w:val="18"/>
                      <w:highlight w:val="none"/>
                    </w:rPr>
                    <w:t>达标</w:t>
                  </w:r>
                </w:p>
              </w:tc>
            </w:tr>
            <w:tr w14:paraId="190E91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350" w:type="dxa"/>
                  <w:tcBorders>
                    <w:tl2br w:val="nil"/>
                    <w:tr2bl w:val="nil"/>
                  </w:tcBorders>
                  <w:vAlign w:val="center"/>
                </w:tcPr>
                <w:p w14:paraId="2ADFDE83">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eastAsia="宋体" w:cs="Times New Roman"/>
                      <w:bCs/>
                      <w:color w:val="auto"/>
                      <w:sz w:val="18"/>
                      <w:szCs w:val="18"/>
                      <w:highlight w:val="none"/>
                      <w:lang w:val="en-US" w:eastAsia="zh-CN"/>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7</w:t>
                  </w:r>
                </w:p>
              </w:tc>
              <w:tc>
                <w:tcPr>
                  <w:tcW w:w="1059" w:type="dxa"/>
                  <w:vMerge w:val="continue"/>
                  <w:tcBorders>
                    <w:tl2br w:val="nil"/>
                    <w:tr2bl w:val="nil"/>
                  </w:tcBorders>
                  <w:vAlign w:val="center"/>
                </w:tcPr>
                <w:p w14:paraId="32A0500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1327" w:type="dxa"/>
                  <w:tcBorders>
                    <w:tl2br w:val="nil"/>
                    <w:tr2bl w:val="nil"/>
                  </w:tcBorders>
                  <w:shd w:val="clear" w:color="auto" w:fill="auto"/>
                  <w:vAlign w:val="center"/>
                </w:tcPr>
                <w:p w14:paraId="528212A8">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0.00662</w:t>
                  </w:r>
                </w:p>
              </w:tc>
              <w:tc>
                <w:tcPr>
                  <w:tcW w:w="1305" w:type="dxa"/>
                  <w:tcBorders>
                    <w:tl2br w:val="nil"/>
                    <w:tr2bl w:val="nil"/>
                  </w:tcBorders>
                  <w:shd w:val="clear" w:color="auto" w:fill="auto"/>
                  <w:vAlign w:val="center"/>
                </w:tcPr>
                <w:p w14:paraId="5E23385D">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0.00736</w:t>
                  </w:r>
                </w:p>
              </w:tc>
              <w:tc>
                <w:tcPr>
                  <w:tcW w:w="1030" w:type="dxa"/>
                  <w:tcBorders>
                    <w:tl2br w:val="nil"/>
                    <w:tr2bl w:val="nil"/>
                  </w:tcBorders>
                  <w:vAlign w:val="center"/>
                </w:tcPr>
                <w:p w14:paraId="4FB4D3FD">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3A37ABF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0.0552</w:t>
                  </w:r>
                </w:p>
              </w:tc>
              <w:tc>
                <w:tcPr>
                  <w:tcW w:w="801" w:type="dxa"/>
                  <w:vMerge w:val="continue"/>
                  <w:tcBorders>
                    <w:tl2br w:val="nil"/>
                    <w:tr2bl w:val="nil"/>
                  </w:tcBorders>
                  <w:vAlign w:val="center"/>
                </w:tcPr>
                <w:p w14:paraId="1EF3FA4C">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061A50C3">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7674372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r w14:paraId="0115E4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350" w:type="dxa"/>
                  <w:tcBorders>
                    <w:tl2br w:val="nil"/>
                    <w:tr2bl w:val="nil"/>
                  </w:tcBorders>
                  <w:vAlign w:val="center"/>
                </w:tcPr>
                <w:p w14:paraId="2F8189C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default" w:ascii="Times New Roman" w:hAnsi="Times New Roman" w:eastAsia="宋体" w:cs="Times New Roman"/>
                      <w:bCs/>
                      <w:color w:val="auto"/>
                      <w:sz w:val="18"/>
                      <w:szCs w:val="18"/>
                      <w:highlight w:val="none"/>
                    </w:rPr>
                    <w:t>沼气燃烧废气排气筒DA0</w:t>
                  </w:r>
                  <w:r>
                    <w:rPr>
                      <w:rFonts w:hint="eastAsia" w:cs="Times New Roman"/>
                      <w:bCs/>
                      <w:color w:val="auto"/>
                      <w:sz w:val="18"/>
                      <w:szCs w:val="18"/>
                      <w:highlight w:val="none"/>
                      <w:lang w:val="en-US" w:eastAsia="zh-CN"/>
                    </w:rPr>
                    <w:t>10</w:t>
                  </w:r>
                </w:p>
              </w:tc>
              <w:tc>
                <w:tcPr>
                  <w:tcW w:w="1059" w:type="dxa"/>
                  <w:vMerge w:val="continue"/>
                  <w:tcBorders>
                    <w:tl2br w:val="nil"/>
                    <w:tr2bl w:val="nil"/>
                  </w:tcBorders>
                  <w:vAlign w:val="center"/>
                </w:tcPr>
                <w:p w14:paraId="661E415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1327" w:type="dxa"/>
                  <w:tcBorders>
                    <w:tl2br w:val="nil"/>
                    <w:tr2bl w:val="nil"/>
                  </w:tcBorders>
                  <w:shd w:val="clear" w:color="auto" w:fill="auto"/>
                  <w:vAlign w:val="center"/>
                </w:tcPr>
                <w:p w14:paraId="126652E7">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0.00499</w:t>
                  </w:r>
                </w:p>
              </w:tc>
              <w:tc>
                <w:tcPr>
                  <w:tcW w:w="1305" w:type="dxa"/>
                  <w:tcBorders>
                    <w:tl2br w:val="nil"/>
                    <w:tr2bl w:val="nil"/>
                  </w:tcBorders>
                  <w:shd w:val="clear" w:color="auto" w:fill="auto"/>
                  <w:vAlign w:val="center"/>
                </w:tcPr>
                <w:p w14:paraId="79C43B83">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0.00554</w:t>
                  </w:r>
                </w:p>
              </w:tc>
              <w:tc>
                <w:tcPr>
                  <w:tcW w:w="1030" w:type="dxa"/>
                  <w:tcBorders>
                    <w:tl2br w:val="nil"/>
                    <w:tr2bl w:val="nil"/>
                  </w:tcBorders>
                  <w:vAlign w:val="center"/>
                </w:tcPr>
                <w:p w14:paraId="3DE30EE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2A57A42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0.0416</w:t>
                  </w:r>
                </w:p>
              </w:tc>
              <w:tc>
                <w:tcPr>
                  <w:tcW w:w="801" w:type="dxa"/>
                  <w:vMerge w:val="continue"/>
                  <w:tcBorders>
                    <w:tl2br w:val="nil"/>
                    <w:tr2bl w:val="nil"/>
                  </w:tcBorders>
                  <w:vAlign w:val="center"/>
                </w:tcPr>
                <w:p w14:paraId="4480A2A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5B28CE9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09CFBF73">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r w14:paraId="4C500B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4AD03BCE">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5</w:t>
                  </w:r>
                </w:p>
              </w:tc>
              <w:tc>
                <w:tcPr>
                  <w:tcW w:w="1059" w:type="dxa"/>
                  <w:vMerge w:val="restart"/>
                  <w:tcBorders>
                    <w:tl2br w:val="nil"/>
                    <w:tr2bl w:val="nil"/>
                  </w:tcBorders>
                  <w:vAlign w:val="center"/>
                </w:tcPr>
                <w:p w14:paraId="3C89C40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r>
                    <w:rPr>
                      <w:rFonts w:hint="default" w:ascii="Times New Roman" w:hAnsi="Times New Roman" w:eastAsia="宋体" w:cs="Times New Roman"/>
                      <w:color w:val="auto"/>
                      <w:sz w:val="18"/>
                      <w:szCs w:val="18"/>
                      <w:highlight w:val="none"/>
                    </w:rPr>
                    <w:t>二氧化硫</w:t>
                  </w:r>
                </w:p>
              </w:tc>
              <w:tc>
                <w:tcPr>
                  <w:tcW w:w="1327" w:type="dxa"/>
                  <w:tcBorders>
                    <w:tl2br w:val="nil"/>
                    <w:tr2bl w:val="nil"/>
                  </w:tcBorders>
                  <w:shd w:val="clear" w:color="auto" w:fill="auto"/>
                  <w:vAlign w:val="center"/>
                </w:tcPr>
                <w:p w14:paraId="65DE581C">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0.0217</w:t>
                  </w:r>
                </w:p>
              </w:tc>
              <w:tc>
                <w:tcPr>
                  <w:tcW w:w="1305" w:type="dxa"/>
                  <w:tcBorders>
                    <w:tl2br w:val="nil"/>
                    <w:tr2bl w:val="nil"/>
                  </w:tcBorders>
                  <w:shd w:val="clear" w:color="auto" w:fill="auto"/>
                  <w:vAlign w:val="center"/>
                </w:tcPr>
                <w:p w14:paraId="42F2362F">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0.02411</w:t>
                  </w:r>
                </w:p>
              </w:tc>
              <w:tc>
                <w:tcPr>
                  <w:tcW w:w="1030" w:type="dxa"/>
                  <w:tcBorders>
                    <w:tl2br w:val="nil"/>
                    <w:tr2bl w:val="nil"/>
                  </w:tcBorders>
                  <w:shd w:val="clear" w:color="auto" w:fill="auto"/>
                  <w:vAlign w:val="center"/>
                </w:tcPr>
                <w:p w14:paraId="577A24B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046FD6F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0.1808</w:t>
                  </w:r>
                </w:p>
              </w:tc>
              <w:tc>
                <w:tcPr>
                  <w:tcW w:w="801" w:type="dxa"/>
                  <w:vMerge w:val="restart"/>
                  <w:tcBorders>
                    <w:tl2br w:val="nil"/>
                    <w:tr2bl w:val="nil"/>
                  </w:tcBorders>
                  <w:shd w:val="clear" w:color="auto" w:fill="auto"/>
                  <w:vAlign w:val="center"/>
                </w:tcPr>
                <w:p w14:paraId="59FC1D7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1.02</w:t>
                  </w:r>
                  <w:r>
                    <w:rPr>
                      <w:rFonts w:hint="eastAsia" w:cs="Times New Roman"/>
                      <w:bCs/>
                      <w:color w:val="auto"/>
                      <w:sz w:val="18"/>
                      <w:szCs w:val="18"/>
                      <w:highlight w:val="none"/>
                      <w:lang w:val="en-US" w:eastAsia="zh-CN"/>
                    </w:rPr>
                    <w:t>0</w:t>
                  </w:r>
                </w:p>
              </w:tc>
              <w:tc>
                <w:tcPr>
                  <w:tcW w:w="915" w:type="dxa"/>
                  <w:vMerge w:val="restart"/>
                  <w:tcBorders>
                    <w:tl2br w:val="nil"/>
                    <w:tr2bl w:val="nil"/>
                  </w:tcBorders>
                  <w:vAlign w:val="center"/>
                </w:tcPr>
                <w:p w14:paraId="4506D4E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rPr>
                  </w:pPr>
                  <w:r>
                    <w:rPr>
                      <w:rFonts w:hint="eastAsia" w:cs="Times New Roman"/>
                      <w:color w:val="auto"/>
                      <w:sz w:val="18"/>
                      <w:szCs w:val="18"/>
                      <w:highlight w:val="none"/>
                      <w:lang w:val="en-US" w:eastAsia="zh-CN"/>
                    </w:rPr>
                    <w:t>1.994</w:t>
                  </w:r>
                </w:p>
              </w:tc>
              <w:tc>
                <w:tcPr>
                  <w:tcW w:w="522" w:type="dxa"/>
                  <w:vMerge w:val="restart"/>
                  <w:tcBorders>
                    <w:tl2br w:val="nil"/>
                    <w:tr2bl w:val="nil"/>
                  </w:tcBorders>
                  <w:vAlign w:val="center"/>
                </w:tcPr>
                <w:p w14:paraId="1E33A35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r>
                    <w:rPr>
                      <w:rFonts w:hint="default" w:ascii="Times New Roman" w:hAnsi="Times New Roman" w:eastAsia="宋体" w:cs="Times New Roman"/>
                      <w:bCs/>
                      <w:color w:val="auto"/>
                      <w:sz w:val="18"/>
                      <w:szCs w:val="18"/>
                      <w:highlight w:val="none"/>
                    </w:rPr>
                    <w:t>达标</w:t>
                  </w:r>
                </w:p>
              </w:tc>
            </w:tr>
            <w:tr w14:paraId="391B16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45568D6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7</w:t>
                  </w:r>
                </w:p>
              </w:tc>
              <w:tc>
                <w:tcPr>
                  <w:tcW w:w="1059" w:type="dxa"/>
                  <w:vMerge w:val="continue"/>
                  <w:tcBorders>
                    <w:tl2br w:val="nil"/>
                    <w:tr2bl w:val="nil"/>
                  </w:tcBorders>
                  <w:vAlign w:val="center"/>
                </w:tcPr>
                <w:p w14:paraId="76F68257">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1327" w:type="dxa"/>
                  <w:tcBorders>
                    <w:tl2br w:val="nil"/>
                    <w:tr2bl w:val="nil"/>
                  </w:tcBorders>
                  <w:vAlign w:val="center"/>
                </w:tcPr>
                <w:p w14:paraId="265B9D12">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0.0353</w:t>
                  </w:r>
                </w:p>
              </w:tc>
              <w:tc>
                <w:tcPr>
                  <w:tcW w:w="1305" w:type="dxa"/>
                  <w:tcBorders>
                    <w:tl2br w:val="nil"/>
                    <w:tr2bl w:val="nil"/>
                  </w:tcBorders>
                  <w:shd w:val="clear" w:color="auto" w:fill="auto"/>
                  <w:vAlign w:val="center"/>
                </w:tcPr>
                <w:p w14:paraId="6965E975">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0.03922</w:t>
                  </w:r>
                </w:p>
              </w:tc>
              <w:tc>
                <w:tcPr>
                  <w:tcW w:w="1030" w:type="dxa"/>
                  <w:tcBorders>
                    <w:tl2br w:val="nil"/>
                    <w:tr2bl w:val="nil"/>
                  </w:tcBorders>
                  <w:shd w:val="clear" w:color="auto" w:fill="auto"/>
                  <w:vAlign w:val="center"/>
                </w:tcPr>
                <w:p w14:paraId="43616BD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62CA3AB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0.2942</w:t>
                  </w:r>
                </w:p>
              </w:tc>
              <w:tc>
                <w:tcPr>
                  <w:tcW w:w="801" w:type="dxa"/>
                  <w:vMerge w:val="continue"/>
                  <w:tcBorders>
                    <w:tl2br w:val="nil"/>
                    <w:tr2bl w:val="nil"/>
                  </w:tcBorders>
                  <w:vAlign w:val="center"/>
                </w:tcPr>
                <w:p w14:paraId="1FE6F63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4C0179A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23503DBF">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r w14:paraId="0D3DD0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16725EC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w:t>
                  </w:r>
                  <w:r>
                    <w:rPr>
                      <w:rFonts w:hint="eastAsia" w:cs="Times New Roman"/>
                      <w:bCs/>
                      <w:color w:val="auto"/>
                      <w:sz w:val="18"/>
                      <w:szCs w:val="18"/>
                      <w:highlight w:val="none"/>
                      <w:lang w:val="en-US" w:eastAsia="zh-CN"/>
                    </w:rPr>
                    <w:t>10</w:t>
                  </w:r>
                </w:p>
              </w:tc>
              <w:tc>
                <w:tcPr>
                  <w:tcW w:w="1059" w:type="dxa"/>
                  <w:vMerge w:val="continue"/>
                  <w:tcBorders>
                    <w:tl2br w:val="nil"/>
                    <w:tr2bl w:val="nil"/>
                  </w:tcBorders>
                  <w:vAlign w:val="center"/>
                </w:tcPr>
                <w:p w14:paraId="0FFA8104">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kern w:val="0"/>
                      <w:sz w:val="18"/>
                      <w:szCs w:val="18"/>
                      <w:highlight w:val="none"/>
                      <w:lang w:val="en-US" w:eastAsia="zh-CN" w:bidi="ar-SA"/>
                    </w:rPr>
                  </w:pPr>
                </w:p>
              </w:tc>
              <w:tc>
                <w:tcPr>
                  <w:tcW w:w="1327" w:type="dxa"/>
                  <w:tcBorders>
                    <w:tl2br w:val="nil"/>
                    <w:tr2bl w:val="nil"/>
                  </w:tcBorders>
                  <w:vAlign w:val="center"/>
                </w:tcPr>
                <w:p w14:paraId="5D5FD3A9">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0.0042</w:t>
                  </w:r>
                </w:p>
              </w:tc>
              <w:tc>
                <w:tcPr>
                  <w:tcW w:w="1305" w:type="dxa"/>
                  <w:tcBorders>
                    <w:tl2br w:val="nil"/>
                    <w:tr2bl w:val="nil"/>
                  </w:tcBorders>
                  <w:shd w:val="clear" w:color="auto" w:fill="auto"/>
                  <w:vAlign w:val="center"/>
                </w:tcPr>
                <w:p w14:paraId="6C4B2757">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0.00467</w:t>
                  </w:r>
                </w:p>
              </w:tc>
              <w:tc>
                <w:tcPr>
                  <w:tcW w:w="1030" w:type="dxa"/>
                  <w:tcBorders>
                    <w:tl2br w:val="nil"/>
                    <w:tr2bl w:val="nil"/>
                  </w:tcBorders>
                  <w:shd w:val="clear" w:color="auto" w:fill="auto"/>
                  <w:vAlign w:val="center"/>
                </w:tcPr>
                <w:p w14:paraId="782F22A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76AC446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0.0350</w:t>
                  </w:r>
                </w:p>
              </w:tc>
              <w:tc>
                <w:tcPr>
                  <w:tcW w:w="801" w:type="dxa"/>
                  <w:vMerge w:val="continue"/>
                  <w:tcBorders>
                    <w:tl2br w:val="nil"/>
                    <w:tr2bl w:val="nil"/>
                  </w:tcBorders>
                  <w:vAlign w:val="center"/>
                </w:tcPr>
                <w:p w14:paraId="22EFEF6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3C5906A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5EA3F633">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r w14:paraId="253D63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581D7D71">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5</w:t>
                  </w:r>
                </w:p>
              </w:tc>
              <w:tc>
                <w:tcPr>
                  <w:tcW w:w="1059" w:type="dxa"/>
                  <w:vMerge w:val="restart"/>
                  <w:tcBorders>
                    <w:tl2br w:val="nil"/>
                    <w:tr2bl w:val="nil"/>
                  </w:tcBorders>
                  <w:vAlign w:val="center"/>
                </w:tcPr>
                <w:p w14:paraId="06C20184">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氮氧化物</w:t>
                  </w:r>
                </w:p>
              </w:tc>
              <w:tc>
                <w:tcPr>
                  <w:tcW w:w="1327" w:type="dxa"/>
                  <w:tcBorders>
                    <w:tl2br w:val="nil"/>
                    <w:tr2bl w:val="nil"/>
                  </w:tcBorders>
                  <w:vAlign w:val="center"/>
                </w:tcPr>
                <w:p w14:paraId="1FD3E602">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cs="Times New Roman"/>
                      <w:bCs/>
                      <w:color w:val="auto"/>
                      <w:sz w:val="18"/>
                      <w:szCs w:val="18"/>
                      <w:highlight w:val="none"/>
                      <w:lang w:val="en-US" w:eastAsia="zh-CN"/>
                    </w:rPr>
                    <w:t>0.0695</w:t>
                  </w:r>
                </w:p>
              </w:tc>
              <w:tc>
                <w:tcPr>
                  <w:tcW w:w="1305" w:type="dxa"/>
                  <w:tcBorders>
                    <w:tl2br w:val="nil"/>
                    <w:tr2bl w:val="nil"/>
                  </w:tcBorders>
                  <w:shd w:val="clear" w:color="auto" w:fill="auto"/>
                  <w:vAlign w:val="center"/>
                </w:tcPr>
                <w:p w14:paraId="70D9C545">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0.07722</w:t>
                  </w:r>
                </w:p>
              </w:tc>
              <w:tc>
                <w:tcPr>
                  <w:tcW w:w="1030" w:type="dxa"/>
                  <w:tcBorders>
                    <w:tl2br w:val="nil"/>
                    <w:tr2bl w:val="nil"/>
                  </w:tcBorders>
                  <w:shd w:val="clear" w:color="auto" w:fill="auto"/>
                  <w:vAlign w:val="center"/>
                </w:tcPr>
                <w:p w14:paraId="1D75B83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56FAA7EA">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0.5792</w:t>
                  </w:r>
                </w:p>
              </w:tc>
              <w:tc>
                <w:tcPr>
                  <w:tcW w:w="801" w:type="dxa"/>
                  <w:vMerge w:val="restart"/>
                  <w:tcBorders>
                    <w:tl2br w:val="nil"/>
                    <w:tr2bl w:val="nil"/>
                  </w:tcBorders>
                  <w:shd w:val="clear" w:color="auto" w:fill="auto"/>
                  <w:vAlign w:val="center"/>
                </w:tcPr>
                <w:p w14:paraId="39E9925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3.468</w:t>
                  </w:r>
                </w:p>
              </w:tc>
              <w:tc>
                <w:tcPr>
                  <w:tcW w:w="915" w:type="dxa"/>
                  <w:vMerge w:val="restart"/>
                  <w:tcBorders>
                    <w:tl2br w:val="nil"/>
                    <w:tr2bl w:val="nil"/>
                  </w:tcBorders>
                  <w:vAlign w:val="center"/>
                </w:tcPr>
                <w:p w14:paraId="468A5C9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cs="Times New Roman"/>
                      <w:bCs/>
                      <w:color w:val="auto"/>
                      <w:sz w:val="18"/>
                      <w:szCs w:val="18"/>
                      <w:highlight w:val="none"/>
                      <w:lang w:val="en-US" w:eastAsia="zh-CN"/>
                    </w:rPr>
                    <w:t>9.818</w:t>
                  </w:r>
                </w:p>
              </w:tc>
              <w:tc>
                <w:tcPr>
                  <w:tcW w:w="522" w:type="dxa"/>
                  <w:vMerge w:val="restart"/>
                  <w:tcBorders>
                    <w:tl2br w:val="nil"/>
                    <w:tr2bl w:val="nil"/>
                  </w:tcBorders>
                  <w:vAlign w:val="center"/>
                </w:tcPr>
                <w:p w14:paraId="5027194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r>
                    <w:rPr>
                      <w:rFonts w:hint="default" w:ascii="Times New Roman" w:hAnsi="Times New Roman" w:eastAsia="宋体" w:cs="Times New Roman"/>
                      <w:bCs/>
                      <w:color w:val="auto"/>
                      <w:sz w:val="18"/>
                      <w:szCs w:val="18"/>
                      <w:highlight w:val="none"/>
                    </w:rPr>
                    <w:t>达标</w:t>
                  </w:r>
                </w:p>
              </w:tc>
            </w:tr>
            <w:tr w14:paraId="7C621F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70970F3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沼气燃烧废气排气筒DA00</w:t>
                  </w:r>
                  <w:r>
                    <w:rPr>
                      <w:rFonts w:hint="eastAsia" w:cs="Times New Roman"/>
                      <w:bCs/>
                      <w:color w:val="auto"/>
                      <w:sz w:val="18"/>
                      <w:szCs w:val="18"/>
                      <w:highlight w:val="none"/>
                      <w:lang w:val="en-US" w:eastAsia="zh-CN"/>
                    </w:rPr>
                    <w:t>7</w:t>
                  </w:r>
                </w:p>
              </w:tc>
              <w:tc>
                <w:tcPr>
                  <w:tcW w:w="1059" w:type="dxa"/>
                  <w:vMerge w:val="continue"/>
                  <w:tcBorders>
                    <w:tl2br w:val="nil"/>
                    <w:tr2bl w:val="nil"/>
                  </w:tcBorders>
                  <w:vAlign w:val="center"/>
                </w:tcPr>
                <w:p w14:paraId="4DA5391A">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327" w:type="dxa"/>
                  <w:tcBorders>
                    <w:tl2br w:val="nil"/>
                    <w:tr2bl w:val="nil"/>
                  </w:tcBorders>
                  <w:vAlign w:val="center"/>
                </w:tcPr>
                <w:p w14:paraId="07533A7C">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rPr>
                  </w:pPr>
                  <w:r>
                    <w:rPr>
                      <w:rFonts w:hint="eastAsia" w:cs="Times New Roman"/>
                      <w:i w:val="0"/>
                      <w:iCs w:val="0"/>
                      <w:color w:val="auto"/>
                      <w:kern w:val="0"/>
                      <w:sz w:val="18"/>
                      <w:szCs w:val="18"/>
                      <w:highlight w:val="none"/>
                      <w:u w:val="none"/>
                      <w:lang w:val="en-US" w:eastAsia="zh-CN" w:bidi="ar"/>
                    </w:rPr>
                    <w:t>0.0887</w:t>
                  </w:r>
                </w:p>
              </w:tc>
              <w:tc>
                <w:tcPr>
                  <w:tcW w:w="1305" w:type="dxa"/>
                  <w:tcBorders>
                    <w:tl2br w:val="nil"/>
                    <w:tr2bl w:val="nil"/>
                  </w:tcBorders>
                  <w:shd w:val="clear" w:color="auto" w:fill="auto"/>
                  <w:vAlign w:val="center"/>
                </w:tcPr>
                <w:p w14:paraId="00F87000">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0.09856</w:t>
                  </w:r>
                </w:p>
              </w:tc>
              <w:tc>
                <w:tcPr>
                  <w:tcW w:w="1030" w:type="dxa"/>
                  <w:tcBorders>
                    <w:tl2br w:val="nil"/>
                    <w:tr2bl w:val="nil"/>
                  </w:tcBorders>
                  <w:shd w:val="clear" w:color="auto" w:fill="auto"/>
                  <w:vAlign w:val="center"/>
                </w:tcPr>
                <w:p w14:paraId="6FC1D15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4CA870EC">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0.7392</w:t>
                  </w:r>
                </w:p>
              </w:tc>
              <w:tc>
                <w:tcPr>
                  <w:tcW w:w="801" w:type="dxa"/>
                  <w:vMerge w:val="continue"/>
                  <w:tcBorders>
                    <w:tl2br w:val="nil"/>
                    <w:tr2bl w:val="nil"/>
                  </w:tcBorders>
                  <w:vAlign w:val="center"/>
                </w:tcPr>
                <w:p w14:paraId="7C33A18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5603C366">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0602E7C0">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r w14:paraId="2BE358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50" w:type="dxa"/>
                  <w:tcBorders>
                    <w:tl2br w:val="nil"/>
                    <w:tr2bl w:val="nil"/>
                  </w:tcBorders>
                  <w:shd w:val="clear" w:color="auto" w:fill="auto"/>
                  <w:vAlign w:val="center"/>
                </w:tcPr>
                <w:p w14:paraId="4769AC39">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sz w:val="18"/>
                      <w:szCs w:val="18"/>
                      <w:highlight w:val="none"/>
                    </w:rPr>
                    <w:t>沼气燃烧废气排气筒DA0</w:t>
                  </w:r>
                  <w:r>
                    <w:rPr>
                      <w:rFonts w:hint="eastAsia" w:cs="Times New Roman"/>
                      <w:bCs/>
                      <w:color w:val="auto"/>
                      <w:sz w:val="18"/>
                      <w:szCs w:val="18"/>
                      <w:highlight w:val="none"/>
                      <w:lang w:val="en-US" w:eastAsia="zh-CN"/>
                    </w:rPr>
                    <w:t>10</w:t>
                  </w:r>
                </w:p>
              </w:tc>
              <w:tc>
                <w:tcPr>
                  <w:tcW w:w="1059" w:type="dxa"/>
                  <w:vMerge w:val="continue"/>
                  <w:tcBorders>
                    <w:tl2br w:val="nil"/>
                    <w:tr2bl w:val="nil"/>
                  </w:tcBorders>
                  <w:vAlign w:val="center"/>
                </w:tcPr>
                <w:p w14:paraId="08D1FBC5">
                  <w:pPr>
                    <w:keepNext w:val="0"/>
                    <w:keepLines w:val="0"/>
                    <w:pageBreakBefore w:val="0"/>
                    <w:widowControl/>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color w:val="auto"/>
                      <w:sz w:val="18"/>
                      <w:szCs w:val="18"/>
                      <w:highlight w:val="none"/>
                    </w:rPr>
                  </w:pPr>
                </w:p>
              </w:tc>
              <w:tc>
                <w:tcPr>
                  <w:tcW w:w="1327" w:type="dxa"/>
                  <w:tcBorders>
                    <w:tl2br w:val="nil"/>
                    <w:tr2bl w:val="nil"/>
                  </w:tcBorders>
                  <w:vAlign w:val="center"/>
                </w:tcPr>
                <w:p w14:paraId="24718447">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rPr>
                  </w:pPr>
                  <w:r>
                    <w:rPr>
                      <w:rFonts w:hint="eastAsia" w:cs="Times New Roman"/>
                      <w:i w:val="0"/>
                      <w:iCs w:val="0"/>
                      <w:color w:val="auto"/>
                      <w:kern w:val="0"/>
                      <w:sz w:val="18"/>
                      <w:szCs w:val="18"/>
                      <w:highlight w:val="none"/>
                      <w:u w:val="none"/>
                      <w:lang w:val="en-US" w:eastAsia="zh-CN" w:bidi="ar"/>
                    </w:rPr>
                    <w:t>0.0499</w:t>
                  </w:r>
                </w:p>
              </w:tc>
              <w:tc>
                <w:tcPr>
                  <w:tcW w:w="1305" w:type="dxa"/>
                  <w:tcBorders>
                    <w:tl2br w:val="nil"/>
                    <w:tr2bl w:val="nil"/>
                  </w:tcBorders>
                  <w:shd w:val="clear" w:color="auto" w:fill="auto"/>
                  <w:vAlign w:val="center"/>
                </w:tcPr>
                <w:p w14:paraId="1DD5938C">
                  <w:pPr>
                    <w:keepNext w:val="0"/>
                    <w:keepLines w:val="0"/>
                    <w:pageBreakBefore w:val="0"/>
                    <w:widowControl/>
                    <w:suppressLineNumbers w:val="0"/>
                    <w:kinsoku/>
                    <w:wordWrap/>
                    <w:overflowPunct/>
                    <w:topLinePunct w:val="0"/>
                    <w:autoSpaceDE/>
                    <w:autoSpaceDN/>
                    <w:bidi w:val="0"/>
                    <w:adjustRightInd w:val="0"/>
                    <w:snapToGrid w:val="0"/>
                    <w:spacing w:line="240" w:lineRule="auto"/>
                    <w:jc w:val="center"/>
                    <w:textAlignment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0.0554</w:t>
                  </w:r>
                </w:p>
              </w:tc>
              <w:tc>
                <w:tcPr>
                  <w:tcW w:w="1030" w:type="dxa"/>
                  <w:tcBorders>
                    <w:tl2br w:val="nil"/>
                    <w:tr2bl w:val="nil"/>
                  </w:tcBorders>
                  <w:shd w:val="clear" w:color="auto" w:fill="auto"/>
                  <w:vAlign w:val="center"/>
                </w:tcPr>
                <w:p w14:paraId="4912172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kern w:val="2"/>
                      <w:sz w:val="18"/>
                      <w:szCs w:val="18"/>
                      <w:highlight w:val="none"/>
                      <w:lang w:val="en-US" w:eastAsia="zh-CN" w:bidi="ar-SA"/>
                    </w:rPr>
                  </w:pPr>
                  <w:r>
                    <w:rPr>
                      <w:rFonts w:hint="eastAsia" w:cs="Times New Roman"/>
                      <w:bCs/>
                      <w:color w:val="auto"/>
                      <w:sz w:val="18"/>
                      <w:szCs w:val="18"/>
                      <w:highlight w:val="none"/>
                      <w:lang w:val="en-US" w:eastAsia="zh-CN"/>
                    </w:rPr>
                    <w:t>7500</w:t>
                  </w:r>
                </w:p>
              </w:tc>
              <w:tc>
                <w:tcPr>
                  <w:tcW w:w="756" w:type="dxa"/>
                  <w:tcBorders>
                    <w:tl2br w:val="nil"/>
                    <w:tr2bl w:val="nil"/>
                  </w:tcBorders>
                  <w:shd w:val="clear" w:color="auto" w:fill="auto"/>
                  <w:vAlign w:val="center"/>
                </w:tcPr>
                <w:p w14:paraId="4EBECC88">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0.4158</w:t>
                  </w:r>
                </w:p>
              </w:tc>
              <w:tc>
                <w:tcPr>
                  <w:tcW w:w="801" w:type="dxa"/>
                  <w:vMerge w:val="continue"/>
                  <w:tcBorders>
                    <w:tl2br w:val="nil"/>
                    <w:tr2bl w:val="nil"/>
                  </w:tcBorders>
                  <w:vAlign w:val="center"/>
                </w:tcPr>
                <w:p w14:paraId="6F2663A2">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lang w:val="en-US" w:eastAsia="zh-CN"/>
                    </w:rPr>
                  </w:pPr>
                </w:p>
              </w:tc>
              <w:tc>
                <w:tcPr>
                  <w:tcW w:w="915" w:type="dxa"/>
                  <w:vMerge w:val="continue"/>
                  <w:tcBorders>
                    <w:tl2br w:val="nil"/>
                    <w:tr2bl w:val="nil"/>
                  </w:tcBorders>
                  <w:vAlign w:val="center"/>
                </w:tcPr>
                <w:p w14:paraId="3E3C6244">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c>
                <w:tcPr>
                  <w:tcW w:w="522" w:type="dxa"/>
                  <w:vMerge w:val="continue"/>
                  <w:tcBorders>
                    <w:tl2br w:val="nil"/>
                    <w:tr2bl w:val="nil"/>
                  </w:tcBorders>
                  <w:vAlign w:val="center"/>
                </w:tcPr>
                <w:p w14:paraId="21E72295">
                  <w:pPr>
                    <w:keepNext w:val="0"/>
                    <w:keepLines w:val="0"/>
                    <w:pageBreakBefore w:val="0"/>
                    <w:kinsoku/>
                    <w:wordWrap/>
                    <w:overflowPunct/>
                    <w:topLinePunct w:val="0"/>
                    <w:autoSpaceDE/>
                    <w:autoSpaceDN/>
                    <w:bidi w:val="0"/>
                    <w:adjustRightInd w:val="0"/>
                    <w:snapToGrid w:val="0"/>
                    <w:spacing w:line="240" w:lineRule="auto"/>
                    <w:jc w:val="center"/>
                    <w:rPr>
                      <w:rFonts w:hint="default" w:ascii="Times New Roman" w:hAnsi="Times New Roman" w:eastAsia="宋体" w:cs="Times New Roman"/>
                      <w:bCs/>
                      <w:color w:val="auto"/>
                      <w:sz w:val="18"/>
                      <w:szCs w:val="18"/>
                      <w:highlight w:val="none"/>
                    </w:rPr>
                  </w:pPr>
                </w:p>
              </w:tc>
            </w:tr>
          </w:tbl>
          <w:p w14:paraId="0068DA00">
            <w:pPr>
              <w:keepNext w:val="0"/>
              <w:keepLines w:val="0"/>
              <w:pageBreakBefore w:val="0"/>
              <w:kinsoku/>
              <w:wordWrap/>
              <w:overflowPunct/>
              <w:topLinePunct w:val="0"/>
              <w:autoSpaceDE/>
              <w:autoSpaceDN/>
              <w:bidi w:val="0"/>
              <w:adjustRightInd w:val="0"/>
              <w:snapToGrid w:val="0"/>
              <w:spacing w:line="240" w:lineRule="auto"/>
              <w:jc w:val="left"/>
              <w:rPr>
                <w:rFonts w:hint="eastAsia"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eastAsia="zh-CN"/>
              </w:rPr>
              <w:t>注：</w:t>
            </w:r>
            <w:r>
              <w:rPr>
                <w:rFonts w:hint="eastAsia" w:cs="Times New Roman"/>
                <w:bCs/>
                <w:color w:val="auto"/>
                <w:sz w:val="18"/>
                <w:szCs w:val="18"/>
                <w:highlight w:val="none"/>
                <w:lang w:eastAsia="zh-CN"/>
              </w:rPr>
              <w:t>①由于</w:t>
            </w:r>
            <w:r>
              <w:rPr>
                <w:rFonts w:hint="default" w:ascii="Times New Roman" w:hAnsi="Times New Roman" w:eastAsia="宋体" w:cs="Times New Roman"/>
                <w:bCs/>
                <w:color w:val="auto"/>
                <w:sz w:val="18"/>
                <w:szCs w:val="18"/>
                <w:highlight w:val="none"/>
              </w:rPr>
              <w:t>沼气燃烧废气排气筒DA0</w:t>
            </w:r>
            <w:r>
              <w:rPr>
                <w:rFonts w:hint="eastAsia" w:cs="Times New Roman"/>
                <w:bCs/>
                <w:color w:val="auto"/>
                <w:sz w:val="18"/>
                <w:szCs w:val="18"/>
                <w:highlight w:val="none"/>
                <w:lang w:val="en-US" w:eastAsia="zh-CN"/>
              </w:rPr>
              <w:t>10的二氧化硫为未检出，本次总量以其检出限（3.0mg/m</w:t>
            </w:r>
            <w:r>
              <w:rPr>
                <w:rFonts w:hint="eastAsia" w:cs="Times New Roman"/>
                <w:bCs/>
                <w:color w:val="auto"/>
                <w:sz w:val="18"/>
                <w:szCs w:val="18"/>
                <w:highlight w:val="none"/>
                <w:vertAlign w:val="superscript"/>
                <w:lang w:val="en-US" w:eastAsia="zh-CN"/>
              </w:rPr>
              <w:t>3</w:t>
            </w:r>
            <w:r>
              <w:rPr>
                <w:rFonts w:hint="eastAsia" w:cs="Times New Roman"/>
                <w:bCs/>
                <w:color w:val="auto"/>
                <w:sz w:val="18"/>
                <w:szCs w:val="18"/>
                <w:highlight w:val="none"/>
                <w:lang w:val="en-US" w:eastAsia="zh-CN"/>
              </w:rPr>
              <w:t>）的一半进行核算；</w:t>
            </w:r>
          </w:p>
          <w:p w14:paraId="18A8112E">
            <w:pPr>
              <w:keepNext w:val="0"/>
              <w:keepLines w:val="0"/>
              <w:pageBreakBefore w:val="0"/>
              <w:kinsoku/>
              <w:wordWrap/>
              <w:overflowPunct/>
              <w:topLinePunct w:val="0"/>
              <w:autoSpaceDE/>
              <w:autoSpaceDN/>
              <w:bidi w:val="0"/>
              <w:adjustRightInd w:val="0"/>
              <w:snapToGrid w:val="0"/>
              <w:spacing w:line="240" w:lineRule="auto"/>
              <w:ind w:firstLine="360" w:firstLineChars="200"/>
              <w:jc w:val="left"/>
              <w:rPr>
                <w:rFonts w:hint="eastAsia"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eastAsia="zh-CN"/>
              </w:rPr>
              <w:t>②其它数据采用</w:t>
            </w:r>
            <w:r>
              <w:rPr>
                <w:rFonts w:hint="eastAsia" w:ascii="Times New Roman" w:hAnsi="Times New Roman" w:eastAsia="宋体" w:cs="Times New Roman"/>
                <w:bCs/>
                <w:color w:val="auto"/>
                <w:sz w:val="18"/>
                <w:szCs w:val="18"/>
                <w:highlight w:val="none"/>
                <w:lang w:val="en-US" w:eastAsia="zh-CN"/>
              </w:rPr>
              <w:t>2024年12月10日的监测数据最大值进行核算。</w:t>
            </w:r>
          </w:p>
          <w:p w14:paraId="3A5AAC93">
            <w:pPr>
              <w:pStyle w:val="2"/>
              <w:ind w:firstLine="360" w:firstLineChars="200"/>
              <w:rPr>
                <w:rFonts w:hint="default"/>
                <w:lang w:val="en-US" w:eastAsia="zh-CN"/>
              </w:rPr>
            </w:pPr>
            <w:r>
              <w:rPr>
                <w:rFonts w:hint="eastAsia" w:ascii="Times New Roman" w:hAnsi="Times New Roman" w:eastAsia="宋体" w:cs="Times New Roman"/>
                <w:bCs/>
                <w:color w:val="auto"/>
                <w:sz w:val="18"/>
                <w:szCs w:val="18"/>
                <w:highlight w:val="none"/>
                <w:lang w:val="en-US" w:eastAsia="zh-CN"/>
              </w:rPr>
              <w:t>③由于续建工程只测了一半的排放口，故实际排放总量合计数据为小计数据相加，再乘以2得出的。</w:t>
            </w:r>
          </w:p>
          <w:p w14:paraId="13C6F8FC">
            <w:pPr>
              <w:adjustRightInd/>
              <w:snapToGrid/>
              <w:spacing w:line="360" w:lineRule="auto"/>
              <w:ind w:firstLine="480" w:firstLineChars="200"/>
              <w:rPr>
                <w:rFonts w:hint="eastAsia"/>
                <w:color w:val="auto"/>
                <w:sz w:val="24"/>
                <w:szCs w:val="24"/>
                <w:highlight w:val="none"/>
              </w:rPr>
            </w:pPr>
            <w:r>
              <w:rPr>
                <w:rFonts w:hint="eastAsia"/>
                <w:color w:val="auto"/>
                <w:sz w:val="24"/>
                <w:szCs w:val="24"/>
                <w:highlight w:val="none"/>
              </w:rPr>
              <w:t>由上表分析可知，项目废气污染物颗粒物、二氧化硫、氮氧化物排放总量符合环评报告及批复提出的污染物总量指标要求。</w:t>
            </w:r>
          </w:p>
          <w:p w14:paraId="53F131A5">
            <w:pPr>
              <w:pStyle w:val="12"/>
            </w:pPr>
          </w:p>
        </w:tc>
      </w:tr>
    </w:tbl>
    <w:p w14:paraId="5360B851">
      <w:pPr>
        <w:pStyle w:val="4"/>
        <w:adjustRightInd/>
        <w:snapToGrid/>
        <w:rPr>
          <w:color w:val="auto"/>
          <w:highlight w:val="none"/>
        </w:rPr>
      </w:pPr>
      <w:bookmarkStart w:id="8" w:name="_Toc24591"/>
      <w:r>
        <w:rPr>
          <w:rFonts w:hint="eastAsia"/>
          <w:color w:val="auto"/>
          <w:highlight w:val="none"/>
        </w:rPr>
        <w:t>表八环境管理检查结果</w:t>
      </w:r>
      <w:bookmarkEnd w:id="8"/>
    </w:p>
    <w:tbl>
      <w:tblPr>
        <w:tblStyle w:val="29"/>
        <w:tblW w:w="9286" w:type="dxa"/>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9286"/>
      </w:tblGrid>
      <w:tr w14:paraId="0844E8E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289" w:hRule="atLeast"/>
        </w:trPr>
        <w:tc>
          <w:tcPr>
            <w:tcW w:w="9286" w:type="dxa"/>
          </w:tcPr>
          <w:p w14:paraId="11532620">
            <w:pPr>
              <w:adjustRightInd/>
              <w:snapToGrid/>
              <w:spacing w:line="360" w:lineRule="auto"/>
              <w:rPr>
                <w:rFonts w:eastAsia="黑体"/>
                <w:b/>
                <w:color w:val="auto"/>
                <w:sz w:val="24"/>
                <w:highlight w:val="none"/>
              </w:rPr>
            </w:pPr>
            <w:r>
              <w:rPr>
                <w:rFonts w:hint="eastAsia" w:eastAsia="黑体"/>
                <w:b/>
                <w:color w:val="auto"/>
                <w:sz w:val="24"/>
                <w:highlight w:val="none"/>
              </w:rPr>
              <w:t>8.1建设项目执行国家建设项目环境管理制度情况</w:t>
            </w:r>
          </w:p>
          <w:p w14:paraId="491877D9">
            <w:pPr>
              <w:pStyle w:val="7"/>
              <w:adjustRightInd/>
              <w:snapToGrid/>
              <w:spacing w:line="360" w:lineRule="auto"/>
              <w:rPr>
                <w:color w:val="auto"/>
                <w:highlight w:val="none"/>
              </w:rPr>
            </w:pPr>
            <w:r>
              <w:rPr>
                <w:rFonts w:eastAsiaTheme="minorEastAsia"/>
                <w:color w:val="auto"/>
                <w:highlight w:val="none"/>
              </w:rPr>
              <w:t>项目实施前，进行了该工程的环境影响评价；项目在实施过程中，执行了国家建设项目环境保护</w:t>
            </w:r>
            <w:r>
              <w:rPr>
                <w:rFonts w:hint="eastAsia" w:eastAsiaTheme="minorEastAsia"/>
                <w:color w:val="auto"/>
                <w:highlight w:val="none"/>
              </w:rPr>
              <w:t>“</w:t>
            </w:r>
            <w:r>
              <w:rPr>
                <w:rFonts w:eastAsiaTheme="minorEastAsia"/>
                <w:color w:val="auto"/>
                <w:highlight w:val="none"/>
              </w:rPr>
              <w:t>三同时</w:t>
            </w:r>
            <w:r>
              <w:rPr>
                <w:rFonts w:hint="eastAsia" w:eastAsiaTheme="minorEastAsia"/>
                <w:color w:val="auto"/>
                <w:highlight w:val="none"/>
              </w:rPr>
              <w:t>”</w:t>
            </w:r>
            <w:r>
              <w:rPr>
                <w:rFonts w:eastAsiaTheme="minorEastAsia"/>
                <w:color w:val="auto"/>
                <w:highlight w:val="none"/>
              </w:rPr>
              <w:t>制度，</w:t>
            </w:r>
            <w:r>
              <w:rPr>
                <w:color w:val="auto"/>
                <w:highlight w:val="none"/>
              </w:rPr>
              <w:t>环保设施与主体工程</w:t>
            </w:r>
            <w:r>
              <w:rPr>
                <w:rFonts w:hint="eastAsia"/>
                <w:color w:val="auto"/>
                <w:highlight w:val="none"/>
              </w:rPr>
              <w:t>同时设计、同时施工、同时投产使用</w:t>
            </w:r>
            <w:r>
              <w:rPr>
                <w:color w:val="auto"/>
                <w:highlight w:val="none"/>
              </w:rPr>
              <w:t>。</w:t>
            </w:r>
          </w:p>
          <w:p w14:paraId="27E573B7">
            <w:pPr>
              <w:adjustRightInd/>
              <w:snapToGrid/>
              <w:spacing w:line="360" w:lineRule="auto"/>
              <w:rPr>
                <w:rFonts w:eastAsia="黑体"/>
                <w:b/>
                <w:color w:val="auto"/>
                <w:sz w:val="24"/>
                <w:highlight w:val="none"/>
              </w:rPr>
            </w:pPr>
            <w:r>
              <w:rPr>
                <w:rFonts w:hint="eastAsia" w:eastAsia="黑体"/>
                <w:b/>
                <w:color w:val="auto"/>
                <w:sz w:val="24"/>
                <w:highlight w:val="none"/>
              </w:rPr>
              <w:t>8.2环境保护档案管理情况</w:t>
            </w:r>
          </w:p>
          <w:p w14:paraId="37EE2C30">
            <w:pPr>
              <w:adjustRightInd/>
              <w:snapToGrid/>
              <w:spacing w:line="360" w:lineRule="auto"/>
              <w:ind w:firstLine="480" w:firstLineChars="200"/>
              <w:rPr>
                <w:bCs/>
                <w:snapToGrid w:val="0"/>
                <w:color w:val="auto"/>
                <w:kern w:val="0"/>
                <w:sz w:val="24"/>
                <w:highlight w:val="none"/>
              </w:rPr>
            </w:pPr>
            <w:r>
              <w:rPr>
                <w:rFonts w:hint="eastAsia" w:eastAsiaTheme="minorEastAsia"/>
                <w:color w:val="auto"/>
                <w:kern w:val="0"/>
                <w:sz w:val="24"/>
                <w:szCs w:val="24"/>
                <w:highlight w:val="none"/>
                <w:lang w:eastAsia="zh-CN"/>
              </w:rPr>
              <w:t>项目</w:t>
            </w:r>
            <w:r>
              <w:rPr>
                <w:rFonts w:hint="eastAsia"/>
                <w:bCs/>
                <w:snapToGrid w:val="0"/>
                <w:color w:val="auto"/>
                <w:kern w:val="0"/>
                <w:sz w:val="24"/>
                <w:highlight w:val="none"/>
              </w:rPr>
              <w:t>建立了较为完善的环保档案管理制度，各类环保档案由专职人员进行管理</w:t>
            </w:r>
            <w:r>
              <w:rPr>
                <w:bCs/>
                <w:snapToGrid w:val="0"/>
                <w:color w:val="auto"/>
                <w:kern w:val="0"/>
                <w:sz w:val="24"/>
                <w:highlight w:val="none"/>
              </w:rPr>
              <w:t>。</w:t>
            </w:r>
          </w:p>
          <w:p w14:paraId="40CC3D5B">
            <w:pPr>
              <w:adjustRightInd/>
              <w:snapToGrid/>
              <w:spacing w:line="360" w:lineRule="auto"/>
              <w:rPr>
                <w:rFonts w:eastAsia="黑体"/>
                <w:b/>
                <w:color w:val="auto"/>
                <w:sz w:val="24"/>
                <w:highlight w:val="none"/>
              </w:rPr>
            </w:pPr>
            <w:r>
              <w:rPr>
                <w:rFonts w:hint="eastAsia" w:eastAsia="黑体"/>
                <w:b/>
                <w:color w:val="auto"/>
                <w:sz w:val="24"/>
                <w:highlight w:val="none"/>
              </w:rPr>
              <w:t>8.3环境保护管理规章制度的建立及执行情况</w:t>
            </w:r>
          </w:p>
          <w:p w14:paraId="1690FE4D">
            <w:pPr>
              <w:pStyle w:val="7"/>
              <w:adjustRightInd/>
              <w:snapToGrid/>
              <w:spacing w:line="360" w:lineRule="auto"/>
              <w:rPr>
                <w:rFonts w:hint="eastAsia" w:ascii="Times New Roman" w:hAnsi="Times New Roman" w:cs="Times New Roman" w:eastAsiaTheme="minorEastAsia"/>
                <w:color w:val="auto"/>
                <w:highlight w:val="none"/>
              </w:rPr>
            </w:pPr>
            <w:r>
              <w:rPr>
                <w:rFonts w:hint="eastAsia" w:ascii="Times New Roman" w:hAnsi="Times New Roman" w:cs="Times New Roman" w:eastAsiaTheme="minorEastAsia"/>
                <w:color w:val="auto"/>
                <w:highlight w:val="none"/>
                <w:lang w:eastAsia="zh-CN"/>
              </w:rPr>
              <w:t>武汉环投环境科技有限公司</w:t>
            </w:r>
            <w:r>
              <w:rPr>
                <w:rFonts w:hint="eastAsia" w:ascii="Times New Roman" w:hAnsi="Times New Roman" w:cs="Times New Roman" w:eastAsiaTheme="minorEastAsia"/>
                <w:color w:val="auto"/>
                <w:highlight w:val="none"/>
              </w:rPr>
              <w:t>建立有较为完善的环境保护规章制度，配备了专门的环境管理人员协调</w:t>
            </w:r>
            <w:r>
              <w:rPr>
                <w:rFonts w:hint="eastAsia" w:ascii="Times New Roman" w:hAnsi="Times New Roman" w:cs="Times New Roman" w:eastAsiaTheme="minorEastAsia"/>
                <w:color w:val="auto"/>
                <w:highlight w:val="none"/>
                <w:lang w:eastAsia="zh-CN"/>
              </w:rPr>
              <w:t>该项目</w:t>
            </w:r>
            <w:r>
              <w:rPr>
                <w:rFonts w:hint="eastAsia" w:ascii="Times New Roman" w:hAnsi="Times New Roman" w:cs="Times New Roman" w:eastAsiaTheme="minorEastAsia"/>
                <w:color w:val="auto"/>
                <w:highlight w:val="none"/>
              </w:rPr>
              <w:t>与环保部门的工作并按照环境保护管理规章制度对</w:t>
            </w:r>
            <w:r>
              <w:rPr>
                <w:rFonts w:hint="eastAsia" w:ascii="Times New Roman" w:hAnsi="Times New Roman" w:cs="Times New Roman" w:eastAsiaTheme="minorEastAsia"/>
                <w:color w:val="auto"/>
                <w:highlight w:val="none"/>
                <w:lang w:eastAsia="zh-CN"/>
              </w:rPr>
              <w:t>该项目</w:t>
            </w:r>
            <w:r>
              <w:rPr>
                <w:rFonts w:hint="eastAsia" w:ascii="Times New Roman" w:hAnsi="Times New Roman" w:cs="Times New Roman" w:eastAsiaTheme="minorEastAsia"/>
                <w:color w:val="auto"/>
                <w:highlight w:val="none"/>
              </w:rPr>
              <w:t>进行环境管理，各项环保规章制度健全，人员责任分工合理，奖惩制度合理有效，可使</w:t>
            </w:r>
            <w:r>
              <w:rPr>
                <w:rFonts w:hint="eastAsia" w:ascii="Times New Roman" w:hAnsi="Times New Roman" w:cs="Times New Roman" w:eastAsiaTheme="minorEastAsia"/>
                <w:color w:val="auto"/>
                <w:highlight w:val="none"/>
                <w:lang w:eastAsia="zh-CN"/>
              </w:rPr>
              <w:t>续建工程</w:t>
            </w:r>
            <w:r>
              <w:rPr>
                <w:rFonts w:hint="eastAsia" w:ascii="Times New Roman" w:hAnsi="Times New Roman" w:cs="Times New Roman" w:eastAsiaTheme="minorEastAsia"/>
                <w:color w:val="auto"/>
                <w:highlight w:val="none"/>
              </w:rPr>
              <w:t>环境管理运行有序。</w:t>
            </w:r>
          </w:p>
          <w:p w14:paraId="1AE10C36">
            <w:pPr>
              <w:spacing w:line="300" w:lineRule="auto"/>
              <w:rPr>
                <w:rFonts w:eastAsia="黑体"/>
                <w:b/>
                <w:bCs/>
                <w:sz w:val="24"/>
              </w:rPr>
            </w:pPr>
            <w:r>
              <w:rPr>
                <w:rFonts w:eastAsia="黑体"/>
                <w:b/>
                <w:bCs/>
                <w:sz w:val="24"/>
              </w:rPr>
              <w:t>8.4环评批复落实情况</w:t>
            </w:r>
          </w:p>
          <w:p w14:paraId="6F5CF183">
            <w:pPr>
              <w:pStyle w:val="7"/>
              <w:adjustRightInd/>
              <w:snapToGrid/>
              <w:spacing w:line="360" w:lineRule="auto"/>
              <w:rPr>
                <w:rFonts w:hint="eastAsia" w:ascii="Times New Roman" w:hAnsi="Times New Roman" w:cs="Times New Roman" w:eastAsiaTheme="minorEastAsia"/>
                <w:color w:val="auto"/>
                <w:highlight w:val="none"/>
                <w:lang w:eastAsia="zh-CN"/>
              </w:rPr>
            </w:pPr>
            <w:r>
              <w:rPr>
                <w:rFonts w:hint="eastAsia" w:ascii="Times New Roman" w:hAnsi="Times New Roman" w:cs="Times New Roman" w:eastAsiaTheme="minorEastAsia"/>
                <w:color w:val="auto"/>
                <w:highlight w:val="none"/>
                <w:lang w:eastAsia="zh-CN"/>
              </w:rPr>
              <w:t>本项目施工期及运营期已按照环评报告及环评批复要求落实了相应的环保措施。</w:t>
            </w:r>
          </w:p>
          <w:p w14:paraId="37697EF4">
            <w:pPr>
              <w:pStyle w:val="72"/>
              <w:adjustRightInd/>
              <w:snapToGrid/>
              <w:jc w:val="both"/>
              <w:rPr>
                <w:rFonts w:ascii="Times New Roman" w:hAnsi="Times New Roman" w:eastAsia="宋体"/>
                <w:b/>
                <w:color w:val="auto"/>
                <w:sz w:val="24"/>
                <w:highlight w:val="none"/>
              </w:rPr>
            </w:pPr>
          </w:p>
        </w:tc>
      </w:tr>
    </w:tbl>
    <w:p w14:paraId="146683DB">
      <w:pPr>
        <w:pStyle w:val="4"/>
        <w:adjustRightInd/>
        <w:snapToGrid/>
        <w:rPr>
          <w:color w:val="auto"/>
          <w:highlight w:val="none"/>
        </w:rPr>
      </w:pPr>
      <w:bookmarkStart w:id="9" w:name="_Toc30547"/>
      <w:r>
        <w:rPr>
          <w:rFonts w:hint="eastAsia"/>
          <w:color w:val="auto"/>
          <w:highlight w:val="none"/>
        </w:rPr>
        <w:t>表九验收监测结论及建议</w:t>
      </w:r>
      <w:bookmarkEnd w:id="9"/>
    </w:p>
    <w:tbl>
      <w:tblPr>
        <w:tblStyle w:val="29"/>
        <w:tblW w:w="9286" w:type="dxa"/>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9286"/>
      </w:tblGrid>
      <w:tr w14:paraId="0AA312F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2890" w:hRule="atLeast"/>
        </w:trPr>
        <w:tc>
          <w:tcPr>
            <w:tcW w:w="9286" w:type="dxa"/>
          </w:tcPr>
          <w:p w14:paraId="58C0092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eastAsia="黑体"/>
                <w:b/>
                <w:color w:val="auto"/>
                <w:sz w:val="24"/>
                <w:szCs w:val="24"/>
                <w:highlight w:val="none"/>
              </w:rPr>
            </w:pPr>
            <w:r>
              <w:rPr>
                <w:rFonts w:hint="eastAsia" w:eastAsia="黑体"/>
                <w:b/>
                <w:color w:val="auto"/>
                <w:sz w:val="24"/>
                <w:szCs w:val="24"/>
                <w:highlight w:val="none"/>
                <w:lang w:val="en-US" w:eastAsia="zh-CN"/>
              </w:rPr>
              <w:t>9</w:t>
            </w:r>
            <w:r>
              <w:rPr>
                <w:rFonts w:hint="eastAsia" w:eastAsia="黑体"/>
                <w:b/>
                <w:color w:val="auto"/>
                <w:sz w:val="24"/>
                <w:szCs w:val="24"/>
                <w:highlight w:val="none"/>
              </w:rPr>
              <w:t>.1验收监测达标排放情况</w:t>
            </w:r>
          </w:p>
          <w:p w14:paraId="3BDBB0BE">
            <w:pPr>
              <w:autoSpaceDE w:val="0"/>
              <w:autoSpaceDN w:val="0"/>
              <w:adjustRightInd/>
              <w:snapToGrid/>
              <w:spacing w:line="360" w:lineRule="auto"/>
              <w:ind w:firstLine="480" w:firstLineChars="200"/>
              <w:jc w:val="left"/>
              <w:rPr>
                <w:rFonts w:hint="eastAsia" w:eastAsia="宋体"/>
                <w:color w:val="auto"/>
                <w:sz w:val="24"/>
                <w:highlight w:val="none"/>
                <w:lang w:eastAsia="zh-CN"/>
              </w:rPr>
            </w:pPr>
            <w:r>
              <w:rPr>
                <w:rFonts w:hint="eastAsia"/>
                <w:color w:val="auto"/>
                <w:sz w:val="24"/>
                <w:highlight w:val="none"/>
              </w:rPr>
              <w:t>（1）</w:t>
            </w:r>
            <w:r>
              <w:rPr>
                <w:color w:val="auto"/>
                <w:sz w:val="24"/>
                <w:highlight w:val="none"/>
              </w:rPr>
              <w:t>废</w:t>
            </w:r>
            <w:r>
              <w:rPr>
                <w:rFonts w:hint="eastAsia"/>
                <w:color w:val="auto"/>
                <w:sz w:val="24"/>
                <w:highlight w:val="none"/>
                <w:lang w:eastAsia="zh-CN"/>
              </w:rPr>
              <w:t>水</w:t>
            </w:r>
          </w:p>
          <w:p w14:paraId="08FE5CC0">
            <w:pPr>
              <w:adjustRightInd/>
              <w:snapToGrid/>
              <w:spacing w:line="360" w:lineRule="auto"/>
              <w:ind w:firstLine="480" w:firstLineChars="200"/>
              <w:rPr>
                <w:rFonts w:hint="eastAsia"/>
                <w:color w:val="auto"/>
                <w:sz w:val="24"/>
                <w:highlight w:val="none"/>
              </w:rPr>
            </w:pPr>
            <w:r>
              <w:rPr>
                <w:rFonts w:hint="eastAsia"/>
                <w:color w:val="auto"/>
                <w:sz w:val="24"/>
                <w:highlight w:val="none"/>
              </w:rPr>
              <w:t>验收期间长山口生活垃圾卫生填埋场渗滤液污水处理站出口废水中pH值满足《污水综合排放标准》（GB8978-1996）表4三级标准要求，化学需氧量、五日生化需氧量、悬浮物、动植物油排放浓度均满足《生活垃圾填埋场污染控制标准》GB16889-2008）表2标准要求。</w:t>
            </w:r>
          </w:p>
          <w:p w14:paraId="6F6334FB">
            <w:pPr>
              <w:adjustRightInd/>
              <w:snapToGrid/>
              <w:spacing w:line="360" w:lineRule="auto"/>
              <w:ind w:firstLine="480" w:firstLineChars="200"/>
              <w:rPr>
                <w:rFonts w:hint="eastAsia" w:eastAsia="宋体"/>
                <w:color w:val="auto"/>
                <w:sz w:val="24"/>
                <w:highlight w:val="none"/>
                <w:lang w:eastAsia="zh-CN"/>
              </w:rPr>
            </w:pPr>
            <w:r>
              <w:rPr>
                <w:color w:val="auto"/>
                <w:sz w:val="24"/>
                <w:highlight w:val="none"/>
              </w:rPr>
              <w:t>（2）</w:t>
            </w:r>
            <w:r>
              <w:rPr>
                <w:rFonts w:hint="eastAsia"/>
                <w:color w:val="auto"/>
                <w:sz w:val="24"/>
                <w:highlight w:val="none"/>
              </w:rPr>
              <w:t>废</w:t>
            </w:r>
            <w:r>
              <w:rPr>
                <w:rFonts w:hint="eastAsia"/>
                <w:color w:val="auto"/>
                <w:sz w:val="24"/>
                <w:highlight w:val="none"/>
                <w:lang w:eastAsia="zh-CN"/>
              </w:rPr>
              <w:t>气</w:t>
            </w:r>
          </w:p>
          <w:p w14:paraId="31F8054E">
            <w:pPr>
              <w:adjustRightInd/>
              <w:snapToGrid/>
              <w:spacing w:line="360" w:lineRule="auto"/>
              <w:ind w:firstLine="480" w:firstLineChars="200"/>
              <w:rPr>
                <w:color w:val="auto"/>
                <w:sz w:val="24"/>
                <w:szCs w:val="24"/>
                <w:highlight w:val="none"/>
              </w:rPr>
            </w:pPr>
            <w:r>
              <w:rPr>
                <w:rFonts w:hint="eastAsia"/>
                <w:color w:val="auto"/>
                <w:sz w:val="24"/>
                <w:highlight w:val="none"/>
              </w:rPr>
              <w:t>本次验收监测期间：</w:t>
            </w:r>
            <w:r>
              <w:rPr>
                <w:rFonts w:hint="eastAsia"/>
                <w:color w:val="auto"/>
                <w:sz w:val="24"/>
                <w:szCs w:val="24"/>
                <w:highlight w:val="none"/>
                <w:lang w:eastAsia="zh-CN"/>
              </w:rPr>
              <w:t>续建工程</w:t>
            </w:r>
            <w:r>
              <w:rPr>
                <w:rFonts w:hint="eastAsia"/>
                <w:color w:val="auto"/>
                <w:sz w:val="24"/>
                <w:szCs w:val="24"/>
                <w:highlight w:val="none"/>
              </w:rPr>
              <w:t>沼气燃烧废气排气筒（DA00</w:t>
            </w:r>
            <w:r>
              <w:rPr>
                <w:rFonts w:hint="eastAsia"/>
                <w:color w:val="auto"/>
                <w:sz w:val="24"/>
                <w:szCs w:val="24"/>
                <w:highlight w:val="none"/>
                <w:lang w:val="en-US" w:eastAsia="zh-CN"/>
              </w:rPr>
              <w:t>5</w:t>
            </w:r>
            <w:r>
              <w:rPr>
                <w:rFonts w:hint="eastAsia"/>
                <w:color w:val="auto"/>
                <w:sz w:val="24"/>
                <w:szCs w:val="24"/>
                <w:highlight w:val="none"/>
                <w:lang w:eastAsia="zh-CN"/>
              </w:rPr>
              <w:t>、</w:t>
            </w:r>
            <w:r>
              <w:rPr>
                <w:rFonts w:hint="eastAsia"/>
                <w:color w:val="auto"/>
                <w:sz w:val="24"/>
                <w:szCs w:val="24"/>
                <w:highlight w:val="none"/>
              </w:rPr>
              <w:t>DA00</w:t>
            </w:r>
            <w:r>
              <w:rPr>
                <w:rFonts w:hint="eastAsia"/>
                <w:color w:val="auto"/>
                <w:sz w:val="24"/>
                <w:szCs w:val="24"/>
                <w:highlight w:val="none"/>
                <w:lang w:val="en-US" w:eastAsia="zh-CN"/>
              </w:rPr>
              <w:t>7、DA010</w:t>
            </w:r>
            <w:r>
              <w:rPr>
                <w:rFonts w:hint="eastAsia"/>
                <w:color w:val="auto"/>
                <w:sz w:val="24"/>
                <w:szCs w:val="24"/>
                <w:highlight w:val="none"/>
              </w:rPr>
              <w:t>）</w:t>
            </w:r>
            <w:r>
              <w:rPr>
                <w:rFonts w:hint="eastAsia"/>
                <w:color w:val="auto"/>
                <w:sz w:val="24"/>
                <w:szCs w:val="24"/>
                <w:highlight w:val="none"/>
                <w:lang w:eastAsia="zh-CN"/>
              </w:rPr>
              <w:t>废气中</w:t>
            </w:r>
            <w:r>
              <w:rPr>
                <w:rFonts w:hint="default"/>
                <w:color w:val="auto"/>
                <w:sz w:val="24"/>
                <w:szCs w:val="24"/>
                <w:highlight w:val="none"/>
              </w:rPr>
              <w:t>颗粒物、</w:t>
            </w:r>
            <w:r>
              <w:rPr>
                <w:rFonts w:hint="eastAsia"/>
                <w:color w:val="auto"/>
                <w:sz w:val="24"/>
                <w:szCs w:val="24"/>
                <w:highlight w:val="none"/>
                <w:lang w:eastAsia="zh-CN"/>
              </w:rPr>
              <w:t>二氧化硫</w:t>
            </w:r>
            <w:r>
              <w:rPr>
                <w:rFonts w:hint="default"/>
                <w:color w:val="auto"/>
                <w:sz w:val="24"/>
                <w:szCs w:val="24"/>
                <w:highlight w:val="none"/>
              </w:rPr>
              <w:t>、</w:t>
            </w:r>
            <w:r>
              <w:rPr>
                <w:rFonts w:hint="default"/>
                <w:color w:val="auto"/>
                <w:sz w:val="24"/>
                <w:szCs w:val="24"/>
                <w:highlight w:val="none"/>
                <w:lang w:eastAsia="zh-CN"/>
              </w:rPr>
              <w:t>氮氧化物、</w:t>
            </w:r>
            <w:r>
              <w:rPr>
                <w:rFonts w:hint="default"/>
                <w:color w:val="auto"/>
                <w:sz w:val="24"/>
                <w:szCs w:val="24"/>
                <w:highlight w:val="none"/>
              </w:rPr>
              <w:t>林格曼黑度</w:t>
            </w:r>
            <w:r>
              <w:rPr>
                <w:rFonts w:hint="eastAsia"/>
                <w:color w:val="auto"/>
                <w:sz w:val="24"/>
                <w:szCs w:val="24"/>
                <w:highlight w:val="none"/>
              </w:rPr>
              <w:t>均满足</w:t>
            </w:r>
            <w:r>
              <w:rPr>
                <w:rFonts w:hint="default"/>
                <w:color w:val="auto"/>
                <w:sz w:val="24"/>
                <w:szCs w:val="24"/>
                <w:highlight w:val="none"/>
              </w:rPr>
              <w:t>《锅炉大气污染物排放标准》（GB13271-2014）</w:t>
            </w:r>
            <w:r>
              <w:rPr>
                <w:rFonts w:hint="eastAsia"/>
                <w:color w:val="auto"/>
                <w:sz w:val="24"/>
                <w:szCs w:val="24"/>
                <w:highlight w:val="none"/>
              </w:rPr>
              <w:t>表3特别排放限值要求</w:t>
            </w:r>
            <w:r>
              <w:rPr>
                <w:rFonts w:hint="default"/>
                <w:color w:val="auto"/>
                <w:sz w:val="24"/>
                <w:szCs w:val="24"/>
                <w:highlight w:val="none"/>
              </w:rPr>
              <w:t>，氨气</w:t>
            </w:r>
            <w:r>
              <w:rPr>
                <w:rFonts w:hint="eastAsia"/>
                <w:color w:val="auto"/>
                <w:sz w:val="24"/>
                <w:szCs w:val="24"/>
                <w:highlight w:val="none"/>
              </w:rPr>
              <w:t>满足《恶臭污染物排放标准》</w:t>
            </w:r>
            <w:r>
              <w:rPr>
                <w:rFonts w:hint="eastAsia"/>
                <w:color w:val="auto"/>
                <w:sz w:val="24"/>
                <w:szCs w:val="24"/>
                <w:highlight w:val="none"/>
                <w:lang w:eastAsia="zh-CN"/>
              </w:rPr>
              <w:t>（</w:t>
            </w:r>
            <w:r>
              <w:rPr>
                <w:rFonts w:hint="eastAsia"/>
                <w:color w:val="auto"/>
                <w:sz w:val="24"/>
                <w:szCs w:val="24"/>
                <w:highlight w:val="none"/>
              </w:rPr>
              <w:t>GB14554-93</w:t>
            </w:r>
            <w:r>
              <w:rPr>
                <w:rFonts w:hint="eastAsia"/>
                <w:color w:val="auto"/>
                <w:sz w:val="24"/>
                <w:szCs w:val="24"/>
                <w:highlight w:val="none"/>
                <w:lang w:eastAsia="zh-CN"/>
              </w:rPr>
              <w:t>）</w:t>
            </w:r>
            <w:r>
              <w:rPr>
                <w:rFonts w:hint="eastAsia"/>
                <w:color w:val="auto"/>
                <w:sz w:val="24"/>
                <w:szCs w:val="24"/>
                <w:highlight w:val="none"/>
              </w:rPr>
              <w:t>表2限值要求。</w:t>
            </w:r>
            <w:r>
              <w:rPr>
                <w:rFonts w:hint="default" w:ascii="Times New Roman" w:hAnsi="Times New Roman" w:cs="Times New Roman"/>
                <w:color w:val="auto"/>
                <w:sz w:val="24"/>
                <w:highlight w:val="none"/>
              </w:rPr>
              <w:t>项目厂界</w:t>
            </w:r>
            <w:r>
              <w:rPr>
                <w:rFonts w:eastAsiaTheme="minorEastAsia"/>
                <w:color w:val="auto"/>
                <w:sz w:val="24"/>
                <w:highlight w:val="none"/>
              </w:rPr>
              <w:t>无组织废气监测点位</w:t>
            </w:r>
            <w:r>
              <w:rPr>
                <w:rFonts w:hint="eastAsia" w:eastAsiaTheme="minorEastAsia"/>
                <w:color w:val="auto"/>
                <w:sz w:val="24"/>
                <w:highlight w:val="none"/>
              </w:rPr>
              <w:t>颗粒物排放</w:t>
            </w:r>
            <w:r>
              <w:rPr>
                <w:rFonts w:hint="eastAsia"/>
                <w:color w:val="auto"/>
                <w:sz w:val="24"/>
                <w:highlight w:val="none"/>
              </w:rPr>
              <w:t>浓度满足《大气污染物综合排放标准》（GB16297-1996）表2无组织排放监控浓度限值</w:t>
            </w:r>
            <w:r>
              <w:rPr>
                <w:rFonts w:hint="eastAsia" w:ascii="Times New Roman" w:hAnsi="Times New Roman" w:cs="Times New Roman"/>
                <w:color w:val="auto"/>
                <w:sz w:val="24"/>
                <w:highlight w:val="none"/>
              </w:rPr>
              <w:t>。</w:t>
            </w:r>
          </w:p>
          <w:p w14:paraId="6F17E104">
            <w:pPr>
              <w:adjustRightInd/>
              <w:snapToGrid/>
              <w:spacing w:line="360" w:lineRule="auto"/>
              <w:ind w:firstLine="480" w:firstLineChars="200"/>
              <w:rPr>
                <w:color w:val="auto"/>
                <w:sz w:val="24"/>
                <w:highlight w:val="none"/>
              </w:rPr>
            </w:pPr>
            <w:r>
              <w:rPr>
                <w:rFonts w:hint="eastAsia"/>
                <w:color w:val="auto"/>
                <w:sz w:val="24"/>
                <w:highlight w:val="none"/>
              </w:rPr>
              <w:t>（3）噪声</w:t>
            </w:r>
          </w:p>
          <w:p w14:paraId="6AB3FB32">
            <w:pPr>
              <w:adjustRightInd/>
              <w:snapToGrid/>
              <w:spacing w:line="360" w:lineRule="auto"/>
              <w:ind w:firstLine="480" w:firstLineChars="200"/>
              <w:rPr>
                <w:color w:val="auto"/>
                <w:sz w:val="24"/>
                <w:highlight w:val="none"/>
              </w:rPr>
            </w:pPr>
            <w:r>
              <w:rPr>
                <w:rFonts w:hint="eastAsia"/>
                <w:color w:val="auto"/>
                <w:sz w:val="24"/>
                <w:highlight w:val="none"/>
              </w:rPr>
              <w:t>本次验收监测期间：</w:t>
            </w:r>
            <w:r>
              <w:rPr>
                <w:rFonts w:hint="eastAsia"/>
                <w:color w:val="auto"/>
                <w:sz w:val="24"/>
                <w:highlight w:val="none"/>
                <w:lang w:eastAsia="zh-CN"/>
              </w:rPr>
              <w:t>续建工程</w:t>
            </w:r>
            <w:r>
              <w:rPr>
                <w:color w:val="auto"/>
                <w:sz w:val="24"/>
                <w:highlight w:val="none"/>
              </w:rPr>
              <w:t>厂界噪声监测结果</w:t>
            </w:r>
            <w:r>
              <w:rPr>
                <w:rFonts w:hint="eastAsia"/>
                <w:color w:val="auto"/>
                <w:sz w:val="24"/>
                <w:highlight w:val="none"/>
                <w:lang w:eastAsia="zh-CN"/>
              </w:rPr>
              <w:t>均</w:t>
            </w:r>
            <w:r>
              <w:rPr>
                <w:color w:val="auto"/>
                <w:sz w:val="24"/>
                <w:highlight w:val="none"/>
              </w:rPr>
              <w:t>满足</w:t>
            </w:r>
            <w:r>
              <w:rPr>
                <w:rFonts w:hint="eastAsia"/>
                <w:color w:val="auto"/>
                <w:sz w:val="24"/>
                <w:highlight w:val="none"/>
              </w:rPr>
              <w:t>《工业企业厂界环境噪声排放标准》（GB12348-2008）</w:t>
            </w:r>
            <w:r>
              <w:rPr>
                <w:rFonts w:hint="eastAsia"/>
                <w:color w:val="auto"/>
                <w:sz w:val="24"/>
                <w:highlight w:val="none"/>
                <w:lang w:val="en-US" w:eastAsia="zh-CN"/>
              </w:rPr>
              <w:t>2</w:t>
            </w:r>
            <w:r>
              <w:rPr>
                <w:rFonts w:hint="eastAsia"/>
                <w:color w:val="auto"/>
                <w:sz w:val="24"/>
                <w:highlight w:val="none"/>
              </w:rPr>
              <w:t>类</w:t>
            </w:r>
            <w:r>
              <w:rPr>
                <w:color w:val="auto"/>
                <w:sz w:val="24"/>
                <w:highlight w:val="none"/>
              </w:rPr>
              <w:t>标准</w:t>
            </w:r>
            <w:r>
              <w:rPr>
                <w:rFonts w:hint="eastAsia"/>
                <w:color w:val="auto"/>
                <w:sz w:val="24"/>
                <w:highlight w:val="none"/>
              </w:rPr>
              <w:t>限值要求</w:t>
            </w:r>
            <w:r>
              <w:rPr>
                <w:color w:val="auto"/>
                <w:sz w:val="24"/>
                <w:highlight w:val="none"/>
              </w:rPr>
              <w:t>。</w:t>
            </w:r>
          </w:p>
          <w:p w14:paraId="30304937">
            <w:pPr>
              <w:adjustRightInd/>
              <w:snapToGrid/>
              <w:spacing w:line="360" w:lineRule="auto"/>
              <w:ind w:firstLine="480" w:firstLineChars="200"/>
              <w:rPr>
                <w:rFonts w:hint="eastAsia" w:ascii="Times New Roman" w:hAnsi="Times New Roman" w:cs="Times New Roman"/>
                <w:color w:val="auto"/>
                <w:sz w:val="24"/>
                <w:highlight w:val="none"/>
              </w:rPr>
            </w:pPr>
            <w:r>
              <w:rPr>
                <w:rFonts w:hint="eastAsia" w:ascii="Times New Roman" w:hAnsi="Times New Roman" w:cs="Times New Roman"/>
                <w:color w:val="auto"/>
                <w:sz w:val="24"/>
                <w:highlight w:val="none"/>
              </w:rPr>
              <w:t>（4）固体废物</w:t>
            </w:r>
          </w:p>
          <w:p w14:paraId="507005C5">
            <w:pPr>
              <w:adjustRightInd/>
              <w:snapToGrid/>
              <w:spacing w:line="360" w:lineRule="auto"/>
              <w:ind w:firstLine="480" w:firstLineChars="200"/>
              <w:rPr>
                <w:rFonts w:hint="eastAsia" w:ascii="Times New Roman" w:hAnsi="Times New Roman" w:cs="Times New Roman"/>
                <w:color w:val="auto"/>
                <w:sz w:val="24"/>
                <w:highlight w:val="none"/>
              </w:rPr>
            </w:pPr>
            <w:r>
              <w:rPr>
                <w:rFonts w:hint="eastAsia" w:ascii="Times New Roman" w:hAnsi="Times New Roman" w:cs="Times New Roman"/>
                <w:color w:val="auto"/>
                <w:sz w:val="24"/>
                <w:highlight w:val="none"/>
              </w:rPr>
              <w:t>一般工业固废</w:t>
            </w:r>
            <w:r>
              <w:rPr>
                <w:rFonts w:hint="eastAsia" w:ascii="Times New Roman" w:hAnsi="Times New Roman" w:cs="Times New Roman"/>
                <w:color w:val="auto"/>
                <w:sz w:val="24"/>
                <w:highlight w:val="none"/>
                <w:lang w:eastAsia="zh-CN"/>
              </w:rPr>
              <w:t>（包括除尘粉尘、废脱硫剂、新增的</w:t>
            </w:r>
            <w:r>
              <w:rPr>
                <w:rFonts w:hint="eastAsia" w:ascii="Times New Roman" w:hAnsi="Times New Roman" w:cs="Times New Roman"/>
                <w:color w:val="auto"/>
                <w:sz w:val="24"/>
                <w:highlight w:val="none"/>
              </w:rPr>
              <w:t>污泥</w:t>
            </w:r>
            <w:r>
              <w:rPr>
                <w:rFonts w:hint="eastAsia" w:ascii="Times New Roman" w:hAnsi="Times New Roman" w:cs="Times New Roman"/>
                <w:color w:val="auto"/>
                <w:sz w:val="24"/>
                <w:highlight w:val="none"/>
                <w:lang w:eastAsia="zh-CN"/>
              </w:rPr>
              <w:t>）</w:t>
            </w:r>
            <w:r>
              <w:rPr>
                <w:rFonts w:hint="eastAsia" w:ascii="Times New Roman" w:hAnsi="Times New Roman" w:cs="Times New Roman"/>
                <w:color w:val="auto"/>
                <w:sz w:val="24"/>
                <w:highlight w:val="none"/>
              </w:rPr>
              <w:t>收集后直接运至武汉市</w:t>
            </w:r>
            <w:r>
              <w:rPr>
                <w:rFonts w:hint="eastAsia" w:cs="Times New Roman"/>
                <w:color w:val="auto"/>
                <w:sz w:val="24"/>
                <w:highlight w:val="none"/>
                <w:lang w:eastAsia="zh-CN"/>
              </w:rPr>
              <w:t>长山口</w:t>
            </w:r>
            <w:r>
              <w:rPr>
                <w:rFonts w:hint="eastAsia" w:ascii="Times New Roman" w:hAnsi="Times New Roman" w:cs="Times New Roman"/>
                <w:color w:val="auto"/>
                <w:sz w:val="24"/>
                <w:highlight w:val="none"/>
              </w:rPr>
              <w:t>生活垃圾卫生填埋场进行填埋处理</w:t>
            </w:r>
            <w:r>
              <w:rPr>
                <w:rFonts w:hint="eastAsia" w:ascii="Times New Roman" w:hAnsi="Times New Roman" w:cs="Times New Roman"/>
                <w:color w:val="auto"/>
                <w:sz w:val="24"/>
                <w:highlight w:val="none"/>
                <w:lang w:eastAsia="zh-CN"/>
              </w:rPr>
              <w:t>；</w:t>
            </w:r>
            <w:r>
              <w:rPr>
                <w:rFonts w:hint="eastAsia" w:ascii="Times New Roman" w:hAnsi="Times New Roman" w:cs="Times New Roman"/>
                <w:color w:val="auto"/>
                <w:sz w:val="24"/>
                <w:highlight w:val="none"/>
                <w:lang w:val="en-US" w:eastAsia="zh-CN"/>
              </w:rPr>
              <w:t>危险废物分别为</w:t>
            </w:r>
            <w:r>
              <w:rPr>
                <w:rFonts w:hint="eastAsia" w:ascii="Times New Roman" w:hAnsi="Times New Roman" w:cs="Times New Roman"/>
                <w:color w:val="auto"/>
                <w:sz w:val="24"/>
                <w:highlight w:val="none"/>
              </w:rPr>
              <w:t>废脱硝催化剂</w:t>
            </w:r>
            <w:r>
              <w:rPr>
                <w:rFonts w:hint="eastAsia" w:ascii="Times New Roman" w:hAnsi="Times New Roman" w:cs="Times New Roman"/>
                <w:color w:val="auto"/>
                <w:sz w:val="24"/>
                <w:highlight w:val="none"/>
                <w:lang w:val="en-US" w:eastAsia="zh-CN"/>
              </w:rPr>
              <w:t>（HW50</w:t>
            </w:r>
            <w:r>
              <w:rPr>
                <w:rFonts w:hint="eastAsia" w:cs="Times New Roman"/>
                <w:color w:val="auto"/>
                <w:sz w:val="24"/>
                <w:highlight w:val="none"/>
                <w:lang w:val="en-US" w:eastAsia="zh-CN"/>
              </w:rPr>
              <w:t>，</w:t>
            </w:r>
            <w:r>
              <w:rPr>
                <w:rFonts w:hint="eastAsia" w:ascii="Times New Roman" w:hAnsi="Times New Roman" w:cs="Times New Roman"/>
                <w:color w:val="auto"/>
                <w:sz w:val="24"/>
                <w:highlight w:val="none"/>
                <w:lang w:val="en-US" w:eastAsia="zh-CN"/>
              </w:rPr>
              <w:t>772-007-50）、废润滑油（HW08</w:t>
            </w:r>
            <w:r>
              <w:rPr>
                <w:rFonts w:hint="eastAsia" w:cs="Times New Roman"/>
                <w:color w:val="auto"/>
                <w:sz w:val="24"/>
                <w:highlight w:val="none"/>
                <w:lang w:val="en-US" w:eastAsia="zh-CN"/>
              </w:rPr>
              <w:t>，</w:t>
            </w:r>
            <w:r>
              <w:rPr>
                <w:rFonts w:hint="eastAsia" w:ascii="Times New Roman" w:hAnsi="Times New Roman" w:cs="Times New Roman"/>
                <w:color w:val="auto"/>
                <w:sz w:val="24"/>
                <w:highlight w:val="none"/>
                <w:lang w:val="en-US" w:eastAsia="zh-CN"/>
              </w:rPr>
              <w:t>900-249-08）、废油桶（HW08</w:t>
            </w:r>
            <w:r>
              <w:rPr>
                <w:rFonts w:hint="eastAsia" w:cs="Times New Roman"/>
                <w:color w:val="auto"/>
                <w:sz w:val="24"/>
                <w:highlight w:val="none"/>
                <w:lang w:val="en-US" w:eastAsia="zh-CN"/>
              </w:rPr>
              <w:t>，</w:t>
            </w:r>
            <w:r>
              <w:rPr>
                <w:rFonts w:hint="eastAsia" w:ascii="Times New Roman" w:hAnsi="Times New Roman" w:cs="Times New Roman"/>
                <w:color w:val="auto"/>
                <w:sz w:val="24"/>
                <w:highlight w:val="none"/>
                <w:lang w:val="en-US" w:eastAsia="zh-CN"/>
              </w:rPr>
              <w:t>900-249-08），分类暂存于</w:t>
            </w:r>
            <w:r>
              <w:rPr>
                <w:rFonts w:hint="eastAsia" w:ascii="Times New Roman" w:hAnsi="Times New Roman" w:cs="Times New Roman"/>
                <w:color w:val="auto"/>
                <w:sz w:val="24"/>
                <w:highlight w:val="none"/>
                <w:lang w:eastAsia="zh-CN"/>
              </w:rPr>
              <w:t>危废暂存间</w:t>
            </w:r>
            <w:r>
              <w:rPr>
                <w:rFonts w:hint="eastAsia" w:ascii="Times New Roman" w:hAnsi="Times New Roman" w:cs="Times New Roman"/>
                <w:color w:val="auto"/>
                <w:sz w:val="24"/>
                <w:highlight w:val="none"/>
                <w:lang w:val="en-US" w:eastAsia="zh-CN"/>
              </w:rPr>
              <w:t>内，最终交由具有危废处置资质的单位进行安全处置</w:t>
            </w:r>
            <w:r>
              <w:rPr>
                <w:rFonts w:hint="eastAsia" w:ascii="Times New Roman" w:hAnsi="Times New Roman" w:cs="Times New Roman"/>
                <w:color w:val="auto"/>
                <w:sz w:val="24"/>
                <w:highlight w:val="none"/>
              </w:rPr>
              <w:t>。</w:t>
            </w:r>
          </w:p>
          <w:p w14:paraId="29462653">
            <w:pPr>
              <w:adjustRightInd/>
              <w:snapToGrid/>
              <w:spacing w:line="360" w:lineRule="auto"/>
              <w:ind w:firstLine="480" w:firstLineChars="200"/>
              <w:rPr>
                <w:rFonts w:hint="eastAsia" w:ascii="Times New Roman" w:hAnsi="Times New Roman" w:cs="Times New Roman"/>
                <w:color w:val="auto"/>
                <w:sz w:val="24"/>
                <w:highlight w:val="none"/>
                <w:lang w:val="en-US" w:eastAsia="zh-CN"/>
              </w:rPr>
            </w:pPr>
            <w:r>
              <w:rPr>
                <w:rFonts w:hint="eastAsia" w:ascii="Times New Roman" w:hAnsi="Times New Roman" w:cs="Times New Roman"/>
                <w:color w:val="auto"/>
                <w:sz w:val="24"/>
                <w:highlight w:val="none"/>
                <w:lang w:val="en-US" w:eastAsia="zh-CN"/>
              </w:rPr>
              <w:t>（5）总量控制</w:t>
            </w:r>
          </w:p>
          <w:p w14:paraId="14E7ED82">
            <w:pPr>
              <w:adjustRightInd/>
              <w:snapToGrid/>
              <w:spacing w:line="360" w:lineRule="auto"/>
              <w:ind w:firstLine="480" w:firstLineChars="200"/>
              <w:rPr>
                <w:rFonts w:hint="eastAsia" w:ascii="Times New Roman" w:hAnsi="Times New Roman" w:cs="Times New Roman"/>
                <w:color w:val="auto"/>
                <w:sz w:val="24"/>
                <w:highlight w:val="none"/>
              </w:rPr>
            </w:pPr>
            <w:r>
              <w:rPr>
                <w:rFonts w:hint="eastAsia" w:cs="Times New Roman"/>
                <w:color w:val="auto"/>
                <w:sz w:val="24"/>
                <w:highlight w:val="none"/>
                <w:lang w:eastAsia="zh-CN"/>
              </w:rPr>
              <w:t>续建工程</w:t>
            </w:r>
            <w:r>
              <w:rPr>
                <w:rFonts w:hint="eastAsia" w:ascii="Times New Roman" w:hAnsi="Times New Roman" w:cs="Times New Roman"/>
                <w:color w:val="auto"/>
                <w:sz w:val="24"/>
                <w:highlight w:val="none"/>
              </w:rPr>
              <w:t>化学需氧量、氨氮</w:t>
            </w:r>
            <w:r>
              <w:rPr>
                <w:rFonts w:hint="eastAsia" w:ascii="Times New Roman" w:hAnsi="Times New Roman" w:cs="Times New Roman"/>
                <w:color w:val="auto"/>
                <w:sz w:val="24"/>
                <w:highlight w:val="none"/>
                <w:lang w:eastAsia="zh-CN"/>
              </w:rPr>
              <w:t>、</w:t>
            </w:r>
            <w:r>
              <w:rPr>
                <w:rFonts w:hint="eastAsia" w:ascii="Times New Roman" w:hAnsi="Times New Roman" w:cs="Times New Roman"/>
                <w:color w:val="auto"/>
                <w:sz w:val="24"/>
                <w:highlight w:val="none"/>
              </w:rPr>
              <w:t>颗粒物、二氧化硫、氮氧化物排放总量符合环评报告及批复提出的污染物总量指标要求。</w:t>
            </w:r>
          </w:p>
          <w:p w14:paraId="78C4AA6F">
            <w:pPr>
              <w:pStyle w:val="2"/>
              <w:rPr>
                <w:rFonts w:hint="eastAsia"/>
              </w:rPr>
            </w:pPr>
          </w:p>
          <w:p w14:paraId="040D9E8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lang w:val="en-US" w:eastAsia="zh-CN"/>
              </w:rPr>
            </w:pPr>
            <w:r>
              <w:rPr>
                <w:rFonts w:hint="eastAsia" w:ascii="Times New Roman" w:hAnsi="Times New Roman" w:eastAsia="黑体" w:cs="Times New Roman"/>
                <w:b/>
                <w:color w:val="auto"/>
                <w:sz w:val="24"/>
                <w:szCs w:val="24"/>
                <w:highlight w:val="none"/>
                <w:lang w:val="en-US" w:eastAsia="zh-CN"/>
              </w:rPr>
              <w:t>9.2结论</w:t>
            </w:r>
          </w:p>
          <w:p w14:paraId="5C8C8ED0">
            <w:pPr>
              <w:adjustRightInd/>
              <w:snapToGrid/>
              <w:spacing w:line="360" w:lineRule="auto"/>
              <w:ind w:firstLine="480" w:firstLineChars="200"/>
              <w:rPr>
                <w:color w:val="auto"/>
                <w:sz w:val="24"/>
                <w:highlight w:val="none"/>
              </w:rPr>
            </w:pPr>
            <w:r>
              <w:rPr>
                <w:rFonts w:hint="eastAsia" w:eastAsiaTheme="minorEastAsia"/>
                <w:color w:val="auto"/>
                <w:sz w:val="24"/>
                <w:highlight w:val="none"/>
                <w:lang w:eastAsia="zh-CN"/>
              </w:rPr>
              <w:t>武汉环投环境科技有限公司</w:t>
            </w:r>
            <w:r>
              <w:rPr>
                <w:rFonts w:hint="eastAsia" w:eastAsiaTheme="minorEastAsia"/>
                <w:color w:val="auto"/>
                <w:kern w:val="0"/>
                <w:sz w:val="24"/>
                <w:szCs w:val="24"/>
                <w:highlight w:val="none"/>
                <w:lang w:eastAsia="zh-CN"/>
              </w:rPr>
              <w:t>武汉市江夏长山口生活垃圾卫生填埋场填埋气利用发电项目（续建工程）</w:t>
            </w:r>
            <w:r>
              <w:rPr>
                <w:rFonts w:hint="eastAsia"/>
                <w:color w:val="auto"/>
                <w:sz w:val="24"/>
                <w:highlight w:val="none"/>
              </w:rPr>
              <w:t>环保相关手续齐全，较好的执行了“三同时”制度，建设了废水、废气、噪声、固废等相应的环保设施，较好的落实了环评及批复提出的各项环保要求。在监测工况日条件下，该项目排放的废气、废水、噪声均达到国家等相应排放标准，固废安全处置。</w:t>
            </w:r>
            <w:r>
              <w:rPr>
                <w:rFonts w:hint="eastAsia"/>
                <w:color w:val="auto"/>
                <w:sz w:val="24"/>
                <w:highlight w:val="none"/>
                <w:lang w:eastAsia="zh-CN"/>
              </w:rPr>
              <w:t>续建工程</w:t>
            </w:r>
            <w:r>
              <w:rPr>
                <w:rFonts w:hint="eastAsia"/>
                <w:color w:val="auto"/>
                <w:sz w:val="24"/>
                <w:highlight w:val="none"/>
              </w:rPr>
              <w:t>总体符合国家建设项目竣工环境保护验收条件。</w:t>
            </w:r>
          </w:p>
          <w:p w14:paraId="32844CF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lang w:val="en-US" w:eastAsia="zh-CN"/>
              </w:rPr>
            </w:pPr>
          </w:p>
          <w:p w14:paraId="11100AD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黑体" w:cs="Times New Roman"/>
                <w:b/>
                <w:color w:val="auto"/>
                <w:sz w:val="24"/>
                <w:szCs w:val="24"/>
                <w:highlight w:val="none"/>
                <w:lang w:val="en-US" w:eastAsia="zh-CN"/>
              </w:rPr>
            </w:pPr>
            <w:r>
              <w:rPr>
                <w:rFonts w:hint="eastAsia" w:ascii="Times New Roman" w:hAnsi="Times New Roman" w:eastAsia="黑体" w:cs="Times New Roman"/>
                <w:b/>
                <w:color w:val="auto"/>
                <w:sz w:val="24"/>
                <w:szCs w:val="24"/>
                <w:highlight w:val="none"/>
                <w:lang w:val="en-US" w:eastAsia="zh-CN"/>
              </w:rPr>
              <w:t>9.3建议</w:t>
            </w:r>
          </w:p>
          <w:p w14:paraId="5A188856">
            <w:pPr>
              <w:adjustRightInd/>
              <w:snapToGrid/>
              <w:spacing w:line="360" w:lineRule="auto"/>
              <w:ind w:firstLine="480" w:firstLineChars="200"/>
              <w:rPr>
                <w:color w:val="auto"/>
                <w:sz w:val="24"/>
                <w:highlight w:val="none"/>
              </w:rPr>
            </w:pPr>
            <w:r>
              <w:rPr>
                <w:color w:val="auto"/>
                <w:sz w:val="24"/>
                <w:highlight w:val="none"/>
              </w:rPr>
              <w:t>1、</w:t>
            </w:r>
            <w:r>
              <w:rPr>
                <w:rFonts w:hint="eastAsia" w:eastAsiaTheme="minorEastAsia"/>
                <w:color w:val="auto"/>
                <w:sz w:val="24"/>
                <w:highlight w:val="none"/>
              </w:rPr>
              <w:t>加强对员工的环保教育宣传工作，进一步强化环保意识，按环境保护的有关规定，落实和完善环境管理规章制度，做到定职定责、专人专管、有据可查</w:t>
            </w:r>
            <w:r>
              <w:rPr>
                <w:rFonts w:hint="eastAsia"/>
                <w:color w:val="auto"/>
                <w:sz w:val="24"/>
                <w:highlight w:val="none"/>
              </w:rPr>
              <w:t>。</w:t>
            </w:r>
          </w:p>
          <w:p w14:paraId="797625AB">
            <w:pPr>
              <w:tabs>
                <w:tab w:val="left" w:pos="1920"/>
              </w:tabs>
              <w:adjustRightInd/>
              <w:snapToGrid/>
              <w:spacing w:line="360" w:lineRule="auto"/>
              <w:ind w:firstLine="480" w:firstLineChars="200"/>
              <w:jc w:val="left"/>
              <w:rPr>
                <w:color w:val="auto"/>
                <w:sz w:val="24"/>
                <w:highlight w:val="none"/>
              </w:rPr>
            </w:pPr>
            <w:r>
              <w:rPr>
                <w:color w:val="auto"/>
                <w:sz w:val="24"/>
                <w:highlight w:val="none"/>
              </w:rPr>
              <w:t>2、加强生产设备及各项环保设施的</w:t>
            </w:r>
            <w:r>
              <w:rPr>
                <w:rFonts w:hint="eastAsia"/>
                <w:color w:val="auto"/>
                <w:sz w:val="24"/>
                <w:highlight w:val="none"/>
              </w:rPr>
              <w:t>运行管理制度</w:t>
            </w:r>
            <w:r>
              <w:rPr>
                <w:color w:val="auto"/>
                <w:sz w:val="24"/>
                <w:highlight w:val="none"/>
              </w:rPr>
              <w:t>，</w:t>
            </w:r>
            <w:r>
              <w:rPr>
                <w:rFonts w:hint="eastAsia"/>
                <w:color w:val="auto"/>
                <w:sz w:val="24"/>
                <w:highlight w:val="none"/>
              </w:rPr>
              <w:t>并按照环评报告要求，实施环境监测计划，</w:t>
            </w:r>
            <w:r>
              <w:rPr>
                <w:color w:val="auto"/>
                <w:sz w:val="24"/>
                <w:highlight w:val="none"/>
              </w:rPr>
              <w:t>确保各项污染物稳定达标排放</w:t>
            </w:r>
            <w:r>
              <w:rPr>
                <w:rFonts w:hint="eastAsia"/>
                <w:color w:val="auto"/>
                <w:sz w:val="24"/>
                <w:highlight w:val="none"/>
              </w:rPr>
              <w:t>。</w:t>
            </w:r>
          </w:p>
          <w:p w14:paraId="5F72D829">
            <w:pPr>
              <w:tabs>
                <w:tab w:val="left" w:pos="1920"/>
              </w:tabs>
              <w:adjustRightInd/>
              <w:snapToGrid/>
              <w:spacing w:line="360" w:lineRule="auto"/>
              <w:ind w:firstLine="480" w:firstLineChars="200"/>
              <w:jc w:val="left"/>
              <w:rPr>
                <w:color w:val="auto"/>
                <w:sz w:val="24"/>
                <w:highlight w:val="none"/>
              </w:rPr>
            </w:pPr>
            <w:r>
              <w:rPr>
                <w:rFonts w:hint="eastAsia"/>
                <w:color w:val="auto"/>
                <w:sz w:val="24"/>
                <w:highlight w:val="none"/>
              </w:rPr>
              <w:t>3、</w:t>
            </w:r>
            <w:r>
              <w:rPr>
                <w:color w:val="auto"/>
                <w:sz w:val="24"/>
                <w:highlight w:val="none"/>
              </w:rPr>
              <w:t>进一步建立健全环保档案，包括环评报告、环保工程验收报告、污染源监测报告、环保设备及运行记录以及其它环境统</w:t>
            </w:r>
            <w:bookmarkStart w:id="11" w:name="_GoBack"/>
            <w:bookmarkEnd w:id="11"/>
            <w:r>
              <w:rPr>
                <w:color w:val="auto"/>
                <w:sz w:val="24"/>
                <w:highlight w:val="none"/>
              </w:rPr>
              <w:t>计资料</w:t>
            </w:r>
            <w:r>
              <w:rPr>
                <w:rFonts w:hint="eastAsia"/>
                <w:color w:val="auto"/>
                <w:sz w:val="24"/>
                <w:highlight w:val="none"/>
              </w:rPr>
              <w:t>。</w:t>
            </w:r>
          </w:p>
        </w:tc>
      </w:tr>
    </w:tbl>
    <w:p w14:paraId="569ECC0D">
      <w:pPr>
        <w:adjustRightInd/>
        <w:snapToGrid/>
        <w:rPr>
          <w:color w:val="auto"/>
          <w:highlight w:val="none"/>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F01B333">
      <w:pPr>
        <w:pStyle w:val="21"/>
        <w:adjustRightInd/>
        <w:snapToGrid/>
        <w:spacing w:before="0" w:after="0"/>
        <w:rPr>
          <w:rFonts w:ascii="Times New Roman" w:hAnsi="Times New Roman" w:eastAsia="黑体"/>
          <w:color w:val="auto"/>
          <w:highlight w:val="none"/>
        </w:rPr>
      </w:pPr>
      <w:bookmarkStart w:id="10" w:name="_Toc20555"/>
      <w:r>
        <w:rPr>
          <w:rFonts w:ascii="Times New Roman" w:hAnsi="Times New Roman"/>
          <w:color w:val="auto"/>
          <w:highlight w:val="none"/>
        </w:rPr>
        <w:t>建设项目</w:t>
      </w:r>
      <w:r>
        <w:rPr>
          <w:rFonts w:hint="eastAsia" w:ascii="Times New Roman" w:hAnsi="Times New Roman"/>
          <w:color w:val="auto"/>
          <w:highlight w:val="none"/>
        </w:rPr>
        <w:t>工程竣工</w:t>
      </w:r>
      <w:r>
        <w:rPr>
          <w:rFonts w:ascii="Times New Roman" w:hAnsi="Times New Roman"/>
          <w:color w:val="auto"/>
          <w:highlight w:val="none"/>
        </w:rPr>
        <w:t>环境保护“三同时”验收登记表</w:t>
      </w:r>
      <w:bookmarkEnd w:id="10"/>
    </w:p>
    <w:p w14:paraId="71A51759">
      <w:pPr>
        <w:adjustRightInd/>
        <w:snapToGrid/>
        <w:rPr>
          <w:color w:val="auto"/>
          <w:szCs w:val="21"/>
          <w:highlight w:val="none"/>
        </w:rPr>
      </w:pPr>
      <w:r>
        <w:rPr>
          <w:color w:val="auto"/>
          <w:szCs w:val="21"/>
          <w:highlight w:val="none"/>
        </w:rPr>
        <w:t>填表单位</w:t>
      </w:r>
      <w:r>
        <w:rPr>
          <w:rFonts w:hint="eastAsia"/>
          <w:color w:val="auto"/>
          <w:szCs w:val="21"/>
          <w:highlight w:val="none"/>
        </w:rPr>
        <w:t>（盖章）</w:t>
      </w:r>
      <w:r>
        <w:rPr>
          <w:color w:val="auto"/>
          <w:szCs w:val="21"/>
          <w:highlight w:val="none"/>
        </w:rPr>
        <w:t>：</w:t>
      </w:r>
      <w:r>
        <w:rPr>
          <w:rFonts w:hint="eastAsia"/>
          <w:color w:val="auto"/>
          <w:szCs w:val="21"/>
          <w:highlight w:val="none"/>
          <w:lang w:eastAsia="zh-CN"/>
        </w:rPr>
        <w:t>武汉环投环境科技有限公司</w:t>
      </w:r>
      <w:r>
        <w:rPr>
          <w:rFonts w:hint="eastAsia"/>
          <w:color w:val="auto"/>
          <w:szCs w:val="21"/>
          <w:highlight w:val="none"/>
          <w:lang w:val="en-US" w:eastAsia="zh-CN"/>
        </w:rPr>
        <w:t xml:space="preserve">                                  </w:t>
      </w:r>
      <w:r>
        <w:rPr>
          <w:rFonts w:hint="eastAsia"/>
          <w:color w:val="auto"/>
          <w:szCs w:val="21"/>
          <w:highlight w:val="none"/>
        </w:rPr>
        <w:t>填表人（签字）</w:t>
      </w:r>
      <w:r>
        <w:rPr>
          <w:color w:val="auto"/>
          <w:szCs w:val="21"/>
          <w:highlight w:val="none"/>
        </w:rPr>
        <w:t>：</w:t>
      </w:r>
      <w:r>
        <w:rPr>
          <w:rFonts w:hint="eastAsia"/>
          <w:color w:val="auto"/>
          <w:szCs w:val="21"/>
          <w:highlight w:val="none"/>
          <w:lang w:val="en-US" w:eastAsia="zh-CN"/>
        </w:rPr>
        <w:t xml:space="preserve">                          </w:t>
      </w:r>
      <w:r>
        <w:rPr>
          <w:rFonts w:hint="eastAsia"/>
          <w:color w:val="auto"/>
          <w:szCs w:val="21"/>
          <w:highlight w:val="none"/>
        </w:rPr>
        <w:t>项目</w:t>
      </w:r>
      <w:r>
        <w:rPr>
          <w:color w:val="auto"/>
          <w:szCs w:val="21"/>
          <w:highlight w:val="none"/>
        </w:rPr>
        <w:t>经办人</w:t>
      </w:r>
      <w:r>
        <w:rPr>
          <w:rFonts w:hint="eastAsia"/>
          <w:color w:val="auto"/>
          <w:szCs w:val="21"/>
          <w:highlight w:val="none"/>
        </w:rPr>
        <w:t>（签字）</w:t>
      </w:r>
      <w:r>
        <w:rPr>
          <w:color w:val="auto"/>
          <w:szCs w:val="21"/>
          <w:highlight w:val="none"/>
        </w:rPr>
        <w:t>：</w:t>
      </w:r>
    </w:p>
    <w:tbl>
      <w:tblPr>
        <w:tblStyle w:val="29"/>
        <w:tblW w:w="142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6"/>
        <w:gridCol w:w="1664"/>
        <w:gridCol w:w="315"/>
        <w:gridCol w:w="727"/>
        <w:gridCol w:w="67"/>
        <w:gridCol w:w="930"/>
        <w:gridCol w:w="461"/>
        <w:gridCol w:w="536"/>
        <w:gridCol w:w="117"/>
        <w:gridCol w:w="992"/>
        <w:gridCol w:w="435"/>
        <w:gridCol w:w="416"/>
        <w:gridCol w:w="38"/>
        <w:gridCol w:w="997"/>
        <w:gridCol w:w="997"/>
        <w:gridCol w:w="631"/>
        <w:gridCol w:w="592"/>
        <w:gridCol w:w="940"/>
        <w:gridCol w:w="341"/>
        <w:gridCol w:w="122"/>
        <w:gridCol w:w="478"/>
        <w:gridCol w:w="109"/>
        <w:gridCol w:w="831"/>
        <w:gridCol w:w="303"/>
        <w:gridCol w:w="647"/>
      </w:tblGrid>
      <w:tr w14:paraId="306F5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restart"/>
            <w:shd w:val="clear" w:color="auto" w:fill="auto"/>
            <w:vAlign w:val="center"/>
          </w:tcPr>
          <w:p w14:paraId="5B461307">
            <w:pPr>
              <w:adjustRightInd/>
              <w:snapToGrid/>
              <w:spacing w:line="240" w:lineRule="exact"/>
              <w:rPr>
                <w:color w:val="auto"/>
                <w:sz w:val="16"/>
                <w:szCs w:val="16"/>
                <w:highlight w:val="none"/>
              </w:rPr>
            </w:pPr>
            <w:r>
              <w:rPr>
                <w:color w:val="auto"/>
                <w:sz w:val="16"/>
                <w:szCs w:val="16"/>
                <w:highlight w:val="none"/>
              </w:rPr>
              <w:t>建设项目</w:t>
            </w:r>
          </w:p>
        </w:tc>
        <w:tc>
          <w:tcPr>
            <w:tcW w:w="1979" w:type="dxa"/>
            <w:gridSpan w:val="2"/>
            <w:shd w:val="clear" w:color="auto" w:fill="auto"/>
            <w:vAlign w:val="center"/>
          </w:tcPr>
          <w:p w14:paraId="0C10084A">
            <w:pPr>
              <w:adjustRightInd/>
              <w:snapToGrid/>
              <w:spacing w:line="240" w:lineRule="exact"/>
              <w:rPr>
                <w:color w:val="auto"/>
                <w:sz w:val="16"/>
                <w:szCs w:val="16"/>
                <w:highlight w:val="none"/>
              </w:rPr>
            </w:pPr>
            <w:r>
              <w:rPr>
                <w:color w:val="auto"/>
                <w:sz w:val="16"/>
                <w:szCs w:val="16"/>
                <w:highlight w:val="none"/>
              </w:rPr>
              <w:t>项目名称</w:t>
            </w:r>
          </w:p>
        </w:tc>
        <w:tc>
          <w:tcPr>
            <w:tcW w:w="2838" w:type="dxa"/>
            <w:gridSpan w:val="6"/>
            <w:shd w:val="clear" w:color="auto" w:fill="auto"/>
            <w:vAlign w:val="center"/>
          </w:tcPr>
          <w:p w14:paraId="433A5479">
            <w:pPr>
              <w:adjustRightInd/>
              <w:snapToGrid/>
              <w:spacing w:line="240" w:lineRule="exact"/>
              <w:rPr>
                <w:rFonts w:hint="eastAsia" w:eastAsia="宋体"/>
                <w:color w:val="auto"/>
                <w:sz w:val="16"/>
                <w:szCs w:val="16"/>
                <w:highlight w:val="none"/>
                <w:lang w:eastAsia="zh-CN"/>
              </w:rPr>
            </w:pPr>
            <w:r>
              <w:rPr>
                <w:rFonts w:hint="eastAsia"/>
                <w:color w:val="auto"/>
                <w:sz w:val="16"/>
                <w:szCs w:val="16"/>
                <w:highlight w:val="none"/>
                <w:lang w:eastAsia="zh-CN"/>
              </w:rPr>
              <w:t>武汉市江夏长山口生活垃圾卫生填埋场填埋气利用发电项目（续建工程）</w:t>
            </w:r>
          </w:p>
        </w:tc>
        <w:tc>
          <w:tcPr>
            <w:tcW w:w="1843" w:type="dxa"/>
            <w:gridSpan w:val="3"/>
            <w:shd w:val="clear" w:color="auto" w:fill="auto"/>
            <w:vAlign w:val="center"/>
          </w:tcPr>
          <w:p w14:paraId="588CC378">
            <w:pPr>
              <w:adjustRightInd/>
              <w:snapToGrid/>
              <w:spacing w:line="240" w:lineRule="exact"/>
              <w:rPr>
                <w:color w:val="auto"/>
                <w:sz w:val="16"/>
                <w:szCs w:val="16"/>
                <w:highlight w:val="none"/>
              </w:rPr>
            </w:pPr>
            <w:r>
              <w:rPr>
                <w:color w:val="auto"/>
                <w:sz w:val="16"/>
                <w:szCs w:val="16"/>
                <w:highlight w:val="none"/>
              </w:rPr>
              <w:t>项目代码</w:t>
            </w:r>
          </w:p>
        </w:tc>
        <w:tc>
          <w:tcPr>
            <w:tcW w:w="2663" w:type="dxa"/>
            <w:gridSpan w:val="4"/>
            <w:shd w:val="clear" w:color="auto" w:fill="auto"/>
            <w:vAlign w:val="center"/>
          </w:tcPr>
          <w:p w14:paraId="7AE3894C">
            <w:pPr>
              <w:adjustRightInd/>
              <w:snapToGrid/>
              <w:spacing w:line="240" w:lineRule="exact"/>
              <w:rPr>
                <w:color w:val="auto"/>
                <w:sz w:val="16"/>
                <w:szCs w:val="16"/>
                <w:highlight w:val="none"/>
              </w:rPr>
            </w:pPr>
            <w:r>
              <w:rPr>
                <w:rFonts w:hint="eastAsia"/>
                <w:color w:val="auto"/>
                <w:sz w:val="16"/>
                <w:szCs w:val="16"/>
                <w:highlight w:val="none"/>
              </w:rPr>
              <w:t>2020-420115-44-03-020636</w:t>
            </w:r>
          </w:p>
        </w:tc>
        <w:tc>
          <w:tcPr>
            <w:tcW w:w="1873" w:type="dxa"/>
            <w:gridSpan w:val="3"/>
            <w:shd w:val="clear" w:color="auto" w:fill="auto"/>
            <w:vAlign w:val="center"/>
          </w:tcPr>
          <w:p w14:paraId="52B4228B">
            <w:pPr>
              <w:adjustRightInd/>
              <w:snapToGrid/>
              <w:spacing w:line="240" w:lineRule="exact"/>
              <w:rPr>
                <w:color w:val="auto"/>
                <w:sz w:val="16"/>
                <w:szCs w:val="16"/>
                <w:highlight w:val="none"/>
              </w:rPr>
            </w:pPr>
            <w:r>
              <w:rPr>
                <w:color w:val="auto"/>
                <w:sz w:val="16"/>
                <w:szCs w:val="16"/>
                <w:highlight w:val="none"/>
              </w:rPr>
              <w:t>建设地点</w:t>
            </w:r>
          </w:p>
        </w:tc>
        <w:tc>
          <w:tcPr>
            <w:tcW w:w="2490" w:type="dxa"/>
            <w:gridSpan w:val="6"/>
            <w:shd w:val="clear" w:color="auto" w:fill="auto"/>
            <w:vAlign w:val="center"/>
          </w:tcPr>
          <w:p w14:paraId="32EA33A6">
            <w:pPr>
              <w:adjustRightInd/>
              <w:snapToGrid/>
              <w:spacing w:line="240" w:lineRule="exact"/>
              <w:rPr>
                <w:color w:val="auto"/>
                <w:sz w:val="16"/>
                <w:szCs w:val="16"/>
                <w:highlight w:val="none"/>
              </w:rPr>
            </w:pPr>
            <w:r>
              <w:rPr>
                <w:rFonts w:hint="eastAsia"/>
                <w:color w:val="auto"/>
                <w:sz w:val="16"/>
                <w:szCs w:val="16"/>
                <w:highlight w:val="none"/>
              </w:rPr>
              <w:t>武汉市</w:t>
            </w:r>
            <w:r>
              <w:rPr>
                <w:rFonts w:hint="eastAsia"/>
                <w:color w:val="auto"/>
                <w:sz w:val="16"/>
                <w:szCs w:val="16"/>
                <w:highlight w:val="none"/>
                <w:lang w:eastAsia="zh-CN"/>
              </w:rPr>
              <w:t>江夏区金口街道</w:t>
            </w:r>
            <w:r>
              <w:rPr>
                <w:rFonts w:hint="eastAsia"/>
                <w:color w:val="auto"/>
                <w:sz w:val="16"/>
                <w:szCs w:val="16"/>
                <w:highlight w:val="none"/>
              </w:rPr>
              <w:t>长山口生活垃圾卫生填埋场</w:t>
            </w:r>
          </w:p>
        </w:tc>
      </w:tr>
      <w:tr w14:paraId="28E28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2AA816DC">
            <w:pPr>
              <w:adjustRightInd/>
              <w:snapToGrid/>
              <w:spacing w:line="240" w:lineRule="exact"/>
              <w:rPr>
                <w:color w:val="auto"/>
                <w:sz w:val="16"/>
                <w:szCs w:val="16"/>
                <w:highlight w:val="none"/>
              </w:rPr>
            </w:pPr>
          </w:p>
        </w:tc>
        <w:tc>
          <w:tcPr>
            <w:tcW w:w="1979" w:type="dxa"/>
            <w:gridSpan w:val="2"/>
            <w:shd w:val="clear" w:color="auto" w:fill="auto"/>
            <w:vAlign w:val="center"/>
          </w:tcPr>
          <w:p w14:paraId="3A74C405">
            <w:pPr>
              <w:adjustRightInd/>
              <w:snapToGrid/>
              <w:spacing w:line="240" w:lineRule="exact"/>
              <w:rPr>
                <w:color w:val="auto"/>
                <w:sz w:val="16"/>
                <w:szCs w:val="16"/>
                <w:highlight w:val="none"/>
              </w:rPr>
            </w:pPr>
            <w:r>
              <w:rPr>
                <w:color w:val="auto"/>
                <w:sz w:val="16"/>
                <w:szCs w:val="16"/>
                <w:highlight w:val="none"/>
              </w:rPr>
              <w:t>行业类别（分类管理名录）</w:t>
            </w:r>
          </w:p>
        </w:tc>
        <w:tc>
          <w:tcPr>
            <w:tcW w:w="2838" w:type="dxa"/>
            <w:gridSpan w:val="6"/>
            <w:shd w:val="clear" w:color="auto" w:fill="auto"/>
            <w:vAlign w:val="center"/>
          </w:tcPr>
          <w:p w14:paraId="231F6B5C">
            <w:pPr>
              <w:adjustRightInd/>
              <w:snapToGrid/>
              <w:spacing w:line="240" w:lineRule="exact"/>
              <w:rPr>
                <w:color w:val="auto"/>
                <w:sz w:val="16"/>
                <w:szCs w:val="16"/>
                <w:highlight w:val="none"/>
              </w:rPr>
            </w:pPr>
            <w:r>
              <w:rPr>
                <w:rFonts w:hint="eastAsia"/>
                <w:color w:val="auto"/>
                <w:sz w:val="16"/>
                <w:szCs w:val="16"/>
                <w:highlight w:val="none"/>
                <w:lang w:val="en-US" w:eastAsia="zh-CN"/>
              </w:rPr>
              <w:t>41_</w:t>
            </w:r>
            <w:r>
              <w:rPr>
                <w:rFonts w:hint="eastAsia"/>
                <w:color w:val="auto"/>
                <w:sz w:val="16"/>
                <w:szCs w:val="16"/>
                <w:highlight w:val="none"/>
              </w:rPr>
              <w:t>89生物质能发电</w:t>
            </w:r>
          </w:p>
        </w:tc>
        <w:tc>
          <w:tcPr>
            <w:tcW w:w="1843" w:type="dxa"/>
            <w:gridSpan w:val="3"/>
            <w:shd w:val="clear" w:color="auto" w:fill="auto"/>
            <w:vAlign w:val="center"/>
          </w:tcPr>
          <w:p w14:paraId="3F3572E0">
            <w:pPr>
              <w:adjustRightInd/>
              <w:snapToGrid/>
              <w:spacing w:line="240" w:lineRule="exact"/>
              <w:rPr>
                <w:color w:val="auto"/>
                <w:sz w:val="16"/>
                <w:szCs w:val="16"/>
                <w:highlight w:val="none"/>
              </w:rPr>
            </w:pPr>
            <w:r>
              <w:rPr>
                <w:color w:val="auto"/>
                <w:sz w:val="16"/>
                <w:szCs w:val="16"/>
                <w:highlight w:val="none"/>
              </w:rPr>
              <w:t>建设性质</w:t>
            </w:r>
          </w:p>
        </w:tc>
        <w:tc>
          <w:tcPr>
            <w:tcW w:w="2663" w:type="dxa"/>
            <w:gridSpan w:val="4"/>
            <w:shd w:val="clear" w:color="auto" w:fill="auto"/>
            <w:vAlign w:val="center"/>
          </w:tcPr>
          <w:p w14:paraId="7FBF480D">
            <w:pPr>
              <w:adjustRightInd/>
              <w:snapToGrid/>
              <w:spacing w:line="240" w:lineRule="exact"/>
              <w:rPr>
                <w:color w:val="auto"/>
                <w:sz w:val="16"/>
                <w:szCs w:val="16"/>
                <w:highlight w:val="none"/>
              </w:rPr>
            </w:pPr>
            <w:r>
              <w:rPr>
                <w:color w:val="auto"/>
                <w:sz w:val="16"/>
                <w:szCs w:val="16"/>
                <w:highlight w:val="none"/>
              </w:rPr>
              <w:sym w:font="Wingdings 2" w:char="00A3"/>
            </w:r>
            <w:r>
              <w:rPr>
                <w:color w:val="auto"/>
                <w:sz w:val="16"/>
                <w:szCs w:val="16"/>
                <w:highlight w:val="none"/>
              </w:rPr>
              <w:t>新建；</w:t>
            </w:r>
            <w:r>
              <w:rPr>
                <w:color w:val="auto"/>
                <w:sz w:val="16"/>
                <w:szCs w:val="16"/>
                <w:highlight w:val="none"/>
              </w:rPr>
              <w:sym w:font="Wingdings 2" w:char="0052"/>
            </w:r>
            <w:r>
              <w:rPr>
                <w:color w:val="auto"/>
                <w:sz w:val="16"/>
                <w:szCs w:val="16"/>
                <w:highlight w:val="none"/>
              </w:rPr>
              <w:t>改扩建；</w:t>
            </w:r>
            <w:r>
              <w:rPr>
                <w:color w:val="auto"/>
                <w:sz w:val="16"/>
                <w:szCs w:val="16"/>
                <w:highlight w:val="none"/>
              </w:rPr>
              <w:sym w:font="Wingdings 2" w:char="00A3"/>
            </w:r>
            <w:r>
              <w:rPr>
                <w:color w:val="auto"/>
                <w:sz w:val="16"/>
                <w:szCs w:val="16"/>
                <w:highlight w:val="none"/>
              </w:rPr>
              <w:t>技术改造</w:t>
            </w:r>
          </w:p>
        </w:tc>
        <w:tc>
          <w:tcPr>
            <w:tcW w:w="1873" w:type="dxa"/>
            <w:gridSpan w:val="3"/>
            <w:shd w:val="clear" w:color="auto" w:fill="auto"/>
            <w:vAlign w:val="center"/>
          </w:tcPr>
          <w:p w14:paraId="6DAA8CDD">
            <w:pPr>
              <w:adjustRightInd/>
              <w:snapToGrid/>
              <w:spacing w:line="240" w:lineRule="exact"/>
              <w:rPr>
                <w:rFonts w:hint="default" w:ascii="Times New Roman" w:hAnsi="Times New Roman" w:eastAsia="宋体" w:cs="Times New Roman"/>
                <w:color w:val="auto"/>
                <w:sz w:val="16"/>
                <w:szCs w:val="16"/>
                <w:highlight w:val="none"/>
              </w:rPr>
            </w:pPr>
            <w:r>
              <w:rPr>
                <w:rFonts w:hint="default" w:ascii="Times New Roman" w:hAnsi="Times New Roman" w:eastAsia="宋体" w:cs="Times New Roman"/>
                <w:color w:val="auto"/>
                <w:sz w:val="16"/>
                <w:szCs w:val="16"/>
                <w:highlight w:val="none"/>
              </w:rPr>
              <w:t>项目厂区中心经度/纬度</w:t>
            </w:r>
          </w:p>
        </w:tc>
        <w:tc>
          <w:tcPr>
            <w:tcW w:w="2490" w:type="dxa"/>
            <w:gridSpan w:val="6"/>
            <w:shd w:val="clear" w:color="auto" w:fill="auto"/>
            <w:vAlign w:val="center"/>
          </w:tcPr>
          <w:p w14:paraId="4C30B200">
            <w:pPr>
              <w:adjustRightInd/>
              <w:snapToGrid/>
              <w:spacing w:line="240" w:lineRule="exact"/>
              <w:rPr>
                <w:rFonts w:hint="default" w:ascii="Times New Roman" w:hAnsi="Times New Roman" w:eastAsia="宋体" w:cs="Times New Roman"/>
                <w:color w:val="auto"/>
                <w:sz w:val="16"/>
                <w:szCs w:val="16"/>
                <w:highlight w:val="none"/>
              </w:rPr>
            </w:pPr>
            <w:r>
              <w:rPr>
                <w:rFonts w:hint="default" w:ascii="Times New Roman" w:hAnsi="Times New Roman" w:eastAsia="宋体" w:cs="Times New Roman"/>
                <w:color w:val="auto"/>
                <w:sz w:val="16"/>
                <w:szCs w:val="16"/>
                <w:highlight w:val="none"/>
              </w:rPr>
              <w:t>114°</w:t>
            </w:r>
            <w:r>
              <w:rPr>
                <w:rFonts w:hint="eastAsia" w:cs="Times New Roman"/>
                <w:color w:val="auto"/>
                <w:sz w:val="16"/>
                <w:szCs w:val="16"/>
                <w:highlight w:val="none"/>
                <w:lang w:val="en-US" w:eastAsia="zh-CN"/>
              </w:rPr>
              <w:t>13</w:t>
            </w:r>
            <w:r>
              <w:rPr>
                <w:rFonts w:hint="default" w:ascii="Times New Roman" w:hAnsi="Times New Roman" w:eastAsia="宋体" w:cs="Times New Roman"/>
                <w:color w:val="auto"/>
                <w:sz w:val="16"/>
                <w:szCs w:val="16"/>
                <w:highlight w:val="none"/>
              </w:rPr>
              <w:t>′</w:t>
            </w:r>
            <w:r>
              <w:rPr>
                <w:rFonts w:hint="eastAsia" w:cs="Times New Roman"/>
                <w:color w:val="auto"/>
                <w:sz w:val="16"/>
                <w:szCs w:val="16"/>
                <w:highlight w:val="none"/>
                <w:lang w:val="en-US" w:eastAsia="zh-CN"/>
              </w:rPr>
              <w:t>1.660</w:t>
            </w:r>
            <w:r>
              <w:rPr>
                <w:rFonts w:hint="default" w:ascii="Times New Roman" w:hAnsi="Times New Roman" w:eastAsia="宋体" w:cs="Times New Roman"/>
                <w:color w:val="auto"/>
                <w:sz w:val="16"/>
                <w:szCs w:val="16"/>
                <w:highlight w:val="none"/>
              </w:rPr>
              <w:t>″，30°</w:t>
            </w:r>
            <w:r>
              <w:rPr>
                <w:rFonts w:hint="eastAsia" w:cs="Times New Roman"/>
                <w:color w:val="auto"/>
                <w:sz w:val="16"/>
                <w:szCs w:val="16"/>
                <w:highlight w:val="none"/>
                <w:lang w:val="en-US" w:eastAsia="zh-CN"/>
              </w:rPr>
              <w:t>21</w:t>
            </w:r>
            <w:r>
              <w:rPr>
                <w:rFonts w:hint="default" w:ascii="Times New Roman" w:hAnsi="Times New Roman" w:eastAsia="宋体" w:cs="Times New Roman"/>
                <w:color w:val="auto"/>
                <w:sz w:val="16"/>
                <w:szCs w:val="16"/>
                <w:highlight w:val="none"/>
              </w:rPr>
              <w:t>′</w:t>
            </w:r>
            <w:r>
              <w:rPr>
                <w:rFonts w:hint="eastAsia" w:cs="Times New Roman"/>
                <w:color w:val="auto"/>
                <w:sz w:val="16"/>
                <w:szCs w:val="16"/>
                <w:highlight w:val="none"/>
                <w:lang w:val="en-US" w:eastAsia="zh-CN"/>
              </w:rPr>
              <w:t>4.901</w:t>
            </w:r>
            <w:r>
              <w:rPr>
                <w:rFonts w:hint="default" w:ascii="Times New Roman" w:hAnsi="Times New Roman" w:eastAsia="宋体" w:cs="Times New Roman"/>
                <w:color w:val="auto"/>
                <w:sz w:val="16"/>
                <w:szCs w:val="16"/>
                <w:highlight w:val="none"/>
              </w:rPr>
              <w:t>″</w:t>
            </w:r>
          </w:p>
        </w:tc>
      </w:tr>
      <w:tr w14:paraId="55E2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275611E0">
            <w:pPr>
              <w:adjustRightInd/>
              <w:snapToGrid/>
              <w:spacing w:line="240" w:lineRule="exact"/>
              <w:rPr>
                <w:color w:val="auto"/>
                <w:sz w:val="16"/>
                <w:szCs w:val="16"/>
                <w:highlight w:val="none"/>
              </w:rPr>
            </w:pPr>
          </w:p>
        </w:tc>
        <w:tc>
          <w:tcPr>
            <w:tcW w:w="1979" w:type="dxa"/>
            <w:gridSpan w:val="2"/>
            <w:shd w:val="clear" w:color="auto" w:fill="auto"/>
            <w:vAlign w:val="center"/>
          </w:tcPr>
          <w:p w14:paraId="4FC130DC">
            <w:pPr>
              <w:adjustRightInd/>
              <w:snapToGrid/>
              <w:spacing w:line="240" w:lineRule="exact"/>
              <w:rPr>
                <w:color w:val="auto"/>
                <w:sz w:val="16"/>
                <w:szCs w:val="16"/>
                <w:highlight w:val="none"/>
              </w:rPr>
            </w:pPr>
            <w:r>
              <w:rPr>
                <w:color w:val="auto"/>
                <w:sz w:val="16"/>
                <w:szCs w:val="16"/>
                <w:highlight w:val="none"/>
              </w:rPr>
              <w:t>设计生产能力</w:t>
            </w:r>
          </w:p>
        </w:tc>
        <w:tc>
          <w:tcPr>
            <w:tcW w:w="2838" w:type="dxa"/>
            <w:gridSpan w:val="6"/>
            <w:shd w:val="clear" w:color="auto" w:fill="auto"/>
            <w:vAlign w:val="center"/>
          </w:tcPr>
          <w:p w14:paraId="4195089B">
            <w:pPr>
              <w:adjustRightInd/>
              <w:snapToGrid/>
              <w:spacing w:line="240" w:lineRule="exact"/>
              <w:rPr>
                <w:color w:val="auto"/>
                <w:sz w:val="16"/>
                <w:szCs w:val="16"/>
                <w:highlight w:val="none"/>
              </w:rPr>
            </w:pPr>
            <w:r>
              <w:rPr>
                <w:rFonts w:hint="eastAsia"/>
                <w:color w:val="auto"/>
                <w:sz w:val="16"/>
                <w:szCs w:val="16"/>
                <w:highlight w:val="none"/>
              </w:rPr>
              <w:t>发电量</w:t>
            </w:r>
            <w:r>
              <w:rPr>
                <w:rFonts w:hint="eastAsia"/>
                <w:color w:val="auto"/>
                <w:sz w:val="16"/>
                <w:szCs w:val="16"/>
                <w:highlight w:val="none"/>
                <w:lang w:val="en-US" w:eastAsia="zh-CN"/>
              </w:rPr>
              <w:t>3407</w:t>
            </w:r>
            <w:r>
              <w:rPr>
                <w:rFonts w:hint="eastAsia"/>
                <w:color w:val="auto"/>
                <w:sz w:val="16"/>
                <w:szCs w:val="16"/>
                <w:highlight w:val="none"/>
              </w:rPr>
              <w:t>万度/年</w:t>
            </w:r>
          </w:p>
        </w:tc>
        <w:tc>
          <w:tcPr>
            <w:tcW w:w="1843" w:type="dxa"/>
            <w:gridSpan w:val="3"/>
            <w:shd w:val="clear" w:color="auto" w:fill="auto"/>
            <w:vAlign w:val="center"/>
          </w:tcPr>
          <w:p w14:paraId="01E6EC2B">
            <w:pPr>
              <w:adjustRightInd/>
              <w:snapToGrid/>
              <w:spacing w:line="240" w:lineRule="exact"/>
              <w:rPr>
                <w:color w:val="auto"/>
                <w:sz w:val="16"/>
                <w:szCs w:val="16"/>
                <w:highlight w:val="none"/>
              </w:rPr>
            </w:pPr>
            <w:r>
              <w:rPr>
                <w:color w:val="auto"/>
                <w:sz w:val="16"/>
                <w:szCs w:val="16"/>
                <w:highlight w:val="none"/>
              </w:rPr>
              <w:t>实际生产能力</w:t>
            </w:r>
          </w:p>
        </w:tc>
        <w:tc>
          <w:tcPr>
            <w:tcW w:w="2663" w:type="dxa"/>
            <w:gridSpan w:val="4"/>
            <w:shd w:val="clear" w:color="auto" w:fill="auto"/>
            <w:vAlign w:val="center"/>
          </w:tcPr>
          <w:p w14:paraId="30FBFFC5">
            <w:pPr>
              <w:adjustRightInd/>
              <w:snapToGrid/>
              <w:spacing w:line="240" w:lineRule="exact"/>
              <w:rPr>
                <w:color w:val="auto"/>
                <w:sz w:val="16"/>
                <w:szCs w:val="16"/>
                <w:highlight w:val="none"/>
              </w:rPr>
            </w:pPr>
            <w:r>
              <w:rPr>
                <w:rFonts w:hint="eastAsia"/>
                <w:color w:val="auto"/>
                <w:sz w:val="16"/>
                <w:szCs w:val="16"/>
                <w:highlight w:val="none"/>
              </w:rPr>
              <w:t>发电量</w:t>
            </w:r>
            <w:r>
              <w:rPr>
                <w:rFonts w:hint="eastAsia"/>
                <w:color w:val="auto"/>
                <w:sz w:val="16"/>
                <w:szCs w:val="16"/>
                <w:highlight w:val="none"/>
                <w:lang w:val="en-US" w:eastAsia="zh-CN"/>
              </w:rPr>
              <w:t>3407</w:t>
            </w:r>
            <w:r>
              <w:rPr>
                <w:rFonts w:hint="eastAsia"/>
                <w:color w:val="auto"/>
                <w:sz w:val="16"/>
                <w:szCs w:val="16"/>
                <w:highlight w:val="none"/>
              </w:rPr>
              <w:t>万度/年</w:t>
            </w:r>
          </w:p>
        </w:tc>
        <w:tc>
          <w:tcPr>
            <w:tcW w:w="1873" w:type="dxa"/>
            <w:gridSpan w:val="3"/>
            <w:shd w:val="clear" w:color="auto" w:fill="auto"/>
            <w:vAlign w:val="center"/>
          </w:tcPr>
          <w:p w14:paraId="67D98183">
            <w:pPr>
              <w:adjustRightInd/>
              <w:snapToGrid/>
              <w:spacing w:line="240" w:lineRule="exact"/>
              <w:rPr>
                <w:color w:val="auto"/>
                <w:sz w:val="16"/>
                <w:szCs w:val="16"/>
                <w:highlight w:val="none"/>
              </w:rPr>
            </w:pPr>
            <w:r>
              <w:rPr>
                <w:color w:val="auto"/>
                <w:sz w:val="16"/>
                <w:szCs w:val="16"/>
                <w:highlight w:val="none"/>
              </w:rPr>
              <w:t>环评单位</w:t>
            </w:r>
          </w:p>
        </w:tc>
        <w:tc>
          <w:tcPr>
            <w:tcW w:w="2490" w:type="dxa"/>
            <w:gridSpan w:val="6"/>
            <w:shd w:val="clear" w:color="auto" w:fill="auto"/>
            <w:vAlign w:val="center"/>
          </w:tcPr>
          <w:p w14:paraId="1B43F588">
            <w:pPr>
              <w:adjustRightInd/>
              <w:snapToGrid/>
              <w:spacing w:line="240" w:lineRule="exact"/>
              <w:rPr>
                <w:color w:val="auto"/>
                <w:sz w:val="16"/>
                <w:szCs w:val="16"/>
                <w:highlight w:val="none"/>
              </w:rPr>
            </w:pPr>
            <w:r>
              <w:rPr>
                <w:rFonts w:hint="eastAsia"/>
                <w:color w:val="auto"/>
                <w:sz w:val="16"/>
                <w:szCs w:val="16"/>
                <w:highlight w:val="none"/>
              </w:rPr>
              <w:t>武汉智汇元环保科技有限公司</w:t>
            </w:r>
          </w:p>
        </w:tc>
      </w:tr>
      <w:tr w14:paraId="73908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619A4DA8">
            <w:pPr>
              <w:adjustRightInd/>
              <w:snapToGrid/>
              <w:spacing w:line="240" w:lineRule="exact"/>
              <w:rPr>
                <w:color w:val="auto"/>
                <w:sz w:val="16"/>
                <w:szCs w:val="16"/>
                <w:highlight w:val="none"/>
              </w:rPr>
            </w:pPr>
          </w:p>
        </w:tc>
        <w:tc>
          <w:tcPr>
            <w:tcW w:w="1979" w:type="dxa"/>
            <w:gridSpan w:val="2"/>
            <w:shd w:val="clear" w:color="auto" w:fill="auto"/>
            <w:vAlign w:val="center"/>
          </w:tcPr>
          <w:p w14:paraId="4BE801C6">
            <w:pPr>
              <w:adjustRightInd/>
              <w:snapToGrid/>
              <w:spacing w:line="240" w:lineRule="exact"/>
              <w:rPr>
                <w:color w:val="auto"/>
                <w:sz w:val="16"/>
                <w:szCs w:val="16"/>
                <w:highlight w:val="none"/>
              </w:rPr>
            </w:pPr>
            <w:r>
              <w:rPr>
                <w:color w:val="auto"/>
                <w:sz w:val="16"/>
                <w:szCs w:val="16"/>
                <w:highlight w:val="none"/>
              </w:rPr>
              <w:t>环评文件审批机关</w:t>
            </w:r>
          </w:p>
        </w:tc>
        <w:tc>
          <w:tcPr>
            <w:tcW w:w="2838" w:type="dxa"/>
            <w:gridSpan w:val="6"/>
            <w:shd w:val="clear" w:color="auto" w:fill="auto"/>
            <w:vAlign w:val="center"/>
          </w:tcPr>
          <w:p w14:paraId="3AC5D156">
            <w:pPr>
              <w:adjustRightInd/>
              <w:snapToGrid/>
              <w:spacing w:line="240" w:lineRule="exact"/>
              <w:rPr>
                <w:rFonts w:hint="eastAsia"/>
                <w:color w:val="auto"/>
                <w:sz w:val="16"/>
                <w:szCs w:val="16"/>
                <w:highlight w:val="none"/>
                <w:lang w:eastAsia="zh-CN"/>
              </w:rPr>
            </w:pPr>
            <w:r>
              <w:rPr>
                <w:rFonts w:hint="eastAsia"/>
                <w:color w:val="auto"/>
                <w:sz w:val="16"/>
                <w:szCs w:val="16"/>
                <w:highlight w:val="none"/>
              </w:rPr>
              <w:t>武汉市生态环境局</w:t>
            </w:r>
            <w:r>
              <w:rPr>
                <w:rFonts w:hint="eastAsia"/>
                <w:color w:val="auto"/>
                <w:sz w:val="16"/>
                <w:szCs w:val="16"/>
                <w:highlight w:val="none"/>
                <w:lang w:eastAsia="zh-CN"/>
              </w:rPr>
              <w:t>江夏区分局</w:t>
            </w:r>
          </w:p>
        </w:tc>
        <w:tc>
          <w:tcPr>
            <w:tcW w:w="1843" w:type="dxa"/>
            <w:gridSpan w:val="3"/>
            <w:shd w:val="clear" w:color="auto" w:fill="auto"/>
            <w:vAlign w:val="center"/>
          </w:tcPr>
          <w:p w14:paraId="7D95BD48">
            <w:pPr>
              <w:adjustRightInd/>
              <w:snapToGrid/>
              <w:spacing w:line="240" w:lineRule="exact"/>
              <w:rPr>
                <w:color w:val="auto"/>
                <w:sz w:val="16"/>
                <w:szCs w:val="16"/>
                <w:highlight w:val="none"/>
              </w:rPr>
            </w:pPr>
            <w:r>
              <w:rPr>
                <w:color w:val="auto"/>
                <w:sz w:val="16"/>
                <w:szCs w:val="16"/>
                <w:highlight w:val="none"/>
              </w:rPr>
              <w:t>审批文号</w:t>
            </w:r>
          </w:p>
        </w:tc>
        <w:tc>
          <w:tcPr>
            <w:tcW w:w="2663" w:type="dxa"/>
            <w:gridSpan w:val="4"/>
            <w:shd w:val="clear" w:color="auto" w:fill="auto"/>
            <w:vAlign w:val="center"/>
          </w:tcPr>
          <w:p w14:paraId="4FD26E10">
            <w:pPr>
              <w:adjustRightInd/>
              <w:snapToGrid/>
              <w:spacing w:line="240" w:lineRule="exact"/>
              <w:rPr>
                <w:rFonts w:hint="eastAsia" w:eastAsia="宋体"/>
                <w:color w:val="auto"/>
                <w:sz w:val="16"/>
                <w:szCs w:val="16"/>
                <w:highlight w:val="none"/>
                <w:lang w:eastAsia="zh-CN"/>
              </w:rPr>
            </w:pPr>
            <w:r>
              <w:rPr>
                <w:rFonts w:hint="eastAsia"/>
                <w:color w:val="auto"/>
                <w:sz w:val="16"/>
                <w:szCs w:val="16"/>
                <w:highlight w:val="none"/>
                <w:lang w:eastAsia="zh-CN"/>
              </w:rPr>
              <w:t>武环江夏审【2023】63号</w:t>
            </w:r>
          </w:p>
        </w:tc>
        <w:tc>
          <w:tcPr>
            <w:tcW w:w="1873" w:type="dxa"/>
            <w:gridSpan w:val="3"/>
            <w:shd w:val="clear" w:color="auto" w:fill="auto"/>
            <w:vAlign w:val="center"/>
          </w:tcPr>
          <w:p w14:paraId="0AB35E77">
            <w:pPr>
              <w:adjustRightInd/>
              <w:snapToGrid/>
              <w:spacing w:line="240" w:lineRule="exact"/>
              <w:rPr>
                <w:color w:val="auto"/>
                <w:sz w:val="16"/>
                <w:szCs w:val="16"/>
                <w:highlight w:val="none"/>
              </w:rPr>
            </w:pPr>
            <w:r>
              <w:rPr>
                <w:color w:val="auto"/>
                <w:sz w:val="16"/>
                <w:szCs w:val="16"/>
                <w:highlight w:val="none"/>
              </w:rPr>
              <w:t>环评文件类型</w:t>
            </w:r>
          </w:p>
        </w:tc>
        <w:tc>
          <w:tcPr>
            <w:tcW w:w="2490" w:type="dxa"/>
            <w:gridSpan w:val="6"/>
            <w:shd w:val="clear" w:color="auto" w:fill="auto"/>
            <w:vAlign w:val="center"/>
          </w:tcPr>
          <w:p w14:paraId="1134B216">
            <w:pPr>
              <w:adjustRightInd/>
              <w:snapToGrid/>
              <w:spacing w:line="240" w:lineRule="exact"/>
              <w:rPr>
                <w:color w:val="auto"/>
                <w:sz w:val="16"/>
                <w:szCs w:val="16"/>
                <w:highlight w:val="none"/>
              </w:rPr>
            </w:pPr>
            <w:r>
              <w:rPr>
                <w:color w:val="auto"/>
                <w:sz w:val="16"/>
                <w:szCs w:val="16"/>
                <w:highlight w:val="none"/>
              </w:rPr>
              <w:t>环境影响报告</w:t>
            </w:r>
            <w:r>
              <w:rPr>
                <w:rFonts w:hint="eastAsia"/>
                <w:color w:val="auto"/>
                <w:sz w:val="16"/>
                <w:szCs w:val="16"/>
                <w:highlight w:val="none"/>
              </w:rPr>
              <w:t>表</w:t>
            </w:r>
          </w:p>
        </w:tc>
      </w:tr>
      <w:tr w14:paraId="05D69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31FD1820">
            <w:pPr>
              <w:adjustRightInd/>
              <w:snapToGrid/>
              <w:spacing w:line="240" w:lineRule="exact"/>
              <w:rPr>
                <w:color w:val="auto"/>
                <w:sz w:val="16"/>
                <w:szCs w:val="16"/>
                <w:highlight w:val="none"/>
              </w:rPr>
            </w:pPr>
          </w:p>
        </w:tc>
        <w:tc>
          <w:tcPr>
            <w:tcW w:w="1979" w:type="dxa"/>
            <w:gridSpan w:val="2"/>
            <w:shd w:val="clear" w:color="auto" w:fill="auto"/>
            <w:vAlign w:val="center"/>
          </w:tcPr>
          <w:p w14:paraId="61E3E6F7">
            <w:pPr>
              <w:adjustRightInd/>
              <w:snapToGrid/>
              <w:spacing w:line="240" w:lineRule="exact"/>
              <w:rPr>
                <w:color w:val="auto"/>
                <w:sz w:val="16"/>
                <w:szCs w:val="16"/>
                <w:highlight w:val="none"/>
              </w:rPr>
            </w:pPr>
            <w:r>
              <w:rPr>
                <w:color w:val="auto"/>
                <w:sz w:val="16"/>
                <w:szCs w:val="16"/>
                <w:highlight w:val="none"/>
              </w:rPr>
              <w:t>开工日期</w:t>
            </w:r>
          </w:p>
        </w:tc>
        <w:tc>
          <w:tcPr>
            <w:tcW w:w="2838" w:type="dxa"/>
            <w:gridSpan w:val="6"/>
            <w:shd w:val="clear" w:color="auto" w:fill="auto"/>
            <w:vAlign w:val="center"/>
          </w:tcPr>
          <w:p w14:paraId="75256B68">
            <w:pPr>
              <w:adjustRightInd/>
              <w:snapToGrid/>
              <w:spacing w:line="240" w:lineRule="exact"/>
              <w:rPr>
                <w:rFonts w:hint="eastAsia"/>
                <w:color w:val="auto"/>
                <w:sz w:val="16"/>
                <w:szCs w:val="16"/>
                <w:highlight w:val="none"/>
              </w:rPr>
            </w:pPr>
            <w:r>
              <w:rPr>
                <w:rFonts w:hint="eastAsia"/>
                <w:color w:val="auto"/>
                <w:sz w:val="16"/>
                <w:szCs w:val="16"/>
                <w:highlight w:val="none"/>
              </w:rPr>
              <w:t>20</w:t>
            </w:r>
            <w:r>
              <w:rPr>
                <w:rFonts w:hint="eastAsia"/>
                <w:color w:val="auto"/>
                <w:sz w:val="16"/>
                <w:szCs w:val="16"/>
                <w:highlight w:val="none"/>
                <w:lang w:val="en-US" w:eastAsia="zh-CN"/>
              </w:rPr>
              <w:t>22</w:t>
            </w:r>
            <w:r>
              <w:rPr>
                <w:rFonts w:hint="eastAsia"/>
                <w:color w:val="auto"/>
                <w:sz w:val="16"/>
                <w:szCs w:val="16"/>
                <w:highlight w:val="none"/>
              </w:rPr>
              <w:t>年</w:t>
            </w:r>
            <w:r>
              <w:rPr>
                <w:rFonts w:hint="eastAsia"/>
                <w:color w:val="auto"/>
                <w:sz w:val="16"/>
                <w:szCs w:val="16"/>
                <w:highlight w:val="none"/>
                <w:lang w:val="en-US" w:eastAsia="zh-CN"/>
              </w:rPr>
              <w:t>3</w:t>
            </w:r>
            <w:r>
              <w:rPr>
                <w:rFonts w:hint="eastAsia"/>
                <w:color w:val="auto"/>
                <w:sz w:val="16"/>
                <w:szCs w:val="16"/>
                <w:highlight w:val="none"/>
              </w:rPr>
              <w:t>月</w:t>
            </w:r>
          </w:p>
        </w:tc>
        <w:tc>
          <w:tcPr>
            <w:tcW w:w="1843" w:type="dxa"/>
            <w:gridSpan w:val="3"/>
            <w:shd w:val="clear" w:color="auto" w:fill="auto"/>
            <w:vAlign w:val="center"/>
          </w:tcPr>
          <w:p w14:paraId="30A65370">
            <w:pPr>
              <w:adjustRightInd/>
              <w:snapToGrid/>
              <w:spacing w:line="240" w:lineRule="exact"/>
              <w:rPr>
                <w:color w:val="auto"/>
                <w:sz w:val="16"/>
                <w:szCs w:val="16"/>
                <w:highlight w:val="none"/>
              </w:rPr>
            </w:pPr>
            <w:r>
              <w:rPr>
                <w:color w:val="auto"/>
                <w:sz w:val="16"/>
                <w:szCs w:val="16"/>
                <w:highlight w:val="none"/>
              </w:rPr>
              <w:t>竣工日期</w:t>
            </w:r>
          </w:p>
        </w:tc>
        <w:tc>
          <w:tcPr>
            <w:tcW w:w="2663" w:type="dxa"/>
            <w:gridSpan w:val="4"/>
            <w:shd w:val="clear" w:color="auto" w:fill="auto"/>
            <w:vAlign w:val="center"/>
          </w:tcPr>
          <w:p w14:paraId="64E6FEB2">
            <w:pPr>
              <w:adjustRightInd/>
              <w:snapToGrid/>
              <w:spacing w:line="240" w:lineRule="exact"/>
              <w:rPr>
                <w:color w:val="auto"/>
                <w:sz w:val="16"/>
                <w:szCs w:val="16"/>
                <w:highlight w:val="none"/>
              </w:rPr>
            </w:pPr>
            <w:r>
              <w:rPr>
                <w:rFonts w:hint="eastAsia"/>
                <w:color w:val="auto"/>
                <w:sz w:val="16"/>
                <w:szCs w:val="16"/>
                <w:highlight w:val="none"/>
              </w:rPr>
              <w:t>20</w:t>
            </w:r>
            <w:r>
              <w:rPr>
                <w:rFonts w:hint="eastAsia"/>
                <w:color w:val="auto"/>
                <w:sz w:val="16"/>
                <w:szCs w:val="16"/>
                <w:highlight w:val="none"/>
                <w:lang w:val="en-US" w:eastAsia="zh-CN"/>
              </w:rPr>
              <w:t>23</w:t>
            </w:r>
            <w:r>
              <w:rPr>
                <w:rFonts w:hint="eastAsia"/>
                <w:color w:val="auto"/>
                <w:sz w:val="16"/>
                <w:szCs w:val="16"/>
                <w:highlight w:val="none"/>
              </w:rPr>
              <w:t>年</w:t>
            </w:r>
            <w:r>
              <w:rPr>
                <w:rFonts w:hint="eastAsia"/>
                <w:color w:val="auto"/>
                <w:sz w:val="16"/>
                <w:szCs w:val="16"/>
                <w:highlight w:val="none"/>
                <w:lang w:val="en-US" w:eastAsia="zh-CN"/>
              </w:rPr>
              <w:t>10</w:t>
            </w:r>
            <w:r>
              <w:rPr>
                <w:rFonts w:hint="eastAsia"/>
                <w:color w:val="auto"/>
                <w:sz w:val="16"/>
                <w:szCs w:val="16"/>
                <w:highlight w:val="none"/>
              </w:rPr>
              <w:t>月</w:t>
            </w:r>
          </w:p>
        </w:tc>
        <w:tc>
          <w:tcPr>
            <w:tcW w:w="1873" w:type="dxa"/>
            <w:gridSpan w:val="3"/>
            <w:shd w:val="clear" w:color="auto" w:fill="auto"/>
            <w:vAlign w:val="center"/>
          </w:tcPr>
          <w:p w14:paraId="75C6F264">
            <w:pPr>
              <w:adjustRightInd/>
              <w:snapToGrid/>
              <w:spacing w:line="240" w:lineRule="exact"/>
              <w:rPr>
                <w:color w:val="auto"/>
                <w:sz w:val="16"/>
                <w:szCs w:val="16"/>
                <w:highlight w:val="none"/>
              </w:rPr>
            </w:pPr>
            <w:r>
              <w:rPr>
                <w:color w:val="auto"/>
                <w:sz w:val="16"/>
                <w:szCs w:val="16"/>
                <w:highlight w:val="none"/>
              </w:rPr>
              <w:t>排污许可证申领时间</w:t>
            </w:r>
          </w:p>
        </w:tc>
        <w:tc>
          <w:tcPr>
            <w:tcW w:w="2490" w:type="dxa"/>
            <w:gridSpan w:val="6"/>
            <w:shd w:val="clear" w:color="auto" w:fill="auto"/>
            <w:vAlign w:val="center"/>
          </w:tcPr>
          <w:p w14:paraId="3E466C95">
            <w:pPr>
              <w:adjustRightInd/>
              <w:snapToGrid/>
              <w:spacing w:line="240" w:lineRule="exact"/>
              <w:rPr>
                <w:rFonts w:hint="eastAsia" w:ascii="Times New Roman" w:hAnsi="Times New Roman" w:eastAsia="宋体" w:cs="Times New Roman"/>
                <w:color w:val="auto"/>
                <w:sz w:val="16"/>
                <w:szCs w:val="16"/>
                <w:highlight w:val="none"/>
                <w:lang w:eastAsia="zh-CN"/>
              </w:rPr>
            </w:pPr>
            <w:r>
              <w:rPr>
                <w:rFonts w:hint="eastAsia" w:cs="Times New Roman"/>
                <w:color w:val="auto"/>
                <w:sz w:val="16"/>
                <w:szCs w:val="16"/>
                <w:highlight w:val="none"/>
                <w:lang w:eastAsia="zh-CN"/>
              </w:rPr>
              <w:t>首次申请：2023年1月3日</w:t>
            </w:r>
          </w:p>
          <w:p w14:paraId="02F36102">
            <w:pPr>
              <w:adjustRightInd/>
              <w:snapToGrid/>
              <w:spacing w:line="240" w:lineRule="exact"/>
              <w:rPr>
                <w:rFonts w:hint="eastAsia" w:ascii="Times New Roman" w:hAnsi="Times New Roman" w:eastAsia="宋体" w:cs="Times New Roman"/>
                <w:color w:val="auto"/>
                <w:sz w:val="16"/>
                <w:szCs w:val="16"/>
                <w:highlight w:val="none"/>
              </w:rPr>
            </w:pPr>
            <w:r>
              <w:rPr>
                <w:rFonts w:hint="eastAsia" w:cs="Times New Roman"/>
                <w:color w:val="auto"/>
                <w:sz w:val="16"/>
                <w:szCs w:val="16"/>
                <w:highlight w:val="none"/>
                <w:lang w:eastAsia="zh-CN"/>
              </w:rPr>
              <w:t>重新申请：2024年7月23日</w:t>
            </w:r>
          </w:p>
        </w:tc>
      </w:tr>
      <w:tr w14:paraId="54E74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21DD2F0D">
            <w:pPr>
              <w:adjustRightInd/>
              <w:snapToGrid/>
              <w:spacing w:line="240" w:lineRule="exact"/>
              <w:rPr>
                <w:color w:val="auto"/>
                <w:sz w:val="16"/>
                <w:szCs w:val="16"/>
                <w:highlight w:val="none"/>
              </w:rPr>
            </w:pPr>
          </w:p>
        </w:tc>
        <w:tc>
          <w:tcPr>
            <w:tcW w:w="1979" w:type="dxa"/>
            <w:gridSpan w:val="2"/>
            <w:shd w:val="clear" w:color="auto" w:fill="auto"/>
            <w:vAlign w:val="center"/>
          </w:tcPr>
          <w:p w14:paraId="6CBDB062">
            <w:pPr>
              <w:adjustRightInd/>
              <w:snapToGrid/>
              <w:spacing w:line="240" w:lineRule="exact"/>
              <w:rPr>
                <w:color w:val="auto"/>
                <w:sz w:val="16"/>
                <w:szCs w:val="16"/>
                <w:highlight w:val="none"/>
              </w:rPr>
            </w:pPr>
            <w:r>
              <w:rPr>
                <w:color w:val="auto"/>
                <w:sz w:val="16"/>
                <w:szCs w:val="16"/>
                <w:highlight w:val="none"/>
              </w:rPr>
              <w:t>环保设施设计单位</w:t>
            </w:r>
          </w:p>
        </w:tc>
        <w:tc>
          <w:tcPr>
            <w:tcW w:w="2838" w:type="dxa"/>
            <w:gridSpan w:val="6"/>
            <w:shd w:val="clear" w:color="auto" w:fill="auto"/>
            <w:vAlign w:val="center"/>
          </w:tcPr>
          <w:p w14:paraId="655EDC21">
            <w:pPr>
              <w:adjustRightInd/>
              <w:snapToGrid/>
              <w:spacing w:line="240" w:lineRule="exact"/>
              <w:rPr>
                <w:color w:val="auto"/>
                <w:sz w:val="16"/>
                <w:szCs w:val="16"/>
                <w:highlight w:val="none"/>
              </w:rPr>
            </w:pPr>
            <w:r>
              <w:rPr>
                <w:rFonts w:hint="eastAsia"/>
                <w:color w:val="auto"/>
                <w:sz w:val="16"/>
                <w:szCs w:val="16"/>
                <w:highlight w:val="none"/>
              </w:rPr>
              <w:t>中国市政工程中南设计研究总院有限公司</w:t>
            </w:r>
          </w:p>
        </w:tc>
        <w:tc>
          <w:tcPr>
            <w:tcW w:w="1843" w:type="dxa"/>
            <w:gridSpan w:val="3"/>
            <w:shd w:val="clear" w:color="auto" w:fill="auto"/>
            <w:vAlign w:val="center"/>
          </w:tcPr>
          <w:p w14:paraId="684A283D">
            <w:pPr>
              <w:adjustRightInd/>
              <w:snapToGrid/>
              <w:spacing w:line="240" w:lineRule="exact"/>
              <w:rPr>
                <w:color w:val="auto"/>
                <w:sz w:val="16"/>
                <w:szCs w:val="16"/>
                <w:highlight w:val="none"/>
              </w:rPr>
            </w:pPr>
            <w:r>
              <w:rPr>
                <w:color w:val="auto"/>
                <w:sz w:val="16"/>
                <w:szCs w:val="16"/>
                <w:highlight w:val="none"/>
              </w:rPr>
              <w:t>环保设施施工单位</w:t>
            </w:r>
          </w:p>
        </w:tc>
        <w:tc>
          <w:tcPr>
            <w:tcW w:w="2663" w:type="dxa"/>
            <w:gridSpan w:val="4"/>
            <w:shd w:val="clear" w:color="auto" w:fill="auto"/>
            <w:vAlign w:val="center"/>
          </w:tcPr>
          <w:p w14:paraId="7D75A62D">
            <w:pPr>
              <w:adjustRightInd/>
              <w:snapToGrid/>
              <w:spacing w:line="240" w:lineRule="exact"/>
              <w:rPr>
                <w:color w:val="auto"/>
                <w:sz w:val="16"/>
                <w:szCs w:val="16"/>
                <w:highlight w:val="none"/>
              </w:rPr>
            </w:pPr>
            <w:r>
              <w:rPr>
                <w:rFonts w:hint="eastAsia"/>
                <w:color w:val="auto"/>
                <w:sz w:val="16"/>
                <w:szCs w:val="16"/>
                <w:highlight w:val="none"/>
              </w:rPr>
              <w:t>广州市深发机电实业发展有限公司</w:t>
            </w:r>
          </w:p>
        </w:tc>
        <w:tc>
          <w:tcPr>
            <w:tcW w:w="1873" w:type="dxa"/>
            <w:gridSpan w:val="3"/>
            <w:shd w:val="clear" w:color="auto" w:fill="auto"/>
            <w:vAlign w:val="center"/>
          </w:tcPr>
          <w:p w14:paraId="4D8CD575">
            <w:pPr>
              <w:adjustRightInd/>
              <w:snapToGrid/>
              <w:spacing w:line="240" w:lineRule="exact"/>
              <w:rPr>
                <w:color w:val="auto"/>
                <w:sz w:val="16"/>
                <w:szCs w:val="16"/>
                <w:highlight w:val="none"/>
              </w:rPr>
            </w:pPr>
            <w:r>
              <w:rPr>
                <w:color w:val="auto"/>
                <w:sz w:val="16"/>
                <w:szCs w:val="16"/>
                <w:highlight w:val="none"/>
              </w:rPr>
              <w:t>本工程排污许可证编号</w:t>
            </w:r>
          </w:p>
        </w:tc>
        <w:tc>
          <w:tcPr>
            <w:tcW w:w="2490" w:type="dxa"/>
            <w:gridSpan w:val="6"/>
            <w:shd w:val="clear" w:color="auto" w:fill="auto"/>
            <w:vAlign w:val="center"/>
          </w:tcPr>
          <w:p w14:paraId="109D85AA">
            <w:pPr>
              <w:adjustRightInd/>
              <w:snapToGrid/>
              <w:spacing w:line="240" w:lineRule="exact"/>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91420102MA4KRTG00X001U</w:t>
            </w:r>
          </w:p>
        </w:tc>
      </w:tr>
      <w:tr w14:paraId="75C48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52964CF6">
            <w:pPr>
              <w:adjustRightInd/>
              <w:snapToGrid/>
              <w:spacing w:line="240" w:lineRule="exact"/>
              <w:rPr>
                <w:color w:val="auto"/>
                <w:sz w:val="16"/>
                <w:szCs w:val="16"/>
                <w:highlight w:val="none"/>
              </w:rPr>
            </w:pPr>
          </w:p>
        </w:tc>
        <w:tc>
          <w:tcPr>
            <w:tcW w:w="1979" w:type="dxa"/>
            <w:gridSpan w:val="2"/>
            <w:shd w:val="clear" w:color="auto" w:fill="auto"/>
            <w:vAlign w:val="center"/>
          </w:tcPr>
          <w:p w14:paraId="2BFCC46D">
            <w:pPr>
              <w:adjustRightInd/>
              <w:snapToGrid/>
              <w:spacing w:line="240" w:lineRule="exact"/>
              <w:rPr>
                <w:color w:val="auto"/>
                <w:sz w:val="16"/>
                <w:szCs w:val="16"/>
                <w:highlight w:val="none"/>
              </w:rPr>
            </w:pPr>
            <w:r>
              <w:rPr>
                <w:color w:val="auto"/>
                <w:sz w:val="16"/>
                <w:szCs w:val="16"/>
                <w:highlight w:val="none"/>
              </w:rPr>
              <w:t>验收单位</w:t>
            </w:r>
          </w:p>
        </w:tc>
        <w:tc>
          <w:tcPr>
            <w:tcW w:w="2838" w:type="dxa"/>
            <w:gridSpan w:val="6"/>
            <w:shd w:val="clear" w:color="auto" w:fill="auto"/>
            <w:vAlign w:val="center"/>
          </w:tcPr>
          <w:p w14:paraId="5F0FA40A">
            <w:pPr>
              <w:adjustRightInd/>
              <w:snapToGrid/>
              <w:spacing w:line="240" w:lineRule="exact"/>
              <w:rPr>
                <w:color w:val="auto"/>
                <w:sz w:val="16"/>
                <w:szCs w:val="16"/>
                <w:highlight w:val="none"/>
              </w:rPr>
            </w:pPr>
            <w:r>
              <w:rPr>
                <w:rFonts w:hint="eastAsia"/>
                <w:color w:val="auto"/>
                <w:sz w:val="16"/>
                <w:szCs w:val="16"/>
                <w:highlight w:val="none"/>
              </w:rPr>
              <w:t>武汉智汇元环保科技有限公司</w:t>
            </w:r>
          </w:p>
        </w:tc>
        <w:tc>
          <w:tcPr>
            <w:tcW w:w="1843" w:type="dxa"/>
            <w:gridSpan w:val="3"/>
            <w:shd w:val="clear" w:color="auto" w:fill="auto"/>
            <w:vAlign w:val="center"/>
          </w:tcPr>
          <w:p w14:paraId="710E48FA">
            <w:pPr>
              <w:adjustRightInd/>
              <w:snapToGrid/>
              <w:spacing w:line="240" w:lineRule="exact"/>
              <w:rPr>
                <w:color w:val="auto"/>
                <w:sz w:val="16"/>
                <w:szCs w:val="16"/>
                <w:highlight w:val="none"/>
              </w:rPr>
            </w:pPr>
            <w:r>
              <w:rPr>
                <w:color w:val="auto"/>
                <w:sz w:val="16"/>
                <w:szCs w:val="16"/>
                <w:highlight w:val="none"/>
              </w:rPr>
              <w:t>环保设施监测单位</w:t>
            </w:r>
          </w:p>
        </w:tc>
        <w:tc>
          <w:tcPr>
            <w:tcW w:w="2663" w:type="dxa"/>
            <w:gridSpan w:val="4"/>
            <w:shd w:val="clear" w:color="auto" w:fill="auto"/>
            <w:vAlign w:val="center"/>
          </w:tcPr>
          <w:p w14:paraId="6E51F1AE">
            <w:pPr>
              <w:adjustRightInd/>
              <w:snapToGrid/>
              <w:spacing w:line="240" w:lineRule="exact"/>
              <w:rPr>
                <w:color w:val="auto"/>
                <w:sz w:val="16"/>
                <w:szCs w:val="16"/>
                <w:highlight w:val="none"/>
              </w:rPr>
            </w:pPr>
            <w:r>
              <w:rPr>
                <w:rFonts w:hint="eastAsia"/>
                <w:color w:val="auto"/>
                <w:sz w:val="16"/>
                <w:szCs w:val="16"/>
                <w:highlight w:val="none"/>
              </w:rPr>
              <w:t>湖北跃华检测有限公司</w:t>
            </w:r>
          </w:p>
        </w:tc>
        <w:tc>
          <w:tcPr>
            <w:tcW w:w="1873" w:type="dxa"/>
            <w:gridSpan w:val="3"/>
            <w:shd w:val="clear" w:color="auto" w:fill="auto"/>
            <w:vAlign w:val="center"/>
          </w:tcPr>
          <w:p w14:paraId="356378C2">
            <w:pPr>
              <w:adjustRightInd/>
              <w:snapToGrid/>
              <w:spacing w:line="240" w:lineRule="exact"/>
              <w:rPr>
                <w:color w:val="auto"/>
                <w:sz w:val="16"/>
                <w:szCs w:val="16"/>
                <w:highlight w:val="none"/>
              </w:rPr>
            </w:pPr>
            <w:r>
              <w:rPr>
                <w:color w:val="auto"/>
                <w:sz w:val="16"/>
                <w:szCs w:val="16"/>
                <w:highlight w:val="none"/>
              </w:rPr>
              <w:t>验收监测时工况</w:t>
            </w:r>
          </w:p>
        </w:tc>
        <w:tc>
          <w:tcPr>
            <w:tcW w:w="2490" w:type="dxa"/>
            <w:gridSpan w:val="6"/>
            <w:shd w:val="clear" w:color="auto" w:fill="auto"/>
            <w:vAlign w:val="center"/>
          </w:tcPr>
          <w:p w14:paraId="429258E7">
            <w:pPr>
              <w:adjustRightInd/>
              <w:snapToGrid/>
              <w:spacing w:line="240" w:lineRule="exact"/>
              <w:rPr>
                <w:color w:val="auto"/>
                <w:sz w:val="16"/>
                <w:szCs w:val="16"/>
                <w:highlight w:val="none"/>
              </w:rPr>
            </w:pPr>
            <w:r>
              <w:rPr>
                <w:rFonts w:hint="eastAsia"/>
                <w:color w:val="auto"/>
                <w:sz w:val="16"/>
                <w:szCs w:val="16"/>
                <w:highlight w:val="none"/>
                <w:lang w:val="en-US" w:eastAsia="zh-CN"/>
              </w:rPr>
              <w:t>89.0</w:t>
            </w:r>
            <w:r>
              <w:rPr>
                <w:rFonts w:hint="eastAsia"/>
                <w:color w:val="auto"/>
                <w:sz w:val="16"/>
                <w:szCs w:val="16"/>
                <w:highlight w:val="none"/>
              </w:rPr>
              <w:t>%~</w:t>
            </w:r>
            <w:r>
              <w:rPr>
                <w:rFonts w:hint="eastAsia"/>
                <w:color w:val="auto"/>
                <w:sz w:val="16"/>
                <w:szCs w:val="16"/>
                <w:highlight w:val="none"/>
                <w:lang w:val="en-US" w:eastAsia="zh-CN"/>
              </w:rPr>
              <w:t>91.0</w:t>
            </w:r>
            <w:r>
              <w:rPr>
                <w:rFonts w:hint="eastAsia"/>
                <w:color w:val="auto"/>
                <w:sz w:val="16"/>
                <w:szCs w:val="16"/>
                <w:highlight w:val="none"/>
              </w:rPr>
              <w:t>%</w:t>
            </w:r>
          </w:p>
        </w:tc>
      </w:tr>
      <w:tr w14:paraId="6F85E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2915DD09">
            <w:pPr>
              <w:adjustRightInd/>
              <w:snapToGrid/>
              <w:spacing w:line="240" w:lineRule="exact"/>
              <w:rPr>
                <w:color w:val="auto"/>
                <w:sz w:val="16"/>
                <w:szCs w:val="16"/>
                <w:highlight w:val="none"/>
              </w:rPr>
            </w:pPr>
          </w:p>
        </w:tc>
        <w:tc>
          <w:tcPr>
            <w:tcW w:w="1979" w:type="dxa"/>
            <w:gridSpan w:val="2"/>
            <w:shd w:val="clear" w:color="auto" w:fill="auto"/>
            <w:vAlign w:val="center"/>
          </w:tcPr>
          <w:p w14:paraId="2EA361A9">
            <w:pPr>
              <w:adjustRightInd/>
              <w:snapToGrid/>
              <w:spacing w:line="240" w:lineRule="exact"/>
              <w:rPr>
                <w:color w:val="auto"/>
                <w:sz w:val="16"/>
                <w:szCs w:val="16"/>
                <w:highlight w:val="none"/>
              </w:rPr>
            </w:pPr>
            <w:r>
              <w:rPr>
                <w:color w:val="auto"/>
                <w:sz w:val="16"/>
                <w:szCs w:val="16"/>
                <w:highlight w:val="none"/>
              </w:rPr>
              <w:t>投资总概算（万元）</w:t>
            </w:r>
          </w:p>
        </w:tc>
        <w:tc>
          <w:tcPr>
            <w:tcW w:w="2838" w:type="dxa"/>
            <w:gridSpan w:val="6"/>
            <w:shd w:val="clear" w:color="auto" w:fill="auto"/>
            <w:vAlign w:val="center"/>
          </w:tcPr>
          <w:p w14:paraId="34126CBF">
            <w:pPr>
              <w:adjustRightInd/>
              <w:snapToGrid/>
              <w:spacing w:line="240" w:lineRule="exact"/>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6042.16</w:t>
            </w:r>
          </w:p>
        </w:tc>
        <w:tc>
          <w:tcPr>
            <w:tcW w:w="1843" w:type="dxa"/>
            <w:gridSpan w:val="3"/>
            <w:shd w:val="clear" w:color="auto" w:fill="auto"/>
            <w:vAlign w:val="center"/>
          </w:tcPr>
          <w:p w14:paraId="210DB199">
            <w:pPr>
              <w:adjustRightInd/>
              <w:snapToGrid/>
              <w:spacing w:line="240" w:lineRule="exact"/>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环保投资总概算（万元）</w:t>
            </w:r>
          </w:p>
        </w:tc>
        <w:tc>
          <w:tcPr>
            <w:tcW w:w="2663" w:type="dxa"/>
            <w:gridSpan w:val="4"/>
            <w:shd w:val="clear" w:color="auto" w:fill="auto"/>
            <w:vAlign w:val="center"/>
          </w:tcPr>
          <w:p w14:paraId="41479132">
            <w:pPr>
              <w:adjustRightInd/>
              <w:snapToGrid/>
              <w:spacing w:line="240" w:lineRule="exact"/>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135</w:t>
            </w:r>
          </w:p>
        </w:tc>
        <w:tc>
          <w:tcPr>
            <w:tcW w:w="1873" w:type="dxa"/>
            <w:gridSpan w:val="3"/>
            <w:shd w:val="clear" w:color="auto" w:fill="auto"/>
            <w:vAlign w:val="center"/>
          </w:tcPr>
          <w:p w14:paraId="165BAEB1">
            <w:pPr>
              <w:adjustRightInd/>
              <w:snapToGrid/>
              <w:spacing w:line="240" w:lineRule="exact"/>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所占比例（%）</w:t>
            </w:r>
          </w:p>
        </w:tc>
        <w:tc>
          <w:tcPr>
            <w:tcW w:w="2490" w:type="dxa"/>
            <w:gridSpan w:val="6"/>
            <w:shd w:val="clear" w:color="auto" w:fill="auto"/>
            <w:vAlign w:val="center"/>
          </w:tcPr>
          <w:p w14:paraId="563ACE08">
            <w:pPr>
              <w:adjustRightInd/>
              <w:snapToGrid/>
              <w:spacing w:line="240" w:lineRule="exact"/>
              <w:rPr>
                <w:rFonts w:hint="default" w:ascii="Times New Roman" w:hAnsi="Times New Roman" w:eastAsia="宋体" w:cs="Times New Roman"/>
                <w:color w:val="auto"/>
                <w:sz w:val="16"/>
                <w:szCs w:val="16"/>
                <w:highlight w:val="none"/>
                <w:lang w:val="en-US"/>
              </w:rPr>
            </w:pPr>
            <w:r>
              <w:rPr>
                <w:rFonts w:hint="eastAsia" w:cs="Times New Roman"/>
                <w:color w:val="auto"/>
                <w:sz w:val="16"/>
                <w:szCs w:val="16"/>
                <w:highlight w:val="none"/>
                <w:lang w:val="en-US" w:eastAsia="zh-CN"/>
              </w:rPr>
              <w:t>2.23</w:t>
            </w:r>
          </w:p>
        </w:tc>
      </w:tr>
      <w:tr w14:paraId="31460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4039DF45">
            <w:pPr>
              <w:adjustRightInd/>
              <w:snapToGrid/>
              <w:spacing w:line="240" w:lineRule="exact"/>
              <w:rPr>
                <w:color w:val="auto"/>
                <w:sz w:val="16"/>
                <w:szCs w:val="16"/>
                <w:highlight w:val="none"/>
              </w:rPr>
            </w:pPr>
          </w:p>
        </w:tc>
        <w:tc>
          <w:tcPr>
            <w:tcW w:w="1979" w:type="dxa"/>
            <w:gridSpan w:val="2"/>
            <w:shd w:val="clear" w:color="auto" w:fill="auto"/>
            <w:vAlign w:val="center"/>
          </w:tcPr>
          <w:p w14:paraId="0EBA7327">
            <w:pPr>
              <w:adjustRightInd/>
              <w:snapToGrid/>
              <w:spacing w:line="240" w:lineRule="exact"/>
              <w:rPr>
                <w:color w:val="auto"/>
                <w:sz w:val="16"/>
                <w:szCs w:val="16"/>
                <w:highlight w:val="none"/>
              </w:rPr>
            </w:pPr>
            <w:r>
              <w:rPr>
                <w:color w:val="auto"/>
                <w:sz w:val="16"/>
                <w:szCs w:val="16"/>
                <w:highlight w:val="none"/>
              </w:rPr>
              <w:t>实际总投资（万元）</w:t>
            </w:r>
          </w:p>
        </w:tc>
        <w:tc>
          <w:tcPr>
            <w:tcW w:w="2838" w:type="dxa"/>
            <w:gridSpan w:val="6"/>
            <w:shd w:val="clear" w:color="auto" w:fill="auto"/>
            <w:vAlign w:val="center"/>
          </w:tcPr>
          <w:p w14:paraId="6EEA5C91">
            <w:pPr>
              <w:adjustRightInd/>
              <w:snapToGrid/>
              <w:spacing w:line="240" w:lineRule="exact"/>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6000</w:t>
            </w:r>
          </w:p>
        </w:tc>
        <w:tc>
          <w:tcPr>
            <w:tcW w:w="1843" w:type="dxa"/>
            <w:gridSpan w:val="3"/>
            <w:shd w:val="clear" w:color="auto" w:fill="auto"/>
            <w:vAlign w:val="center"/>
          </w:tcPr>
          <w:p w14:paraId="19C72256">
            <w:pPr>
              <w:adjustRightInd/>
              <w:snapToGrid/>
              <w:spacing w:line="240" w:lineRule="exact"/>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实际环保总投资（万元）</w:t>
            </w:r>
          </w:p>
        </w:tc>
        <w:tc>
          <w:tcPr>
            <w:tcW w:w="2663" w:type="dxa"/>
            <w:gridSpan w:val="4"/>
            <w:shd w:val="clear" w:color="auto" w:fill="auto"/>
            <w:vAlign w:val="center"/>
          </w:tcPr>
          <w:p w14:paraId="5CD6BE37">
            <w:pPr>
              <w:adjustRightInd/>
              <w:snapToGrid/>
              <w:spacing w:line="240" w:lineRule="exact"/>
              <w:rPr>
                <w:rFonts w:hint="default"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1</w:t>
            </w:r>
            <w:r>
              <w:rPr>
                <w:rFonts w:hint="eastAsia" w:cs="Times New Roman"/>
                <w:color w:val="auto"/>
                <w:sz w:val="16"/>
                <w:szCs w:val="16"/>
                <w:highlight w:val="none"/>
                <w:lang w:val="en-US" w:eastAsia="zh-CN"/>
              </w:rPr>
              <w:t>32</w:t>
            </w:r>
          </w:p>
        </w:tc>
        <w:tc>
          <w:tcPr>
            <w:tcW w:w="1873" w:type="dxa"/>
            <w:gridSpan w:val="3"/>
            <w:shd w:val="clear" w:color="auto" w:fill="auto"/>
            <w:vAlign w:val="center"/>
          </w:tcPr>
          <w:p w14:paraId="17A31A42">
            <w:pPr>
              <w:adjustRightInd/>
              <w:snapToGrid/>
              <w:spacing w:line="240" w:lineRule="exact"/>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所占比例（%）</w:t>
            </w:r>
          </w:p>
        </w:tc>
        <w:tc>
          <w:tcPr>
            <w:tcW w:w="2490" w:type="dxa"/>
            <w:gridSpan w:val="6"/>
            <w:shd w:val="clear" w:color="auto" w:fill="auto"/>
            <w:vAlign w:val="center"/>
          </w:tcPr>
          <w:p w14:paraId="169A6CF2">
            <w:pPr>
              <w:adjustRightInd/>
              <w:snapToGrid/>
              <w:spacing w:line="240" w:lineRule="exact"/>
              <w:rPr>
                <w:rFonts w:hint="default" w:ascii="Times New Roman" w:hAnsi="Times New Roman" w:eastAsia="宋体" w:cs="Times New Roman"/>
                <w:color w:val="auto"/>
                <w:sz w:val="16"/>
                <w:szCs w:val="16"/>
                <w:highlight w:val="none"/>
                <w:lang w:val="en-US"/>
              </w:rPr>
            </w:pPr>
            <w:r>
              <w:rPr>
                <w:rFonts w:hint="eastAsia" w:ascii="Times New Roman" w:hAnsi="Times New Roman" w:eastAsia="宋体" w:cs="Times New Roman"/>
                <w:color w:val="auto"/>
                <w:sz w:val="16"/>
                <w:szCs w:val="16"/>
                <w:highlight w:val="none"/>
                <w:lang w:val="en-US" w:eastAsia="zh-CN"/>
              </w:rPr>
              <w:t>2.2</w:t>
            </w:r>
            <w:r>
              <w:rPr>
                <w:rFonts w:hint="eastAsia" w:cs="Times New Roman"/>
                <w:color w:val="auto"/>
                <w:sz w:val="16"/>
                <w:szCs w:val="16"/>
                <w:highlight w:val="none"/>
                <w:lang w:val="en-US" w:eastAsia="zh-CN"/>
              </w:rPr>
              <w:t>0</w:t>
            </w:r>
          </w:p>
        </w:tc>
      </w:tr>
      <w:tr w14:paraId="3D8E7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60CDF611">
            <w:pPr>
              <w:adjustRightInd/>
              <w:snapToGrid/>
              <w:spacing w:line="240" w:lineRule="exact"/>
              <w:rPr>
                <w:color w:val="auto"/>
                <w:sz w:val="16"/>
                <w:szCs w:val="16"/>
                <w:highlight w:val="none"/>
              </w:rPr>
            </w:pPr>
          </w:p>
        </w:tc>
        <w:tc>
          <w:tcPr>
            <w:tcW w:w="1979" w:type="dxa"/>
            <w:gridSpan w:val="2"/>
            <w:shd w:val="clear" w:color="auto" w:fill="auto"/>
            <w:vAlign w:val="center"/>
          </w:tcPr>
          <w:p w14:paraId="4359F16B">
            <w:pPr>
              <w:adjustRightInd/>
              <w:snapToGrid/>
              <w:spacing w:line="240" w:lineRule="exact"/>
              <w:rPr>
                <w:color w:val="auto"/>
                <w:sz w:val="16"/>
                <w:szCs w:val="16"/>
                <w:highlight w:val="none"/>
              </w:rPr>
            </w:pPr>
            <w:r>
              <w:rPr>
                <w:color w:val="auto"/>
                <w:sz w:val="16"/>
                <w:szCs w:val="16"/>
                <w:highlight w:val="none"/>
              </w:rPr>
              <w:t>废水治理（万元）</w:t>
            </w:r>
          </w:p>
        </w:tc>
        <w:tc>
          <w:tcPr>
            <w:tcW w:w="794" w:type="dxa"/>
            <w:gridSpan w:val="2"/>
            <w:shd w:val="clear" w:color="auto" w:fill="auto"/>
            <w:vAlign w:val="center"/>
          </w:tcPr>
          <w:p w14:paraId="746A2351">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2</w:t>
            </w:r>
          </w:p>
        </w:tc>
        <w:tc>
          <w:tcPr>
            <w:tcW w:w="1391" w:type="dxa"/>
            <w:gridSpan w:val="2"/>
            <w:shd w:val="clear" w:color="auto" w:fill="auto"/>
            <w:vAlign w:val="center"/>
          </w:tcPr>
          <w:p w14:paraId="2D2DCEDD">
            <w:pPr>
              <w:adjustRightInd/>
              <w:snapToGrid/>
              <w:spacing w:line="240" w:lineRule="exact"/>
              <w:rPr>
                <w:color w:val="auto"/>
                <w:sz w:val="16"/>
                <w:szCs w:val="16"/>
                <w:highlight w:val="none"/>
              </w:rPr>
            </w:pPr>
            <w:r>
              <w:rPr>
                <w:color w:val="auto"/>
                <w:sz w:val="16"/>
                <w:szCs w:val="16"/>
                <w:highlight w:val="none"/>
              </w:rPr>
              <w:t>废气治理（万元）</w:t>
            </w:r>
          </w:p>
        </w:tc>
        <w:tc>
          <w:tcPr>
            <w:tcW w:w="653" w:type="dxa"/>
            <w:gridSpan w:val="2"/>
            <w:shd w:val="clear" w:color="auto" w:fill="auto"/>
            <w:vAlign w:val="center"/>
          </w:tcPr>
          <w:p w14:paraId="7291DAC7">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100</w:t>
            </w:r>
          </w:p>
        </w:tc>
        <w:tc>
          <w:tcPr>
            <w:tcW w:w="1427" w:type="dxa"/>
            <w:gridSpan w:val="2"/>
            <w:shd w:val="clear" w:color="auto" w:fill="auto"/>
            <w:vAlign w:val="center"/>
          </w:tcPr>
          <w:p w14:paraId="2661E14D">
            <w:pPr>
              <w:adjustRightInd/>
              <w:snapToGrid/>
              <w:spacing w:line="240" w:lineRule="exact"/>
              <w:rPr>
                <w:color w:val="auto"/>
                <w:sz w:val="16"/>
                <w:szCs w:val="16"/>
                <w:highlight w:val="none"/>
              </w:rPr>
            </w:pPr>
            <w:r>
              <w:rPr>
                <w:color w:val="auto"/>
                <w:sz w:val="16"/>
                <w:szCs w:val="16"/>
                <w:highlight w:val="none"/>
              </w:rPr>
              <w:t>噪声治理（万元）</w:t>
            </w:r>
          </w:p>
        </w:tc>
        <w:tc>
          <w:tcPr>
            <w:tcW w:w="416" w:type="dxa"/>
            <w:shd w:val="clear" w:color="auto" w:fill="auto"/>
            <w:vAlign w:val="center"/>
          </w:tcPr>
          <w:p w14:paraId="6D97F7D7">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12</w:t>
            </w:r>
          </w:p>
        </w:tc>
        <w:tc>
          <w:tcPr>
            <w:tcW w:w="2032" w:type="dxa"/>
            <w:gridSpan w:val="3"/>
            <w:shd w:val="clear" w:color="auto" w:fill="auto"/>
            <w:vAlign w:val="center"/>
          </w:tcPr>
          <w:p w14:paraId="3AE706F5">
            <w:pPr>
              <w:adjustRightInd/>
              <w:snapToGrid/>
              <w:spacing w:line="240" w:lineRule="exact"/>
              <w:rPr>
                <w:color w:val="auto"/>
                <w:sz w:val="16"/>
                <w:szCs w:val="16"/>
                <w:highlight w:val="none"/>
              </w:rPr>
            </w:pPr>
            <w:r>
              <w:rPr>
                <w:color w:val="auto"/>
                <w:sz w:val="16"/>
                <w:szCs w:val="16"/>
                <w:highlight w:val="none"/>
              </w:rPr>
              <w:t>固体废物治理（万元）</w:t>
            </w:r>
          </w:p>
        </w:tc>
        <w:tc>
          <w:tcPr>
            <w:tcW w:w="631" w:type="dxa"/>
            <w:shd w:val="clear" w:color="auto" w:fill="auto"/>
            <w:vAlign w:val="center"/>
          </w:tcPr>
          <w:p w14:paraId="12AC3DB1">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6</w:t>
            </w:r>
          </w:p>
        </w:tc>
        <w:tc>
          <w:tcPr>
            <w:tcW w:w="1873" w:type="dxa"/>
            <w:gridSpan w:val="3"/>
            <w:shd w:val="clear" w:color="auto" w:fill="auto"/>
            <w:vAlign w:val="center"/>
          </w:tcPr>
          <w:p w14:paraId="5DCB1BD5">
            <w:pPr>
              <w:adjustRightInd/>
              <w:snapToGrid/>
              <w:spacing w:line="240" w:lineRule="exact"/>
              <w:rPr>
                <w:color w:val="auto"/>
                <w:sz w:val="16"/>
                <w:szCs w:val="16"/>
                <w:highlight w:val="none"/>
              </w:rPr>
            </w:pPr>
            <w:r>
              <w:rPr>
                <w:color w:val="auto"/>
                <w:sz w:val="16"/>
                <w:szCs w:val="16"/>
                <w:highlight w:val="none"/>
              </w:rPr>
              <w:t>绿化及生态（万元）</w:t>
            </w:r>
          </w:p>
        </w:tc>
        <w:tc>
          <w:tcPr>
            <w:tcW w:w="709" w:type="dxa"/>
            <w:gridSpan w:val="3"/>
            <w:shd w:val="clear" w:color="auto" w:fill="auto"/>
            <w:vAlign w:val="center"/>
          </w:tcPr>
          <w:p w14:paraId="5C868F92">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w:t>
            </w:r>
          </w:p>
        </w:tc>
        <w:tc>
          <w:tcPr>
            <w:tcW w:w="1134" w:type="dxa"/>
            <w:gridSpan w:val="2"/>
            <w:shd w:val="clear" w:color="auto" w:fill="auto"/>
            <w:vAlign w:val="center"/>
          </w:tcPr>
          <w:p w14:paraId="5EC78F9B">
            <w:pPr>
              <w:adjustRightInd/>
              <w:snapToGrid/>
              <w:spacing w:line="240" w:lineRule="exact"/>
              <w:rPr>
                <w:color w:val="auto"/>
                <w:sz w:val="16"/>
                <w:szCs w:val="16"/>
                <w:highlight w:val="none"/>
              </w:rPr>
            </w:pPr>
            <w:r>
              <w:rPr>
                <w:color w:val="auto"/>
                <w:sz w:val="16"/>
                <w:szCs w:val="16"/>
                <w:highlight w:val="none"/>
              </w:rPr>
              <w:t>其他（万元）</w:t>
            </w:r>
          </w:p>
        </w:tc>
        <w:tc>
          <w:tcPr>
            <w:tcW w:w="647" w:type="dxa"/>
            <w:shd w:val="clear" w:color="auto" w:fill="auto"/>
            <w:vAlign w:val="center"/>
          </w:tcPr>
          <w:p w14:paraId="58ADDA0E">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12</w:t>
            </w:r>
          </w:p>
        </w:tc>
      </w:tr>
      <w:tr w14:paraId="19EFB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4F01787D">
            <w:pPr>
              <w:adjustRightInd/>
              <w:snapToGrid/>
              <w:spacing w:line="240" w:lineRule="exact"/>
              <w:rPr>
                <w:color w:val="auto"/>
                <w:sz w:val="16"/>
                <w:szCs w:val="16"/>
                <w:highlight w:val="none"/>
              </w:rPr>
            </w:pPr>
          </w:p>
        </w:tc>
        <w:tc>
          <w:tcPr>
            <w:tcW w:w="1979" w:type="dxa"/>
            <w:gridSpan w:val="2"/>
            <w:shd w:val="clear" w:color="auto" w:fill="auto"/>
            <w:vAlign w:val="center"/>
          </w:tcPr>
          <w:p w14:paraId="33DE191B">
            <w:pPr>
              <w:adjustRightInd/>
              <w:snapToGrid/>
              <w:spacing w:line="240" w:lineRule="exact"/>
              <w:rPr>
                <w:color w:val="auto"/>
                <w:sz w:val="16"/>
                <w:szCs w:val="16"/>
                <w:highlight w:val="none"/>
              </w:rPr>
            </w:pPr>
            <w:r>
              <w:rPr>
                <w:color w:val="auto"/>
                <w:sz w:val="16"/>
                <w:szCs w:val="16"/>
                <w:highlight w:val="none"/>
              </w:rPr>
              <w:t>新增废水处理设施能力</w:t>
            </w:r>
          </w:p>
        </w:tc>
        <w:tc>
          <w:tcPr>
            <w:tcW w:w="2838" w:type="dxa"/>
            <w:gridSpan w:val="6"/>
            <w:shd w:val="clear" w:color="auto" w:fill="auto"/>
            <w:vAlign w:val="center"/>
          </w:tcPr>
          <w:p w14:paraId="1CC366C5">
            <w:pPr>
              <w:adjustRightInd/>
              <w:snapToGrid/>
              <w:spacing w:line="240" w:lineRule="exact"/>
              <w:rPr>
                <w:color w:val="auto"/>
                <w:sz w:val="16"/>
                <w:szCs w:val="16"/>
                <w:highlight w:val="none"/>
              </w:rPr>
            </w:pPr>
            <w:r>
              <w:rPr>
                <w:rFonts w:hint="eastAsia"/>
                <w:color w:val="auto"/>
                <w:sz w:val="16"/>
                <w:szCs w:val="16"/>
                <w:highlight w:val="none"/>
                <w:lang w:val="en-US" w:eastAsia="zh-CN"/>
              </w:rPr>
              <w:t>/</w:t>
            </w:r>
            <w:r>
              <w:rPr>
                <w:rFonts w:hint="eastAsia"/>
                <w:color w:val="auto"/>
                <w:sz w:val="16"/>
                <w:szCs w:val="16"/>
                <w:highlight w:val="none"/>
              </w:rPr>
              <w:t>m</w:t>
            </w:r>
            <w:r>
              <w:rPr>
                <w:rFonts w:hint="eastAsia"/>
                <w:color w:val="auto"/>
                <w:sz w:val="16"/>
                <w:szCs w:val="16"/>
                <w:highlight w:val="none"/>
                <w:vertAlign w:val="superscript"/>
              </w:rPr>
              <w:t>3</w:t>
            </w:r>
            <w:r>
              <w:rPr>
                <w:rFonts w:hint="eastAsia"/>
                <w:color w:val="auto"/>
                <w:sz w:val="16"/>
                <w:szCs w:val="16"/>
                <w:highlight w:val="none"/>
              </w:rPr>
              <w:t>/d</w:t>
            </w:r>
          </w:p>
        </w:tc>
        <w:tc>
          <w:tcPr>
            <w:tcW w:w="1843" w:type="dxa"/>
            <w:gridSpan w:val="3"/>
            <w:shd w:val="clear" w:color="auto" w:fill="auto"/>
            <w:vAlign w:val="center"/>
          </w:tcPr>
          <w:p w14:paraId="19127C64">
            <w:pPr>
              <w:adjustRightInd/>
              <w:snapToGrid/>
              <w:spacing w:line="240" w:lineRule="exact"/>
              <w:rPr>
                <w:color w:val="auto"/>
                <w:sz w:val="16"/>
                <w:szCs w:val="16"/>
                <w:highlight w:val="none"/>
              </w:rPr>
            </w:pPr>
            <w:r>
              <w:rPr>
                <w:color w:val="auto"/>
                <w:sz w:val="16"/>
                <w:szCs w:val="16"/>
                <w:highlight w:val="none"/>
              </w:rPr>
              <w:t>新增废气处理设施能力</w:t>
            </w:r>
          </w:p>
        </w:tc>
        <w:tc>
          <w:tcPr>
            <w:tcW w:w="2663" w:type="dxa"/>
            <w:gridSpan w:val="4"/>
            <w:shd w:val="clear" w:color="auto" w:fill="auto"/>
            <w:vAlign w:val="center"/>
          </w:tcPr>
          <w:p w14:paraId="38299B3D">
            <w:pPr>
              <w:adjustRightInd/>
              <w:snapToGrid/>
              <w:spacing w:line="240" w:lineRule="exact"/>
              <w:ind w:firstLine="160" w:firstLineChars="100"/>
              <w:rPr>
                <w:color w:val="auto"/>
                <w:sz w:val="16"/>
                <w:szCs w:val="16"/>
                <w:highlight w:val="none"/>
              </w:rPr>
            </w:pPr>
            <w:r>
              <w:rPr>
                <w:rFonts w:hint="eastAsia"/>
                <w:color w:val="auto"/>
                <w:sz w:val="16"/>
                <w:szCs w:val="16"/>
                <w:highlight w:val="none"/>
                <w:lang w:val="en-US" w:eastAsia="zh-CN"/>
              </w:rPr>
              <w:t>22089.96</w:t>
            </w:r>
            <w:r>
              <w:rPr>
                <w:color w:val="auto"/>
                <w:sz w:val="16"/>
                <w:szCs w:val="16"/>
                <w:highlight w:val="none"/>
              </w:rPr>
              <w:t>Nm</w:t>
            </w:r>
            <w:r>
              <w:rPr>
                <w:color w:val="auto"/>
                <w:sz w:val="16"/>
                <w:szCs w:val="16"/>
                <w:highlight w:val="none"/>
                <w:vertAlign w:val="superscript"/>
              </w:rPr>
              <w:t>3</w:t>
            </w:r>
            <w:r>
              <w:rPr>
                <w:color w:val="auto"/>
                <w:sz w:val="16"/>
                <w:szCs w:val="16"/>
                <w:highlight w:val="none"/>
              </w:rPr>
              <w:t>/h</w:t>
            </w:r>
          </w:p>
        </w:tc>
        <w:tc>
          <w:tcPr>
            <w:tcW w:w="1873" w:type="dxa"/>
            <w:gridSpan w:val="3"/>
            <w:shd w:val="clear" w:color="auto" w:fill="auto"/>
            <w:vAlign w:val="center"/>
          </w:tcPr>
          <w:p w14:paraId="6CC790A5">
            <w:pPr>
              <w:adjustRightInd/>
              <w:snapToGrid/>
              <w:spacing w:line="240" w:lineRule="exact"/>
              <w:rPr>
                <w:color w:val="auto"/>
                <w:sz w:val="16"/>
                <w:szCs w:val="16"/>
                <w:highlight w:val="none"/>
              </w:rPr>
            </w:pPr>
            <w:r>
              <w:rPr>
                <w:color w:val="auto"/>
                <w:sz w:val="16"/>
                <w:szCs w:val="16"/>
                <w:highlight w:val="none"/>
              </w:rPr>
              <w:t>年平均工作时</w:t>
            </w:r>
          </w:p>
        </w:tc>
        <w:tc>
          <w:tcPr>
            <w:tcW w:w="2490" w:type="dxa"/>
            <w:gridSpan w:val="6"/>
            <w:shd w:val="clear" w:color="auto" w:fill="auto"/>
            <w:vAlign w:val="center"/>
          </w:tcPr>
          <w:p w14:paraId="61BBF702">
            <w:pPr>
              <w:adjustRightInd/>
              <w:snapToGrid/>
              <w:spacing w:line="240" w:lineRule="exact"/>
              <w:rPr>
                <w:color w:val="auto"/>
                <w:sz w:val="16"/>
                <w:szCs w:val="16"/>
                <w:highlight w:val="none"/>
              </w:rPr>
            </w:pPr>
            <w:r>
              <w:rPr>
                <w:rFonts w:hint="eastAsia"/>
                <w:color w:val="auto"/>
                <w:sz w:val="16"/>
                <w:szCs w:val="16"/>
                <w:highlight w:val="none"/>
                <w:lang w:val="en-US" w:eastAsia="zh-CN"/>
              </w:rPr>
              <w:t>750</w:t>
            </w:r>
            <w:r>
              <w:rPr>
                <w:rFonts w:hint="eastAsia"/>
                <w:color w:val="auto"/>
                <w:sz w:val="16"/>
                <w:szCs w:val="16"/>
                <w:highlight w:val="none"/>
              </w:rPr>
              <w:t>0h/a</w:t>
            </w:r>
          </w:p>
        </w:tc>
      </w:tr>
      <w:tr w14:paraId="1D68B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515" w:type="dxa"/>
            <w:gridSpan w:val="3"/>
            <w:shd w:val="clear" w:color="auto" w:fill="auto"/>
            <w:vAlign w:val="center"/>
          </w:tcPr>
          <w:p w14:paraId="28A79E48">
            <w:pPr>
              <w:adjustRightInd/>
              <w:snapToGrid/>
              <w:spacing w:line="240" w:lineRule="exact"/>
              <w:rPr>
                <w:color w:val="auto"/>
                <w:sz w:val="16"/>
                <w:szCs w:val="16"/>
                <w:highlight w:val="none"/>
              </w:rPr>
            </w:pPr>
            <w:r>
              <w:rPr>
                <w:color w:val="auto"/>
                <w:sz w:val="16"/>
                <w:szCs w:val="16"/>
                <w:highlight w:val="none"/>
              </w:rPr>
              <w:t>运营单位</w:t>
            </w:r>
          </w:p>
        </w:tc>
        <w:tc>
          <w:tcPr>
            <w:tcW w:w="3830" w:type="dxa"/>
            <w:gridSpan w:val="7"/>
            <w:shd w:val="clear" w:color="auto" w:fill="auto"/>
            <w:vAlign w:val="center"/>
          </w:tcPr>
          <w:p w14:paraId="542D8C49">
            <w:pPr>
              <w:adjustRightInd/>
              <w:snapToGrid/>
              <w:spacing w:line="240" w:lineRule="exact"/>
              <w:rPr>
                <w:rFonts w:hint="eastAsia" w:eastAsia="宋体"/>
                <w:color w:val="auto"/>
                <w:sz w:val="16"/>
                <w:szCs w:val="16"/>
                <w:highlight w:val="none"/>
                <w:lang w:eastAsia="zh-CN"/>
              </w:rPr>
            </w:pPr>
            <w:r>
              <w:rPr>
                <w:rFonts w:hint="eastAsia"/>
                <w:color w:val="auto"/>
                <w:sz w:val="16"/>
                <w:szCs w:val="16"/>
                <w:highlight w:val="none"/>
                <w:lang w:eastAsia="zh-CN"/>
              </w:rPr>
              <w:t>武汉环投环境科技有限公司</w:t>
            </w:r>
          </w:p>
        </w:tc>
        <w:tc>
          <w:tcPr>
            <w:tcW w:w="3514" w:type="dxa"/>
            <w:gridSpan w:val="6"/>
            <w:shd w:val="clear" w:color="auto" w:fill="auto"/>
            <w:vAlign w:val="center"/>
          </w:tcPr>
          <w:p w14:paraId="786A660D">
            <w:pPr>
              <w:adjustRightInd/>
              <w:snapToGrid/>
              <w:spacing w:line="240" w:lineRule="exact"/>
              <w:rPr>
                <w:rFonts w:hint="eastAsia"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lang w:val="en-US" w:eastAsia="zh-CN"/>
              </w:rPr>
              <w:t>运营单位社会统一信用代码（或组织机构代码）</w:t>
            </w:r>
          </w:p>
        </w:tc>
        <w:tc>
          <w:tcPr>
            <w:tcW w:w="1995" w:type="dxa"/>
            <w:gridSpan w:val="4"/>
            <w:shd w:val="clear" w:color="auto" w:fill="auto"/>
            <w:vAlign w:val="center"/>
          </w:tcPr>
          <w:p w14:paraId="17D47E4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lang w:val="en-US" w:eastAsia="zh-CN"/>
              </w:rPr>
              <w:t>91420102MA4KRTG00X</w:t>
            </w:r>
          </w:p>
        </w:tc>
        <w:tc>
          <w:tcPr>
            <w:tcW w:w="587" w:type="dxa"/>
            <w:gridSpan w:val="2"/>
            <w:shd w:val="clear" w:color="auto" w:fill="auto"/>
            <w:vAlign w:val="center"/>
          </w:tcPr>
          <w:p w14:paraId="7B631D73">
            <w:pPr>
              <w:adjustRightInd/>
              <w:snapToGrid/>
              <w:spacing w:line="240" w:lineRule="exact"/>
              <w:jc w:val="center"/>
              <w:rPr>
                <w:color w:val="auto"/>
                <w:sz w:val="16"/>
                <w:szCs w:val="16"/>
                <w:highlight w:val="none"/>
              </w:rPr>
            </w:pPr>
            <w:r>
              <w:rPr>
                <w:rFonts w:hint="eastAsia"/>
                <w:color w:val="auto"/>
                <w:sz w:val="16"/>
                <w:szCs w:val="16"/>
                <w:highlight w:val="none"/>
              </w:rPr>
              <w:t>验收时间</w:t>
            </w:r>
          </w:p>
        </w:tc>
        <w:tc>
          <w:tcPr>
            <w:tcW w:w="1781" w:type="dxa"/>
            <w:gridSpan w:val="3"/>
            <w:shd w:val="clear" w:color="auto" w:fill="auto"/>
            <w:vAlign w:val="center"/>
          </w:tcPr>
          <w:p w14:paraId="25051443">
            <w:pPr>
              <w:adjustRightInd/>
              <w:snapToGrid/>
              <w:spacing w:line="240" w:lineRule="exact"/>
              <w:rPr>
                <w:rFonts w:hint="default" w:eastAsia="宋体"/>
                <w:color w:val="auto"/>
                <w:sz w:val="16"/>
                <w:szCs w:val="16"/>
                <w:highlight w:val="none"/>
                <w:lang w:val="en-US" w:eastAsia="zh-CN"/>
              </w:rPr>
            </w:pPr>
            <w:r>
              <w:rPr>
                <w:rFonts w:hint="eastAsia"/>
                <w:color w:val="auto"/>
                <w:sz w:val="16"/>
                <w:szCs w:val="16"/>
                <w:highlight w:val="none"/>
                <w:lang w:val="en-US" w:eastAsia="zh-CN"/>
              </w:rPr>
              <w:t>2</w:t>
            </w:r>
            <w:r>
              <w:rPr>
                <w:rFonts w:hint="eastAsia" w:eastAsia="宋体"/>
                <w:color w:val="auto"/>
                <w:sz w:val="16"/>
                <w:szCs w:val="16"/>
                <w:highlight w:val="none"/>
                <w:lang w:eastAsia="zh-CN"/>
              </w:rPr>
              <w:t>02</w:t>
            </w:r>
            <w:r>
              <w:rPr>
                <w:rFonts w:hint="eastAsia"/>
                <w:color w:val="auto"/>
                <w:sz w:val="16"/>
                <w:szCs w:val="16"/>
                <w:highlight w:val="none"/>
                <w:lang w:val="en-US" w:eastAsia="zh-CN"/>
              </w:rPr>
              <w:t>4</w:t>
            </w:r>
            <w:r>
              <w:rPr>
                <w:rFonts w:hint="eastAsia" w:eastAsia="宋体"/>
                <w:color w:val="auto"/>
                <w:sz w:val="16"/>
                <w:szCs w:val="16"/>
                <w:highlight w:val="none"/>
                <w:lang w:eastAsia="zh-CN"/>
              </w:rPr>
              <w:t>.</w:t>
            </w:r>
            <w:r>
              <w:rPr>
                <w:rFonts w:hint="eastAsia"/>
                <w:color w:val="auto"/>
                <w:sz w:val="16"/>
                <w:szCs w:val="16"/>
                <w:highlight w:val="none"/>
                <w:lang w:val="en-US" w:eastAsia="zh-CN"/>
              </w:rPr>
              <w:t>12</w:t>
            </w:r>
            <w:r>
              <w:rPr>
                <w:rFonts w:hint="eastAsia" w:eastAsia="宋体"/>
                <w:color w:val="auto"/>
                <w:sz w:val="16"/>
                <w:szCs w:val="16"/>
                <w:highlight w:val="none"/>
                <w:lang w:eastAsia="zh-CN"/>
              </w:rPr>
              <w:t>.</w:t>
            </w:r>
            <w:r>
              <w:rPr>
                <w:rFonts w:hint="eastAsia"/>
                <w:color w:val="auto"/>
                <w:sz w:val="16"/>
                <w:szCs w:val="16"/>
                <w:highlight w:val="none"/>
                <w:lang w:val="en-US" w:eastAsia="zh-CN"/>
              </w:rPr>
              <w:t>10</w:t>
            </w:r>
            <w:r>
              <w:rPr>
                <w:rFonts w:hint="eastAsia" w:eastAsia="宋体"/>
                <w:color w:val="auto"/>
                <w:sz w:val="16"/>
                <w:szCs w:val="16"/>
                <w:highlight w:val="none"/>
                <w:lang w:eastAsia="zh-CN"/>
              </w:rPr>
              <w:t>~202</w:t>
            </w:r>
            <w:r>
              <w:rPr>
                <w:rFonts w:hint="eastAsia"/>
                <w:color w:val="auto"/>
                <w:sz w:val="16"/>
                <w:szCs w:val="16"/>
                <w:highlight w:val="none"/>
                <w:lang w:val="en-US" w:eastAsia="zh-CN"/>
              </w:rPr>
              <w:t>4</w:t>
            </w:r>
            <w:r>
              <w:rPr>
                <w:rFonts w:hint="eastAsia" w:eastAsia="宋体"/>
                <w:color w:val="auto"/>
                <w:sz w:val="16"/>
                <w:szCs w:val="16"/>
                <w:highlight w:val="none"/>
                <w:lang w:eastAsia="zh-CN"/>
              </w:rPr>
              <w:t>.</w:t>
            </w:r>
            <w:r>
              <w:rPr>
                <w:rFonts w:hint="eastAsia"/>
                <w:color w:val="auto"/>
                <w:sz w:val="16"/>
                <w:szCs w:val="16"/>
                <w:highlight w:val="none"/>
                <w:lang w:val="en-US" w:eastAsia="zh-CN"/>
              </w:rPr>
              <w:t>12.11</w:t>
            </w:r>
          </w:p>
        </w:tc>
      </w:tr>
      <w:tr w14:paraId="75F37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restart"/>
            <w:shd w:val="clear" w:color="auto" w:fill="auto"/>
            <w:vAlign w:val="center"/>
          </w:tcPr>
          <w:p w14:paraId="51E88A31">
            <w:pPr>
              <w:adjustRightInd/>
              <w:snapToGrid/>
              <w:spacing w:line="240" w:lineRule="exact"/>
              <w:rPr>
                <w:color w:val="auto"/>
                <w:sz w:val="16"/>
                <w:szCs w:val="16"/>
                <w:highlight w:val="none"/>
              </w:rPr>
            </w:pPr>
            <w:r>
              <w:rPr>
                <w:color w:val="auto"/>
                <w:sz w:val="16"/>
                <w:szCs w:val="16"/>
                <w:highlight w:val="none"/>
              </w:rPr>
              <w:t>污染物排放达标与总量控制（工业建设项目</w:t>
            </w:r>
            <w:r>
              <w:rPr>
                <w:rFonts w:hint="eastAsia"/>
                <w:color w:val="auto"/>
                <w:sz w:val="16"/>
                <w:szCs w:val="16"/>
                <w:highlight w:val="none"/>
                <w:lang w:eastAsia="zh-CN"/>
              </w:rPr>
              <w:t>详</w:t>
            </w:r>
            <w:r>
              <w:rPr>
                <w:color w:val="auto"/>
                <w:sz w:val="16"/>
                <w:szCs w:val="16"/>
                <w:highlight w:val="none"/>
              </w:rPr>
              <w:t>填）</w:t>
            </w:r>
          </w:p>
        </w:tc>
        <w:tc>
          <w:tcPr>
            <w:tcW w:w="1979" w:type="dxa"/>
            <w:gridSpan w:val="2"/>
            <w:shd w:val="clear" w:color="auto" w:fill="auto"/>
            <w:vAlign w:val="center"/>
          </w:tcPr>
          <w:p w14:paraId="2813868B">
            <w:pPr>
              <w:adjustRightInd/>
              <w:snapToGrid/>
              <w:spacing w:line="240" w:lineRule="exact"/>
              <w:rPr>
                <w:color w:val="auto"/>
                <w:sz w:val="16"/>
                <w:szCs w:val="16"/>
                <w:highlight w:val="none"/>
              </w:rPr>
            </w:pPr>
            <w:r>
              <w:rPr>
                <w:color w:val="auto"/>
                <w:sz w:val="16"/>
                <w:szCs w:val="16"/>
                <w:highlight w:val="none"/>
              </w:rPr>
              <w:t>污染物</w:t>
            </w:r>
          </w:p>
        </w:tc>
        <w:tc>
          <w:tcPr>
            <w:tcW w:w="727" w:type="dxa"/>
            <w:shd w:val="clear" w:color="auto" w:fill="auto"/>
            <w:vAlign w:val="center"/>
          </w:tcPr>
          <w:p w14:paraId="6815DD9B">
            <w:pPr>
              <w:adjustRightInd/>
              <w:snapToGrid/>
              <w:spacing w:line="240" w:lineRule="exact"/>
              <w:jc w:val="center"/>
              <w:rPr>
                <w:color w:val="auto"/>
                <w:sz w:val="16"/>
                <w:szCs w:val="16"/>
                <w:highlight w:val="none"/>
              </w:rPr>
            </w:pPr>
            <w:r>
              <w:rPr>
                <w:color w:val="auto"/>
                <w:sz w:val="16"/>
                <w:szCs w:val="16"/>
                <w:highlight w:val="none"/>
              </w:rPr>
              <w:t>原有排放量</w:t>
            </w:r>
          </w:p>
          <w:p w14:paraId="58FB67E4">
            <w:pPr>
              <w:adjustRightInd/>
              <w:snapToGrid/>
              <w:spacing w:line="240" w:lineRule="exact"/>
              <w:jc w:val="center"/>
              <w:rPr>
                <w:color w:val="auto"/>
                <w:sz w:val="16"/>
                <w:szCs w:val="16"/>
                <w:highlight w:val="none"/>
              </w:rPr>
            </w:pPr>
            <w:r>
              <w:rPr>
                <w:color w:val="auto"/>
                <w:sz w:val="16"/>
                <w:szCs w:val="16"/>
                <w:highlight w:val="none"/>
              </w:rPr>
              <w:t>（1）</w:t>
            </w:r>
          </w:p>
        </w:tc>
        <w:tc>
          <w:tcPr>
            <w:tcW w:w="997" w:type="dxa"/>
            <w:gridSpan w:val="2"/>
            <w:shd w:val="clear" w:color="auto" w:fill="auto"/>
            <w:vAlign w:val="center"/>
          </w:tcPr>
          <w:p w14:paraId="10637BA9">
            <w:pPr>
              <w:adjustRightInd/>
              <w:snapToGrid/>
              <w:spacing w:line="240" w:lineRule="exact"/>
              <w:jc w:val="center"/>
              <w:rPr>
                <w:color w:val="auto"/>
                <w:sz w:val="16"/>
                <w:szCs w:val="16"/>
                <w:highlight w:val="none"/>
              </w:rPr>
            </w:pPr>
            <w:r>
              <w:rPr>
                <w:color w:val="auto"/>
                <w:sz w:val="16"/>
                <w:szCs w:val="16"/>
                <w:highlight w:val="none"/>
              </w:rPr>
              <w:t>本期工程实际排放浓度（2）</w:t>
            </w:r>
          </w:p>
        </w:tc>
        <w:tc>
          <w:tcPr>
            <w:tcW w:w="997" w:type="dxa"/>
            <w:gridSpan w:val="2"/>
            <w:shd w:val="clear" w:color="auto" w:fill="auto"/>
            <w:vAlign w:val="center"/>
          </w:tcPr>
          <w:p w14:paraId="6E7D2CC8">
            <w:pPr>
              <w:adjustRightInd/>
              <w:snapToGrid/>
              <w:spacing w:line="240" w:lineRule="exact"/>
              <w:jc w:val="center"/>
              <w:rPr>
                <w:color w:val="auto"/>
                <w:sz w:val="16"/>
                <w:szCs w:val="16"/>
                <w:highlight w:val="none"/>
              </w:rPr>
            </w:pPr>
            <w:r>
              <w:rPr>
                <w:color w:val="auto"/>
                <w:sz w:val="16"/>
                <w:szCs w:val="16"/>
                <w:highlight w:val="none"/>
              </w:rPr>
              <w:t>本期工程允许排放浓度（3）</w:t>
            </w:r>
          </w:p>
        </w:tc>
        <w:tc>
          <w:tcPr>
            <w:tcW w:w="1109" w:type="dxa"/>
            <w:gridSpan w:val="2"/>
            <w:shd w:val="clear" w:color="auto" w:fill="auto"/>
            <w:vAlign w:val="center"/>
          </w:tcPr>
          <w:p w14:paraId="3BDF9193">
            <w:pPr>
              <w:adjustRightInd/>
              <w:snapToGrid/>
              <w:spacing w:line="240" w:lineRule="exact"/>
              <w:jc w:val="center"/>
              <w:rPr>
                <w:color w:val="auto"/>
                <w:sz w:val="16"/>
                <w:szCs w:val="16"/>
                <w:highlight w:val="none"/>
              </w:rPr>
            </w:pPr>
            <w:r>
              <w:rPr>
                <w:color w:val="auto"/>
                <w:sz w:val="16"/>
                <w:szCs w:val="16"/>
                <w:highlight w:val="none"/>
              </w:rPr>
              <w:t>本期工程产生量（4）</w:t>
            </w:r>
          </w:p>
        </w:tc>
        <w:tc>
          <w:tcPr>
            <w:tcW w:w="889" w:type="dxa"/>
            <w:gridSpan w:val="3"/>
            <w:shd w:val="clear" w:color="auto" w:fill="auto"/>
            <w:vAlign w:val="center"/>
          </w:tcPr>
          <w:p w14:paraId="1F48D153">
            <w:pPr>
              <w:adjustRightInd/>
              <w:snapToGrid/>
              <w:spacing w:line="240" w:lineRule="exact"/>
              <w:jc w:val="center"/>
              <w:rPr>
                <w:color w:val="auto"/>
                <w:sz w:val="16"/>
                <w:szCs w:val="16"/>
                <w:highlight w:val="none"/>
              </w:rPr>
            </w:pPr>
            <w:r>
              <w:rPr>
                <w:color w:val="auto"/>
                <w:sz w:val="16"/>
                <w:szCs w:val="16"/>
                <w:highlight w:val="none"/>
              </w:rPr>
              <w:t>本期工程自身削减量（5）</w:t>
            </w:r>
          </w:p>
        </w:tc>
        <w:tc>
          <w:tcPr>
            <w:tcW w:w="997" w:type="dxa"/>
            <w:shd w:val="clear" w:color="auto" w:fill="auto"/>
            <w:vAlign w:val="center"/>
          </w:tcPr>
          <w:p w14:paraId="7283742F">
            <w:pPr>
              <w:adjustRightInd/>
              <w:snapToGrid/>
              <w:spacing w:line="240" w:lineRule="exact"/>
              <w:jc w:val="center"/>
              <w:rPr>
                <w:color w:val="auto"/>
                <w:sz w:val="16"/>
                <w:szCs w:val="16"/>
                <w:highlight w:val="none"/>
              </w:rPr>
            </w:pPr>
            <w:r>
              <w:rPr>
                <w:color w:val="auto"/>
                <w:sz w:val="16"/>
                <w:szCs w:val="16"/>
                <w:highlight w:val="none"/>
              </w:rPr>
              <w:t>本期工程实际排放量（6）</w:t>
            </w:r>
          </w:p>
        </w:tc>
        <w:tc>
          <w:tcPr>
            <w:tcW w:w="997" w:type="dxa"/>
            <w:shd w:val="clear" w:color="auto" w:fill="auto"/>
            <w:vAlign w:val="center"/>
          </w:tcPr>
          <w:p w14:paraId="54E68735">
            <w:pPr>
              <w:adjustRightInd/>
              <w:snapToGrid/>
              <w:spacing w:line="240" w:lineRule="exact"/>
              <w:jc w:val="center"/>
              <w:rPr>
                <w:color w:val="auto"/>
                <w:sz w:val="16"/>
                <w:szCs w:val="16"/>
                <w:highlight w:val="none"/>
              </w:rPr>
            </w:pPr>
            <w:r>
              <w:rPr>
                <w:color w:val="auto"/>
                <w:sz w:val="16"/>
                <w:szCs w:val="16"/>
                <w:highlight w:val="none"/>
              </w:rPr>
              <w:t>本期工程核定排放总量（7）</w:t>
            </w:r>
          </w:p>
        </w:tc>
        <w:tc>
          <w:tcPr>
            <w:tcW w:w="1223" w:type="dxa"/>
            <w:gridSpan w:val="2"/>
            <w:shd w:val="clear" w:color="auto" w:fill="auto"/>
            <w:vAlign w:val="center"/>
          </w:tcPr>
          <w:p w14:paraId="3162AE49">
            <w:pPr>
              <w:adjustRightInd/>
              <w:snapToGrid/>
              <w:spacing w:line="240" w:lineRule="exact"/>
              <w:jc w:val="center"/>
              <w:rPr>
                <w:color w:val="auto"/>
                <w:sz w:val="16"/>
                <w:szCs w:val="16"/>
                <w:highlight w:val="none"/>
              </w:rPr>
            </w:pPr>
            <w:r>
              <w:rPr>
                <w:color w:val="auto"/>
                <w:sz w:val="16"/>
                <w:szCs w:val="16"/>
                <w:highlight w:val="none"/>
              </w:rPr>
              <w:t>本期工程“以新带老”削减量（8）</w:t>
            </w:r>
          </w:p>
        </w:tc>
        <w:tc>
          <w:tcPr>
            <w:tcW w:w="940" w:type="dxa"/>
            <w:shd w:val="clear" w:color="auto" w:fill="auto"/>
            <w:vAlign w:val="center"/>
          </w:tcPr>
          <w:p w14:paraId="7A457F1C">
            <w:pPr>
              <w:adjustRightInd/>
              <w:snapToGrid/>
              <w:spacing w:line="240" w:lineRule="exact"/>
              <w:jc w:val="center"/>
              <w:rPr>
                <w:color w:val="auto"/>
                <w:sz w:val="16"/>
                <w:szCs w:val="16"/>
                <w:highlight w:val="none"/>
              </w:rPr>
            </w:pPr>
            <w:r>
              <w:rPr>
                <w:color w:val="auto"/>
                <w:sz w:val="16"/>
                <w:szCs w:val="16"/>
                <w:highlight w:val="none"/>
              </w:rPr>
              <w:t>全厂实际排放总量（9）</w:t>
            </w:r>
          </w:p>
        </w:tc>
        <w:tc>
          <w:tcPr>
            <w:tcW w:w="941" w:type="dxa"/>
            <w:gridSpan w:val="3"/>
            <w:shd w:val="clear" w:color="auto" w:fill="auto"/>
            <w:vAlign w:val="center"/>
          </w:tcPr>
          <w:p w14:paraId="21E0BAA8">
            <w:pPr>
              <w:adjustRightInd/>
              <w:snapToGrid/>
              <w:spacing w:line="240" w:lineRule="exact"/>
              <w:jc w:val="center"/>
              <w:rPr>
                <w:color w:val="auto"/>
                <w:sz w:val="16"/>
                <w:szCs w:val="16"/>
                <w:highlight w:val="none"/>
              </w:rPr>
            </w:pPr>
            <w:r>
              <w:rPr>
                <w:color w:val="auto"/>
                <w:sz w:val="16"/>
                <w:szCs w:val="16"/>
                <w:highlight w:val="none"/>
              </w:rPr>
              <w:t>全厂核定排放总量（10）</w:t>
            </w:r>
          </w:p>
        </w:tc>
        <w:tc>
          <w:tcPr>
            <w:tcW w:w="940" w:type="dxa"/>
            <w:gridSpan w:val="2"/>
            <w:shd w:val="clear" w:color="auto" w:fill="auto"/>
            <w:vAlign w:val="center"/>
          </w:tcPr>
          <w:p w14:paraId="54D0A3C5">
            <w:pPr>
              <w:adjustRightInd/>
              <w:snapToGrid/>
              <w:spacing w:line="240" w:lineRule="exact"/>
              <w:jc w:val="center"/>
              <w:rPr>
                <w:color w:val="auto"/>
                <w:sz w:val="16"/>
                <w:szCs w:val="16"/>
                <w:highlight w:val="none"/>
              </w:rPr>
            </w:pPr>
            <w:r>
              <w:rPr>
                <w:color w:val="auto"/>
                <w:sz w:val="16"/>
                <w:szCs w:val="16"/>
                <w:highlight w:val="none"/>
              </w:rPr>
              <w:t>区域平衡替代削减量（11）</w:t>
            </w:r>
          </w:p>
        </w:tc>
        <w:tc>
          <w:tcPr>
            <w:tcW w:w="950" w:type="dxa"/>
            <w:gridSpan w:val="2"/>
            <w:shd w:val="clear" w:color="auto" w:fill="auto"/>
            <w:vAlign w:val="center"/>
          </w:tcPr>
          <w:p w14:paraId="4B8E35B7">
            <w:pPr>
              <w:adjustRightInd/>
              <w:snapToGrid/>
              <w:spacing w:line="240" w:lineRule="exact"/>
              <w:jc w:val="center"/>
              <w:rPr>
                <w:color w:val="auto"/>
                <w:sz w:val="16"/>
                <w:szCs w:val="16"/>
                <w:highlight w:val="none"/>
              </w:rPr>
            </w:pPr>
            <w:r>
              <w:rPr>
                <w:color w:val="auto"/>
                <w:sz w:val="16"/>
                <w:szCs w:val="16"/>
                <w:highlight w:val="none"/>
              </w:rPr>
              <w:t>排放增减量（12）</w:t>
            </w:r>
          </w:p>
        </w:tc>
      </w:tr>
      <w:tr w14:paraId="35E02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46095CC8">
            <w:pPr>
              <w:adjustRightInd/>
              <w:snapToGrid/>
              <w:spacing w:line="240" w:lineRule="exact"/>
              <w:rPr>
                <w:color w:val="auto"/>
                <w:sz w:val="16"/>
                <w:szCs w:val="16"/>
                <w:highlight w:val="none"/>
              </w:rPr>
            </w:pPr>
          </w:p>
        </w:tc>
        <w:tc>
          <w:tcPr>
            <w:tcW w:w="1979" w:type="dxa"/>
            <w:gridSpan w:val="2"/>
            <w:shd w:val="clear" w:color="auto" w:fill="auto"/>
            <w:vAlign w:val="center"/>
          </w:tcPr>
          <w:p w14:paraId="652F20FC">
            <w:pPr>
              <w:adjustRightInd/>
              <w:snapToGrid/>
              <w:spacing w:line="240" w:lineRule="exact"/>
              <w:rPr>
                <w:color w:val="auto"/>
                <w:sz w:val="16"/>
                <w:szCs w:val="16"/>
                <w:highlight w:val="none"/>
              </w:rPr>
            </w:pPr>
            <w:r>
              <w:rPr>
                <w:color w:val="auto"/>
                <w:sz w:val="16"/>
                <w:szCs w:val="16"/>
                <w:highlight w:val="none"/>
              </w:rPr>
              <w:t>废水</w:t>
            </w:r>
          </w:p>
        </w:tc>
        <w:tc>
          <w:tcPr>
            <w:tcW w:w="727" w:type="dxa"/>
            <w:shd w:val="clear" w:color="auto" w:fill="auto"/>
            <w:vAlign w:val="center"/>
          </w:tcPr>
          <w:p w14:paraId="18DA725C">
            <w:pPr>
              <w:adjustRightInd/>
              <w:snapToGrid/>
              <w:spacing w:line="240" w:lineRule="exact"/>
              <w:jc w:val="center"/>
              <w:rPr>
                <w:rFonts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97" w:type="dxa"/>
            <w:gridSpan w:val="2"/>
            <w:shd w:val="clear" w:color="auto" w:fill="auto"/>
            <w:vAlign w:val="center"/>
          </w:tcPr>
          <w:p w14:paraId="20E360B6">
            <w:pPr>
              <w:adjustRightInd/>
              <w:snapToGrid/>
              <w:spacing w:line="240" w:lineRule="exact"/>
              <w:jc w:val="center"/>
              <w:rPr>
                <w:rFonts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97" w:type="dxa"/>
            <w:gridSpan w:val="2"/>
            <w:shd w:val="clear" w:color="auto" w:fill="auto"/>
            <w:vAlign w:val="center"/>
          </w:tcPr>
          <w:p w14:paraId="2FDA337D">
            <w:pPr>
              <w:adjustRightInd/>
              <w:snapToGrid/>
              <w:spacing w:line="240" w:lineRule="exact"/>
              <w:jc w:val="center"/>
              <w:rPr>
                <w:color w:val="auto"/>
                <w:sz w:val="16"/>
                <w:szCs w:val="16"/>
                <w:highlight w:val="none"/>
              </w:rPr>
            </w:pPr>
            <w:r>
              <w:rPr>
                <w:rFonts w:hint="eastAsia"/>
                <w:color w:val="auto"/>
                <w:sz w:val="16"/>
                <w:szCs w:val="16"/>
                <w:highlight w:val="none"/>
              </w:rPr>
              <w:t>/</w:t>
            </w:r>
          </w:p>
        </w:tc>
        <w:tc>
          <w:tcPr>
            <w:tcW w:w="1109" w:type="dxa"/>
            <w:gridSpan w:val="2"/>
            <w:shd w:val="clear" w:color="auto" w:fill="auto"/>
            <w:vAlign w:val="center"/>
          </w:tcPr>
          <w:p w14:paraId="1359AB41">
            <w:pPr>
              <w:adjustRightInd/>
              <w:snapToGrid/>
              <w:spacing w:line="240" w:lineRule="exact"/>
              <w:jc w:val="center"/>
              <w:rPr>
                <w:color w:val="auto"/>
                <w:sz w:val="16"/>
                <w:szCs w:val="16"/>
                <w:highlight w:val="none"/>
              </w:rPr>
            </w:pPr>
            <w:r>
              <w:rPr>
                <w:color w:val="auto"/>
                <w:sz w:val="16"/>
                <w:szCs w:val="16"/>
                <w:highlight w:val="none"/>
              </w:rPr>
              <w:t>/</w:t>
            </w:r>
          </w:p>
        </w:tc>
        <w:tc>
          <w:tcPr>
            <w:tcW w:w="889" w:type="dxa"/>
            <w:gridSpan w:val="3"/>
            <w:shd w:val="clear" w:color="auto" w:fill="auto"/>
            <w:vAlign w:val="center"/>
          </w:tcPr>
          <w:p w14:paraId="5842B44E">
            <w:pPr>
              <w:adjustRightInd/>
              <w:snapToGrid/>
              <w:spacing w:line="240" w:lineRule="exact"/>
              <w:jc w:val="center"/>
              <w:rPr>
                <w:color w:val="auto"/>
                <w:sz w:val="16"/>
                <w:szCs w:val="16"/>
                <w:highlight w:val="none"/>
              </w:rPr>
            </w:pPr>
            <w:r>
              <w:rPr>
                <w:color w:val="auto"/>
                <w:sz w:val="16"/>
                <w:szCs w:val="16"/>
                <w:highlight w:val="none"/>
              </w:rPr>
              <w:t>/</w:t>
            </w:r>
          </w:p>
        </w:tc>
        <w:tc>
          <w:tcPr>
            <w:tcW w:w="997" w:type="dxa"/>
            <w:shd w:val="clear" w:color="auto" w:fill="auto"/>
            <w:vAlign w:val="center"/>
          </w:tcPr>
          <w:p w14:paraId="3F6FE844">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97" w:type="dxa"/>
            <w:shd w:val="clear" w:color="auto" w:fill="auto"/>
            <w:vAlign w:val="center"/>
          </w:tcPr>
          <w:p w14:paraId="3671B441">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1223" w:type="dxa"/>
            <w:gridSpan w:val="2"/>
            <w:shd w:val="clear" w:color="auto" w:fill="auto"/>
            <w:vAlign w:val="center"/>
          </w:tcPr>
          <w:p w14:paraId="73C69BB0">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color w:val="auto"/>
                <w:sz w:val="16"/>
                <w:szCs w:val="16"/>
                <w:highlight w:val="none"/>
              </w:rPr>
              <w:t>/</w:t>
            </w:r>
          </w:p>
        </w:tc>
        <w:tc>
          <w:tcPr>
            <w:tcW w:w="940" w:type="dxa"/>
            <w:shd w:val="clear" w:color="auto" w:fill="auto"/>
            <w:vAlign w:val="center"/>
          </w:tcPr>
          <w:p w14:paraId="469435E0">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41" w:type="dxa"/>
            <w:gridSpan w:val="3"/>
            <w:shd w:val="clear" w:color="auto" w:fill="auto"/>
            <w:vAlign w:val="center"/>
          </w:tcPr>
          <w:p w14:paraId="1D75F599">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40" w:type="dxa"/>
            <w:gridSpan w:val="2"/>
            <w:shd w:val="clear" w:color="auto" w:fill="auto"/>
            <w:vAlign w:val="center"/>
          </w:tcPr>
          <w:p w14:paraId="52D0BB53">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color w:val="auto"/>
                <w:sz w:val="16"/>
                <w:szCs w:val="16"/>
                <w:highlight w:val="none"/>
              </w:rPr>
              <w:t>/</w:t>
            </w:r>
          </w:p>
        </w:tc>
        <w:tc>
          <w:tcPr>
            <w:tcW w:w="950" w:type="dxa"/>
            <w:gridSpan w:val="2"/>
            <w:shd w:val="clear" w:color="auto" w:fill="auto"/>
            <w:vAlign w:val="center"/>
          </w:tcPr>
          <w:p w14:paraId="57121D82">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olor w:val="auto"/>
                <w:sz w:val="16"/>
                <w:szCs w:val="16"/>
                <w:highlight w:val="none"/>
              </w:rPr>
              <w:t>/</w:t>
            </w:r>
          </w:p>
        </w:tc>
      </w:tr>
      <w:tr w14:paraId="522BF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0294E0CE">
            <w:pPr>
              <w:adjustRightInd/>
              <w:snapToGrid/>
              <w:spacing w:line="240" w:lineRule="exact"/>
              <w:rPr>
                <w:color w:val="auto"/>
                <w:sz w:val="16"/>
                <w:szCs w:val="16"/>
                <w:highlight w:val="none"/>
              </w:rPr>
            </w:pPr>
          </w:p>
        </w:tc>
        <w:tc>
          <w:tcPr>
            <w:tcW w:w="1979" w:type="dxa"/>
            <w:gridSpan w:val="2"/>
            <w:shd w:val="clear" w:color="auto" w:fill="auto"/>
            <w:vAlign w:val="center"/>
          </w:tcPr>
          <w:p w14:paraId="15BCC3E1">
            <w:pPr>
              <w:adjustRightInd/>
              <w:snapToGrid/>
              <w:spacing w:line="240" w:lineRule="exact"/>
              <w:rPr>
                <w:color w:val="auto"/>
                <w:sz w:val="16"/>
                <w:szCs w:val="16"/>
                <w:highlight w:val="none"/>
              </w:rPr>
            </w:pPr>
            <w:r>
              <w:rPr>
                <w:color w:val="auto"/>
                <w:sz w:val="16"/>
                <w:szCs w:val="16"/>
                <w:highlight w:val="none"/>
              </w:rPr>
              <w:t>化学需氧量</w:t>
            </w:r>
          </w:p>
        </w:tc>
        <w:tc>
          <w:tcPr>
            <w:tcW w:w="727" w:type="dxa"/>
            <w:shd w:val="clear" w:color="auto" w:fill="auto"/>
            <w:vAlign w:val="center"/>
          </w:tcPr>
          <w:p w14:paraId="3CC5D108">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 xml:space="preserve">0.0659 </w:t>
            </w:r>
          </w:p>
        </w:tc>
        <w:tc>
          <w:tcPr>
            <w:tcW w:w="997" w:type="dxa"/>
            <w:gridSpan w:val="2"/>
            <w:shd w:val="clear" w:color="auto" w:fill="auto"/>
            <w:vAlign w:val="center"/>
          </w:tcPr>
          <w:p w14:paraId="7661C4B7">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8</w:t>
            </w:r>
          </w:p>
        </w:tc>
        <w:tc>
          <w:tcPr>
            <w:tcW w:w="997" w:type="dxa"/>
            <w:gridSpan w:val="2"/>
            <w:shd w:val="clear" w:color="auto" w:fill="auto"/>
            <w:vAlign w:val="center"/>
          </w:tcPr>
          <w:p w14:paraId="460C270B">
            <w:pPr>
              <w:adjustRightInd/>
              <w:snapToGrid/>
              <w:spacing w:line="240" w:lineRule="exact"/>
              <w:jc w:val="center"/>
              <w:rPr>
                <w:rFonts w:hint="default" w:ascii="Times New Roman" w:hAnsi="Times New Roman" w:eastAsia="宋体" w:cs="Times New Roman"/>
                <w:color w:val="auto"/>
                <w:sz w:val="16"/>
                <w:szCs w:val="16"/>
                <w:highlight w:val="none"/>
                <w:lang w:val="en-US"/>
              </w:rPr>
            </w:pPr>
            <w:r>
              <w:rPr>
                <w:rFonts w:hint="eastAsia" w:cs="Times New Roman"/>
                <w:color w:val="auto"/>
                <w:sz w:val="16"/>
                <w:szCs w:val="16"/>
                <w:highlight w:val="none"/>
                <w:lang w:val="en-US" w:eastAsia="zh-CN"/>
              </w:rPr>
              <w:t>100</w:t>
            </w:r>
          </w:p>
        </w:tc>
        <w:tc>
          <w:tcPr>
            <w:tcW w:w="1109" w:type="dxa"/>
            <w:gridSpan w:val="2"/>
            <w:shd w:val="clear" w:color="auto" w:fill="auto"/>
            <w:vAlign w:val="center"/>
          </w:tcPr>
          <w:p w14:paraId="3089FE8D">
            <w:pPr>
              <w:adjustRightInd/>
              <w:snapToGrid/>
              <w:spacing w:line="240" w:lineRule="exact"/>
              <w:jc w:val="center"/>
              <w:rPr>
                <w:rFonts w:hint="eastAsia"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2F56A37F">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7709A357">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0.03</w:t>
            </w:r>
          </w:p>
        </w:tc>
        <w:tc>
          <w:tcPr>
            <w:tcW w:w="997" w:type="dxa"/>
            <w:shd w:val="clear" w:color="auto" w:fill="auto"/>
            <w:vAlign w:val="center"/>
          </w:tcPr>
          <w:p w14:paraId="08F6F0B0">
            <w:pPr>
              <w:adjustRightInd/>
              <w:snapToGrid/>
              <w:spacing w:line="240" w:lineRule="exact"/>
              <w:jc w:val="center"/>
              <w:rPr>
                <w:rFonts w:hint="default" w:ascii="Times New Roman" w:hAnsi="Times New Roman" w:eastAsia="宋体" w:cs="Times New Roman"/>
                <w:color w:val="auto"/>
                <w:sz w:val="16"/>
                <w:szCs w:val="16"/>
                <w:highlight w:val="none"/>
                <w:lang w:val="en-US"/>
              </w:rPr>
            </w:pPr>
            <w:r>
              <w:rPr>
                <w:rFonts w:hint="eastAsia" w:cs="Times New Roman"/>
                <w:color w:val="auto"/>
                <w:sz w:val="16"/>
                <w:szCs w:val="16"/>
                <w:highlight w:val="none"/>
                <w:lang w:val="en-US" w:eastAsia="zh-CN"/>
              </w:rPr>
              <w:t>0.03</w:t>
            </w:r>
          </w:p>
        </w:tc>
        <w:tc>
          <w:tcPr>
            <w:tcW w:w="1223" w:type="dxa"/>
            <w:gridSpan w:val="2"/>
            <w:shd w:val="clear" w:color="auto" w:fill="auto"/>
            <w:vAlign w:val="center"/>
          </w:tcPr>
          <w:p w14:paraId="0F732A8E">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shd w:val="clear" w:color="auto" w:fill="auto"/>
            <w:vAlign w:val="center"/>
          </w:tcPr>
          <w:p w14:paraId="4C1C7391">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0.0959</w:t>
            </w:r>
          </w:p>
        </w:tc>
        <w:tc>
          <w:tcPr>
            <w:tcW w:w="941" w:type="dxa"/>
            <w:gridSpan w:val="3"/>
            <w:shd w:val="clear" w:color="auto" w:fill="auto"/>
            <w:vAlign w:val="center"/>
          </w:tcPr>
          <w:p w14:paraId="4E2B5D03">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0.250</w:t>
            </w:r>
          </w:p>
        </w:tc>
        <w:tc>
          <w:tcPr>
            <w:tcW w:w="940" w:type="dxa"/>
            <w:gridSpan w:val="2"/>
            <w:shd w:val="clear" w:color="auto" w:fill="auto"/>
            <w:vAlign w:val="center"/>
          </w:tcPr>
          <w:p w14:paraId="37920D49">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63957BBB">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+0.03</w:t>
            </w:r>
          </w:p>
        </w:tc>
      </w:tr>
      <w:tr w14:paraId="33BFE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70E98001">
            <w:pPr>
              <w:adjustRightInd/>
              <w:snapToGrid/>
              <w:spacing w:line="240" w:lineRule="exact"/>
              <w:rPr>
                <w:color w:val="auto"/>
                <w:sz w:val="16"/>
                <w:szCs w:val="16"/>
                <w:highlight w:val="none"/>
              </w:rPr>
            </w:pPr>
          </w:p>
        </w:tc>
        <w:tc>
          <w:tcPr>
            <w:tcW w:w="1979" w:type="dxa"/>
            <w:gridSpan w:val="2"/>
            <w:shd w:val="clear" w:color="auto" w:fill="auto"/>
            <w:vAlign w:val="center"/>
          </w:tcPr>
          <w:p w14:paraId="11276C29">
            <w:pPr>
              <w:adjustRightInd/>
              <w:snapToGrid/>
              <w:spacing w:line="240" w:lineRule="exact"/>
              <w:rPr>
                <w:color w:val="auto"/>
                <w:sz w:val="16"/>
                <w:szCs w:val="16"/>
                <w:highlight w:val="none"/>
              </w:rPr>
            </w:pPr>
            <w:r>
              <w:rPr>
                <w:color w:val="auto"/>
                <w:sz w:val="16"/>
                <w:szCs w:val="16"/>
                <w:highlight w:val="none"/>
              </w:rPr>
              <w:t>氨氮</w:t>
            </w:r>
          </w:p>
        </w:tc>
        <w:tc>
          <w:tcPr>
            <w:tcW w:w="727" w:type="dxa"/>
            <w:shd w:val="clear" w:color="auto" w:fill="auto"/>
            <w:vAlign w:val="center"/>
          </w:tcPr>
          <w:p w14:paraId="3DC3E8A2">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0.0066</w:t>
            </w:r>
          </w:p>
        </w:tc>
        <w:tc>
          <w:tcPr>
            <w:tcW w:w="997" w:type="dxa"/>
            <w:gridSpan w:val="2"/>
            <w:shd w:val="clear" w:color="auto" w:fill="auto"/>
            <w:vAlign w:val="center"/>
          </w:tcPr>
          <w:p w14:paraId="61A5D63B">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0.036</w:t>
            </w:r>
          </w:p>
        </w:tc>
        <w:tc>
          <w:tcPr>
            <w:tcW w:w="997" w:type="dxa"/>
            <w:gridSpan w:val="2"/>
            <w:shd w:val="clear" w:color="auto" w:fill="auto"/>
            <w:vAlign w:val="center"/>
          </w:tcPr>
          <w:p w14:paraId="3F76D74A">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25</w:t>
            </w:r>
          </w:p>
        </w:tc>
        <w:tc>
          <w:tcPr>
            <w:tcW w:w="1109" w:type="dxa"/>
            <w:gridSpan w:val="2"/>
            <w:shd w:val="clear" w:color="auto" w:fill="auto"/>
            <w:vAlign w:val="center"/>
          </w:tcPr>
          <w:p w14:paraId="5DA589A3">
            <w:pPr>
              <w:adjustRightInd/>
              <w:snapToGrid/>
              <w:spacing w:line="240" w:lineRule="exact"/>
              <w:jc w:val="center"/>
              <w:rPr>
                <w:rFonts w:hint="eastAsia"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51FFE599">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5B491492">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0.0</w:t>
            </w:r>
            <w:r>
              <w:rPr>
                <w:rFonts w:hint="eastAsia" w:cs="Times New Roman"/>
                <w:color w:val="auto"/>
                <w:sz w:val="16"/>
                <w:szCs w:val="16"/>
                <w:highlight w:val="none"/>
                <w:lang w:val="en-US" w:eastAsia="zh-CN"/>
              </w:rPr>
              <w:t>03</w:t>
            </w:r>
          </w:p>
        </w:tc>
        <w:tc>
          <w:tcPr>
            <w:tcW w:w="997" w:type="dxa"/>
            <w:shd w:val="clear" w:color="auto" w:fill="auto"/>
            <w:vAlign w:val="center"/>
          </w:tcPr>
          <w:p w14:paraId="7D2AE186">
            <w:pPr>
              <w:adjustRightInd/>
              <w:snapToGrid/>
              <w:spacing w:line="240" w:lineRule="exact"/>
              <w:jc w:val="center"/>
              <w:rPr>
                <w:rFonts w:hint="default" w:ascii="Times New Roman" w:hAnsi="Times New Roman" w:eastAsia="宋体" w:cs="Times New Roman"/>
                <w:color w:val="auto"/>
                <w:sz w:val="16"/>
                <w:szCs w:val="16"/>
                <w:highlight w:val="none"/>
                <w:lang w:val="en-US"/>
              </w:rPr>
            </w:pPr>
            <w:r>
              <w:rPr>
                <w:rFonts w:hint="eastAsia" w:cs="Times New Roman"/>
                <w:color w:val="auto"/>
                <w:sz w:val="16"/>
                <w:szCs w:val="16"/>
                <w:highlight w:val="none"/>
                <w:lang w:val="en-US" w:eastAsia="zh-CN"/>
              </w:rPr>
              <w:t>0.003</w:t>
            </w:r>
          </w:p>
        </w:tc>
        <w:tc>
          <w:tcPr>
            <w:tcW w:w="1223" w:type="dxa"/>
            <w:gridSpan w:val="2"/>
            <w:shd w:val="clear" w:color="auto" w:fill="auto"/>
            <w:vAlign w:val="center"/>
          </w:tcPr>
          <w:p w14:paraId="0AD46547">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shd w:val="clear" w:color="auto" w:fill="auto"/>
            <w:vAlign w:val="center"/>
          </w:tcPr>
          <w:p w14:paraId="4EBC299B">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0.0096</w:t>
            </w:r>
          </w:p>
        </w:tc>
        <w:tc>
          <w:tcPr>
            <w:tcW w:w="941" w:type="dxa"/>
            <w:gridSpan w:val="3"/>
            <w:shd w:val="clear" w:color="auto" w:fill="auto"/>
            <w:vAlign w:val="center"/>
          </w:tcPr>
          <w:p w14:paraId="081DA04A">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0.0</w:t>
            </w:r>
            <w:r>
              <w:rPr>
                <w:rFonts w:hint="eastAsia" w:cs="Times New Roman"/>
                <w:color w:val="auto"/>
                <w:sz w:val="16"/>
                <w:szCs w:val="16"/>
                <w:highlight w:val="none"/>
                <w:lang w:val="en-US" w:eastAsia="zh-CN"/>
              </w:rPr>
              <w:t>25</w:t>
            </w:r>
          </w:p>
        </w:tc>
        <w:tc>
          <w:tcPr>
            <w:tcW w:w="940" w:type="dxa"/>
            <w:gridSpan w:val="2"/>
            <w:shd w:val="clear" w:color="auto" w:fill="auto"/>
            <w:vAlign w:val="center"/>
          </w:tcPr>
          <w:p w14:paraId="0AA2EAF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662B8781">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+0.0</w:t>
            </w:r>
            <w:r>
              <w:rPr>
                <w:rFonts w:hint="eastAsia" w:cs="Times New Roman"/>
                <w:color w:val="auto"/>
                <w:sz w:val="16"/>
                <w:szCs w:val="16"/>
                <w:highlight w:val="none"/>
                <w:lang w:val="en-US" w:eastAsia="zh-CN"/>
              </w:rPr>
              <w:t>03</w:t>
            </w:r>
          </w:p>
        </w:tc>
      </w:tr>
      <w:tr w14:paraId="65E30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332F4B73">
            <w:pPr>
              <w:adjustRightInd/>
              <w:snapToGrid/>
              <w:spacing w:line="240" w:lineRule="exact"/>
              <w:rPr>
                <w:color w:val="auto"/>
                <w:sz w:val="16"/>
                <w:szCs w:val="16"/>
                <w:highlight w:val="none"/>
              </w:rPr>
            </w:pPr>
          </w:p>
        </w:tc>
        <w:tc>
          <w:tcPr>
            <w:tcW w:w="1979" w:type="dxa"/>
            <w:gridSpan w:val="2"/>
            <w:shd w:val="clear" w:color="auto" w:fill="auto"/>
            <w:vAlign w:val="center"/>
          </w:tcPr>
          <w:p w14:paraId="44EBA52B">
            <w:pPr>
              <w:adjustRightInd/>
              <w:snapToGrid/>
              <w:spacing w:line="240" w:lineRule="exact"/>
              <w:rPr>
                <w:color w:val="auto"/>
                <w:sz w:val="16"/>
                <w:szCs w:val="16"/>
                <w:highlight w:val="none"/>
              </w:rPr>
            </w:pPr>
            <w:r>
              <w:rPr>
                <w:color w:val="auto"/>
                <w:sz w:val="16"/>
                <w:szCs w:val="16"/>
                <w:highlight w:val="none"/>
              </w:rPr>
              <w:t>废气</w:t>
            </w:r>
          </w:p>
        </w:tc>
        <w:tc>
          <w:tcPr>
            <w:tcW w:w="727" w:type="dxa"/>
            <w:shd w:val="clear" w:color="auto" w:fill="auto"/>
            <w:vAlign w:val="center"/>
          </w:tcPr>
          <w:p w14:paraId="7A2C4E2C">
            <w:pPr>
              <w:adjustRightInd/>
              <w:snapToGrid/>
              <w:spacing w:line="240" w:lineRule="exact"/>
              <w:jc w:val="center"/>
              <w:rPr>
                <w:color w:val="auto"/>
                <w:sz w:val="16"/>
                <w:szCs w:val="16"/>
                <w:highlight w:val="none"/>
              </w:rPr>
            </w:pPr>
            <w:r>
              <w:rPr>
                <w:color w:val="auto"/>
                <w:sz w:val="16"/>
                <w:szCs w:val="16"/>
                <w:highlight w:val="none"/>
              </w:rPr>
              <w:t>/</w:t>
            </w:r>
          </w:p>
        </w:tc>
        <w:tc>
          <w:tcPr>
            <w:tcW w:w="997" w:type="dxa"/>
            <w:gridSpan w:val="2"/>
            <w:shd w:val="clear" w:color="auto" w:fill="auto"/>
            <w:vAlign w:val="center"/>
          </w:tcPr>
          <w:p w14:paraId="343AC70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4F9CABE8">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55A86A8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2944AC23">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021FB7C8">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79DC0EC2">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223" w:type="dxa"/>
            <w:gridSpan w:val="2"/>
            <w:shd w:val="clear" w:color="auto" w:fill="auto"/>
            <w:vAlign w:val="center"/>
          </w:tcPr>
          <w:p w14:paraId="63013C2F">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shd w:val="clear" w:color="auto" w:fill="auto"/>
            <w:vAlign w:val="center"/>
          </w:tcPr>
          <w:p w14:paraId="3B304854">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1" w:type="dxa"/>
            <w:gridSpan w:val="3"/>
            <w:shd w:val="clear" w:color="auto" w:fill="auto"/>
            <w:vAlign w:val="center"/>
          </w:tcPr>
          <w:p w14:paraId="3B48B127">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gridSpan w:val="2"/>
            <w:shd w:val="clear" w:color="auto" w:fill="auto"/>
            <w:vAlign w:val="center"/>
          </w:tcPr>
          <w:p w14:paraId="7D8E7C53">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5510272A">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rPr>
              <w:t>/</w:t>
            </w:r>
          </w:p>
        </w:tc>
      </w:tr>
      <w:tr w14:paraId="61B6F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536" w:type="dxa"/>
            <w:vMerge w:val="continue"/>
            <w:shd w:val="clear" w:color="auto" w:fill="auto"/>
            <w:vAlign w:val="center"/>
          </w:tcPr>
          <w:p w14:paraId="06216129">
            <w:pPr>
              <w:adjustRightInd/>
              <w:snapToGrid/>
              <w:spacing w:line="240" w:lineRule="exact"/>
              <w:rPr>
                <w:color w:val="auto"/>
                <w:sz w:val="16"/>
                <w:szCs w:val="16"/>
                <w:highlight w:val="none"/>
              </w:rPr>
            </w:pPr>
          </w:p>
        </w:tc>
        <w:tc>
          <w:tcPr>
            <w:tcW w:w="1979" w:type="dxa"/>
            <w:gridSpan w:val="2"/>
            <w:shd w:val="clear" w:color="auto" w:fill="auto"/>
            <w:vAlign w:val="center"/>
          </w:tcPr>
          <w:p w14:paraId="30D0AAB0">
            <w:pPr>
              <w:adjustRightInd/>
              <w:snapToGrid/>
              <w:spacing w:line="240" w:lineRule="exact"/>
              <w:rPr>
                <w:color w:val="auto"/>
                <w:sz w:val="16"/>
                <w:szCs w:val="16"/>
                <w:highlight w:val="none"/>
              </w:rPr>
            </w:pPr>
            <w:r>
              <w:rPr>
                <w:color w:val="auto"/>
                <w:sz w:val="16"/>
                <w:szCs w:val="16"/>
                <w:highlight w:val="none"/>
              </w:rPr>
              <w:t>二氧化硫</w:t>
            </w:r>
          </w:p>
        </w:tc>
        <w:tc>
          <w:tcPr>
            <w:tcW w:w="727" w:type="dxa"/>
            <w:shd w:val="clear" w:color="auto" w:fill="auto"/>
            <w:vAlign w:val="center"/>
          </w:tcPr>
          <w:p w14:paraId="0C956F06">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2.927</w:t>
            </w:r>
          </w:p>
        </w:tc>
        <w:tc>
          <w:tcPr>
            <w:tcW w:w="997" w:type="dxa"/>
            <w:gridSpan w:val="2"/>
            <w:shd w:val="clear" w:color="auto" w:fill="auto"/>
            <w:vAlign w:val="center"/>
          </w:tcPr>
          <w:p w14:paraId="65E70561">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3545459C">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6DC1EE49">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130853C1">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39250A25">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1.02</w:t>
            </w:r>
          </w:p>
        </w:tc>
        <w:tc>
          <w:tcPr>
            <w:tcW w:w="997" w:type="dxa"/>
            <w:shd w:val="clear" w:color="auto" w:fill="auto"/>
            <w:vAlign w:val="center"/>
          </w:tcPr>
          <w:p w14:paraId="31D33661">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1.994</w:t>
            </w:r>
          </w:p>
        </w:tc>
        <w:tc>
          <w:tcPr>
            <w:tcW w:w="1223" w:type="dxa"/>
            <w:gridSpan w:val="2"/>
            <w:shd w:val="clear" w:color="auto" w:fill="auto"/>
            <w:vAlign w:val="center"/>
          </w:tcPr>
          <w:p w14:paraId="4C82D7AB">
            <w:pPr>
              <w:adjustRightInd/>
              <w:snapToGrid/>
              <w:spacing w:line="240" w:lineRule="exact"/>
              <w:jc w:val="center"/>
              <w:rPr>
                <w:rFonts w:hint="eastAsia"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w:t>
            </w:r>
          </w:p>
        </w:tc>
        <w:tc>
          <w:tcPr>
            <w:tcW w:w="940" w:type="dxa"/>
            <w:shd w:val="clear" w:color="auto" w:fill="auto"/>
            <w:vAlign w:val="center"/>
          </w:tcPr>
          <w:p w14:paraId="3687C8C3">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3.947</w:t>
            </w:r>
          </w:p>
        </w:tc>
        <w:tc>
          <w:tcPr>
            <w:tcW w:w="941" w:type="dxa"/>
            <w:gridSpan w:val="3"/>
            <w:shd w:val="clear" w:color="auto" w:fill="auto"/>
            <w:vAlign w:val="center"/>
          </w:tcPr>
          <w:p w14:paraId="39C0C7EB">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6.284</w:t>
            </w:r>
          </w:p>
        </w:tc>
        <w:tc>
          <w:tcPr>
            <w:tcW w:w="940" w:type="dxa"/>
            <w:gridSpan w:val="2"/>
            <w:shd w:val="clear" w:color="auto" w:fill="auto"/>
            <w:vAlign w:val="center"/>
          </w:tcPr>
          <w:p w14:paraId="1A5FE69D">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0EA8BC46">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+1.02</w:t>
            </w:r>
          </w:p>
        </w:tc>
      </w:tr>
      <w:tr w14:paraId="1FA64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0C310EC1">
            <w:pPr>
              <w:adjustRightInd/>
              <w:snapToGrid/>
              <w:spacing w:line="240" w:lineRule="exact"/>
              <w:rPr>
                <w:color w:val="auto"/>
                <w:sz w:val="16"/>
                <w:szCs w:val="16"/>
                <w:highlight w:val="none"/>
              </w:rPr>
            </w:pPr>
          </w:p>
        </w:tc>
        <w:tc>
          <w:tcPr>
            <w:tcW w:w="1979" w:type="dxa"/>
            <w:gridSpan w:val="2"/>
            <w:shd w:val="clear" w:color="auto" w:fill="auto"/>
            <w:vAlign w:val="center"/>
          </w:tcPr>
          <w:p w14:paraId="5FC25CD3">
            <w:pPr>
              <w:adjustRightInd/>
              <w:snapToGrid/>
              <w:spacing w:line="240" w:lineRule="exact"/>
              <w:rPr>
                <w:color w:val="auto"/>
                <w:sz w:val="16"/>
                <w:szCs w:val="16"/>
                <w:highlight w:val="none"/>
              </w:rPr>
            </w:pPr>
            <w:r>
              <w:rPr>
                <w:rFonts w:hint="eastAsia"/>
                <w:color w:val="auto"/>
                <w:sz w:val="16"/>
                <w:szCs w:val="16"/>
                <w:highlight w:val="none"/>
              </w:rPr>
              <w:t>颗粒物</w:t>
            </w:r>
          </w:p>
        </w:tc>
        <w:tc>
          <w:tcPr>
            <w:tcW w:w="727" w:type="dxa"/>
            <w:shd w:val="clear" w:color="auto" w:fill="auto"/>
            <w:vAlign w:val="center"/>
          </w:tcPr>
          <w:p w14:paraId="73ED18D9">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0.426</w:t>
            </w:r>
          </w:p>
        </w:tc>
        <w:tc>
          <w:tcPr>
            <w:tcW w:w="997" w:type="dxa"/>
            <w:gridSpan w:val="2"/>
            <w:shd w:val="clear" w:color="auto" w:fill="auto"/>
            <w:vAlign w:val="center"/>
          </w:tcPr>
          <w:p w14:paraId="1C2A264E">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31D2BA6D">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0BC259CA">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17A4CBF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27C53074">
            <w:pPr>
              <w:adjustRightInd/>
              <w:snapToGrid/>
              <w:spacing w:line="240" w:lineRule="exact"/>
              <w:jc w:val="center"/>
              <w:rPr>
                <w:rFonts w:hint="default" w:ascii="Times New Roman" w:hAnsi="Times New Roman" w:eastAsia="宋体" w:cs="Times New Roman"/>
                <w:color w:val="auto"/>
                <w:sz w:val="16"/>
                <w:szCs w:val="16"/>
                <w:highlight w:val="none"/>
                <w:lang w:val="en-US"/>
              </w:rPr>
            </w:pPr>
            <w:r>
              <w:rPr>
                <w:rFonts w:hint="eastAsia" w:cs="Times New Roman"/>
                <w:color w:val="auto"/>
                <w:sz w:val="16"/>
                <w:szCs w:val="16"/>
                <w:highlight w:val="none"/>
                <w:lang w:val="en-US" w:eastAsia="zh-CN"/>
              </w:rPr>
              <w:t>0.2837</w:t>
            </w:r>
          </w:p>
        </w:tc>
        <w:tc>
          <w:tcPr>
            <w:tcW w:w="997" w:type="dxa"/>
            <w:shd w:val="clear" w:color="auto" w:fill="auto"/>
            <w:vAlign w:val="center"/>
          </w:tcPr>
          <w:p w14:paraId="35EFF4F4">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0.290</w:t>
            </w:r>
          </w:p>
        </w:tc>
        <w:tc>
          <w:tcPr>
            <w:tcW w:w="1223" w:type="dxa"/>
            <w:gridSpan w:val="2"/>
            <w:shd w:val="clear" w:color="auto" w:fill="auto"/>
            <w:vAlign w:val="center"/>
          </w:tcPr>
          <w:p w14:paraId="655EED63">
            <w:pPr>
              <w:adjustRightInd/>
              <w:snapToGrid/>
              <w:spacing w:line="240" w:lineRule="exact"/>
              <w:jc w:val="center"/>
              <w:rPr>
                <w:rFonts w:hint="eastAsia"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w:t>
            </w:r>
          </w:p>
        </w:tc>
        <w:tc>
          <w:tcPr>
            <w:tcW w:w="940" w:type="dxa"/>
            <w:shd w:val="clear" w:color="auto" w:fill="auto"/>
            <w:vAlign w:val="center"/>
          </w:tcPr>
          <w:p w14:paraId="6C28374A">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0.7097</w:t>
            </w:r>
          </w:p>
        </w:tc>
        <w:tc>
          <w:tcPr>
            <w:tcW w:w="941" w:type="dxa"/>
            <w:gridSpan w:val="3"/>
            <w:shd w:val="clear" w:color="auto" w:fill="auto"/>
            <w:vAlign w:val="center"/>
          </w:tcPr>
          <w:p w14:paraId="4FEF7A80">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2.015</w:t>
            </w:r>
          </w:p>
        </w:tc>
        <w:tc>
          <w:tcPr>
            <w:tcW w:w="940" w:type="dxa"/>
            <w:gridSpan w:val="2"/>
            <w:shd w:val="clear" w:color="auto" w:fill="auto"/>
            <w:vAlign w:val="center"/>
          </w:tcPr>
          <w:p w14:paraId="5D565437">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3FF78460">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+0.2837</w:t>
            </w:r>
          </w:p>
        </w:tc>
      </w:tr>
      <w:tr w14:paraId="4BC50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246E56F4">
            <w:pPr>
              <w:adjustRightInd/>
              <w:snapToGrid/>
              <w:spacing w:line="240" w:lineRule="exact"/>
              <w:rPr>
                <w:color w:val="auto"/>
                <w:sz w:val="16"/>
                <w:szCs w:val="16"/>
                <w:highlight w:val="none"/>
              </w:rPr>
            </w:pPr>
          </w:p>
        </w:tc>
        <w:tc>
          <w:tcPr>
            <w:tcW w:w="1979" w:type="dxa"/>
            <w:gridSpan w:val="2"/>
            <w:shd w:val="clear" w:color="auto" w:fill="auto"/>
            <w:vAlign w:val="center"/>
          </w:tcPr>
          <w:p w14:paraId="7382215E">
            <w:pPr>
              <w:adjustRightInd/>
              <w:snapToGrid/>
              <w:spacing w:line="240" w:lineRule="exact"/>
              <w:rPr>
                <w:color w:val="auto"/>
                <w:sz w:val="16"/>
                <w:szCs w:val="16"/>
                <w:highlight w:val="none"/>
              </w:rPr>
            </w:pPr>
            <w:r>
              <w:rPr>
                <w:color w:val="auto"/>
                <w:sz w:val="16"/>
                <w:szCs w:val="16"/>
                <w:highlight w:val="none"/>
              </w:rPr>
              <w:t>氮氧化物</w:t>
            </w:r>
          </w:p>
        </w:tc>
        <w:tc>
          <w:tcPr>
            <w:tcW w:w="727" w:type="dxa"/>
            <w:shd w:val="clear" w:color="auto" w:fill="auto"/>
            <w:vAlign w:val="center"/>
          </w:tcPr>
          <w:p w14:paraId="152141AA">
            <w:pPr>
              <w:adjustRightInd/>
              <w:snapToGrid/>
              <w:spacing w:line="240" w:lineRule="exact"/>
              <w:jc w:val="center"/>
              <w:rPr>
                <w:rFonts w:hint="eastAsia" w:ascii="Times New Roman" w:hAnsi="Times New Roman" w:eastAsia="宋体" w:cs="Times New Roman"/>
                <w:color w:val="auto"/>
                <w:kern w:val="2"/>
                <w:sz w:val="16"/>
                <w:szCs w:val="16"/>
                <w:highlight w:val="none"/>
                <w:lang w:val="en-US" w:eastAsia="zh-CN" w:bidi="ar-SA"/>
              </w:rPr>
            </w:pPr>
            <w:r>
              <w:rPr>
                <w:rFonts w:hint="eastAsia" w:ascii="Times New Roman" w:hAnsi="Times New Roman" w:eastAsia="宋体" w:cs="Times New Roman"/>
                <w:color w:val="auto"/>
                <w:sz w:val="16"/>
                <w:szCs w:val="16"/>
                <w:highlight w:val="none"/>
                <w:lang w:val="en-US" w:eastAsia="zh-CN"/>
              </w:rPr>
              <w:t>14.408</w:t>
            </w:r>
          </w:p>
        </w:tc>
        <w:tc>
          <w:tcPr>
            <w:tcW w:w="997" w:type="dxa"/>
            <w:gridSpan w:val="2"/>
            <w:shd w:val="clear" w:color="auto" w:fill="auto"/>
            <w:vAlign w:val="center"/>
          </w:tcPr>
          <w:p w14:paraId="5B716CBC">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3FA134FA">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2EC949AF">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176CBD7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1AFBDB70">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3.4683</w:t>
            </w:r>
          </w:p>
        </w:tc>
        <w:tc>
          <w:tcPr>
            <w:tcW w:w="997" w:type="dxa"/>
            <w:shd w:val="clear" w:color="auto" w:fill="auto"/>
            <w:vAlign w:val="center"/>
          </w:tcPr>
          <w:p w14:paraId="5CAFDCA2">
            <w:pPr>
              <w:adjustRightInd/>
              <w:snapToGrid/>
              <w:spacing w:line="240" w:lineRule="exact"/>
              <w:jc w:val="center"/>
              <w:rPr>
                <w:rFonts w:hint="default"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9.818</w:t>
            </w:r>
          </w:p>
        </w:tc>
        <w:tc>
          <w:tcPr>
            <w:tcW w:w="1223" w:type="dxa"/>
            <w:gridSpan w:val="2"/>
            <w:shd w:val="clear" w:color="auto" w:fill="auto"/>
            <w:vAlign w:val="center"/>
          </w:tcPr>
          <w:p w14:paraId="06618A58">
            <w:pPr>
              <w:adjustRightInd/>
              <w:snapToGrid/>
              <w:spacing w:line="240" w:lineRule="exact"/>
              <w:jc w:val="center"/>
              <w:rPr>
                <w:rFonts w:hint="eastAsia" w:ascii="Times New Roman" w:hAnsi="Times New Roman" w:eastAsia="宋体" w:cs="Times New Roman"/>
                <w:color w:val="auto"/>
                <w:sz w:val="16"/>
                <w:szCs w:val="16"/>
                <w:highlight w:val="none"/>
                <w:lang w:val="en-US" w:eastAsia="zh-CN"/>
              </w:rPr>
            </w:pPr>
            <w:r>
              <w:rPr>
                <w:rFonts w:hint="eastAsia" w:cs="Times New Roman"/>
                <w:color w:val="auto"/>
                <w:sz w:val="16"/>
                <w:szCs w:val="16"/>
                <w:highlight w:val="none"/>
                <w:lang w:val="en-US" w:eastAsia="zh-CN"/>
              </w:rPr>
              <w:t>/</w:t>
            </w:r>
          </w:p>
        </w:tc>
        <w:tc>
          <w:tcPr>
            <w:tcW w:w="940" w:type="dxa"/>
            <w:shd w:val="clear" w:color="auto" w:fill="auto"/>
            <w:vAlign w:val="center"/>
          </w:tcPr>
          <w:p w14:paraId="2EC2B009">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17.8763</w:t>
            </w:r>
          </w:p>
        </w:tc>
        <w:tc>
          <w:tcPr>
            <w:tcW w:w="941" w:type="dxa"/>
            <w:gridSpan w:val="3"/>
            <w:shd w:val="clear" w:color="auto" w:fill="auto"/>
            <w:vAlign w:val="center"/>
          </w:tcPr>
          <w:p w14:paraId="582088E2">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25.418</w:t>
            </w:r>
          </w:p>
        </w:tc>
        <w:tc>
          <w:tcPr>
            <w:tcW w:w="940" w:type="dxa"/>
            <w:gridSpan w:val="2"/>
            <w:shd w:val="clear" w:color="auto" w:fill="auto"/>
            <w:vAlign w:val="center"/>
          </w:tcPr>
          <w:p w14:paraId="32F04F7B">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7371F5BF">
            <w:pPr>
              <w:adjustRightInd/>
              <w:snapToGrid/>
              <w:spacing w:line="240" w:lineRule="exact"/>
              <w:jc w:val="center"/>
              <w:rPr>
                <w:rFonts w:hint="default" w:ascii="Times New Roman" w:hAnsi="Times New Roman" w:eastAsia="宋体" w:cs="Times New Roman"/>
                <w:color w:val="auto"/>
                <w:kern w:val="2"/>
                <w:sz w:val="16"/>
                <w:szCs w:val="16"/>
                <w:highlight w:val="none"/>
                <w:lang w:val="en-US" w:eastAsia="zh-CN" w:bidi="ar-SA"/>
              </w:rPr>
            </w:pPr>
            <w:r>
              <w:rPr>
                <w:rFonts w:hint="eastAsia" w:cs="Times New Roman"/>
                <w:color w:val="auto"/>
                <w:sz w:val="16"/>
                <w:szCs w:val="16"/>
                <w:highlight w:val="none"/>
                <w:lang w:val="en-US" w:eastAsia="zh-CN"/>
              </w:rPr>
              <w:t>+3.4683</w:t>
            </w:r>
          </w:p>
        </w:tc>
      </w:tr>
      <w:tr w14:paraId="66923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403B4A63">
            <w:pPr>
              <w:adjustRightInd/>
              <w:snapToGrid/>
              <w:spacing w:line="240" w:lineRule="exact"/>
              <w:rPr>
                <w:color w:val="auto"/>
                <w:sz w:val="16"/>
                <w:szCs w:val="16"/>
                <w:highlight w:val="none"/>
              </w:rPr>
            </w:pPr>
          </w:p>
        </w:tc>
        <w:tc>
          <w:tcPr>
            <w:tcW w:w="1979" w:type="dxa"/>
            <w:gridSpan w:val="2"/>
            <w:shd w:val="clear" w:color="auto" w:fill="auto"/>
            <w:vAlign w:val="center"/>
          </w:tcPr>
          <w:p w14:paraId="06804582">
            <w:pPr>
              <w:adjustRightInd/>
              <w:snapToGrid/>
              <w:spacing w:line="240" w:lineRule="exact"/>
              <w:rPr>
                <w:color w:val="auto"/>
                <w:sz w:val="16"/>
                <w:szCs w:val="16"/>
                <w:highlight w:val="none"/>
              </w:rPr>
            </w:pPr>
            <w:r>
              <w:rPr>
                <w:color w:val="auto"/>
                <w:sz w:val="16"/>
                <w:szCs w:val="16"/>
                <w:highlight w:val="none"/>
              </w:rPr>
              <w:t>工业固体废物</w:t>
            </w:r>
          </w:p>
        </w:tc>
        <w:tc>
          <w:tcPr>
            <w:tcW w:w="727" w:type="dxa"/>
            <w:shd w:val="clear" w:color="auto" w:fill="auto"/>
            <w:vAlign w:val="center"/>
          </w:tcPr>
          <w:p w14:paraId="48B44E1F">
            <w:pPr>
              <w:adjustRightInd/>
              <w:snapToGrid/>
              <w:spacing w:line="240" w:lineRule="exact"/>
              <w:jc w:val="center"/>
              <w:rPr>
                <w:color w:val="auto"/>
                <w:sz w:val="16"/>
                <w:szCs w:val="16"/>
                <w:highlight w:val="none"/>
              </w:rPr>
            </w:pPr>
            <w:r>
              <w:rPr>
                <w:color w:val="auto"/>
                <w:sz w:val="16"/>
                <w:szCs w:val="16"/>
                <w:highlight w:val="none"/>
              </w:rPr>
              <w:t>/</w:t>
            </w:r>
          </w:p>
        </w:tc>
        <w:tc>
          <w:tcPr>
            <w:tcW w:w="997" w:type="dxa"/>
            <w:gridSpan w:val="2"/>
            <w:shd w:val="clear" w:color="auto" w:fill="auto"/>
            <w:vAlign w:val="center"/>
          </w:tcPr>
          <w:p w14:paraId="5B83FBE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4C4490B6">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28F5EE68">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5D36DF3E">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776A7395">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7679C7CA">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223" w:type="dxa"/>
            <w:gridSpan w:val="2"/>
            <w:shd w:val="clear" w:color="auto" w:fill="auto"/>
            <w:vAlign w:val="center"/>
          </w:tcPr>
          <w:p w14:paraId="65A0F9D4">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shd w:val="clear" w:color="auto" w:fill="auto"/>
            <w:vAlign w:val="center"/>
          </w:tcPr>
          <w:p w14:paraId="20929DBB">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1" w:type="dxa"/>
            <w:gridSpan w:val="3"/>
            <w:shd w:val="clear" w:color="auto" w:fill="auto"/>
            <w:vAlign w:val="center"/>
          </w:tcPr>
          <w:p w14:paraId="0F9E9553">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gridSpan w:val="2"/>
            <w:shd w:val="clear" w:color="auto" w:fill="auto"/>
            <w:vAlign w:val="center"/>
          </w:tcPr>
          <w:p w14:paraId="3D05040A">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69F9631C">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r>
      <w:tr w14:paraId="2FE45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36" w:type="dxa"/>
            <w:vMerge w:val="continue"/>
            <w:shd w:val="clear" w:color="auto" w:fill="auto"/>
            <w:vAlign w:val="center"/>
          </w:tcPr>
          <w:p w14:paraId="47B6EE5E">
            <w:pPr>
              <w:adjustRightInd/>
              <w:snapToGrid/>
              <w:spacing w:line="240" w:lineRule="exact"/>
              <w:rPr>
                <w:color w:val="auto"/>
                <w:sz w:val="16"/>
                <w:szCs w:val="16"/>
                <w:highlight w:val="none"/>
              </w:rPr>
            </w:pPr>
          </w:p>
        </w:tc>
        <w:tc>
          <w:tcPr>
            <w:tcW w:w="1664" w:type="dxa"/>
            <w:shd w:val="clear" w:color="auto" w:fill="auto"/>
            <w:vAlign w:val="center"/>
          </w:tcPr>
          <w:p w14:paraId="5DF6C270">
            <w:pPr>
              <w:rPr>
                <w:color w:val="auto"/>
                <w:sz w:val="16"/>
                <w:szCs w:val="16"/>
                <w:highlight w:val="none"/>
              </w:rPr>
            </w:pPr>
            <w:r>
              <w:rPr>
                <w:color w:val="auto"/>
                <w:sz w:val="16"/>
                <w:szCs w:val="16"/>
                <w:highlight w:val="none"/>
              </w:rPr>
              <w:t>与项目有关的其他特征污染物</w:t>
            </w:r>
          </w:p>
        </w:tc>
        <w:tc>
          <w:tcPr>
            <w:tcW w:w="315" w:type="dxa"/>
            <w:shd w:val="clear" w:color="auto" w:fill="auto"/>
            <w:vAlign w:val="center"/>
          </w:tcPr>
          <w:p w14:paraId="386F9FC2">
            <w:pPr>
              <w:adjustRightInd/>
              <w:snapToGrid/>
              <w:spacing w:line="240" w:lineRule="exact"/>
              <w:jc w:val="center"/>
              <w:rPr>
                <w:color w:val="auto"/>
                <w:sz w:val="16"/>
                <w:szCs w:val="16"/>
                <w:highlight w:val="none"/>
              </w:rPr>
            </w:pPr>
            <w:r>
              <w:rPr>
                <w:rFonts w:hint="eastAsia"/>
                <w:color w:val="auto"/>
                <w:sz w:val="16"/>
                <w:szCs w:val="16"/>
                <w:highlight w:val="none"/>
              </w:rPr>
              <w:t>/</w:t>
            </w:r>
          </w:p>
        </w:tc>
        <w:tc>
          <w:tcPr>
            <w:tcW w:w="727" w:type="dxa"/>
            <w:shd w:val="clear" w:color="auto" w:fill="auto"/>
            <w:vAlign w:val="center"/>
          </w:tcPr>
          <w:p w14:paraId="7D53A507">
            <w:pPr>
              <w:adjustRightInd/>
              <w:snapToGrid/>
              <w:spacing w:line="240" w:lineRule="exact"/>
              <w:jc w:val="center"/>
              <w:rPr>
                <w:color w:val="auto"/>
                <w:sz w:val="16"/>
                <w:szCs w:val="16"/>
                <w:highlight w:val="none"/>
              </w:rPr>
            </w:pPr>
            <w:r>
              <w:rPr>
                <w:color w:val="auto"/>
                <w:sz w:val="16"/>
                <w:szCs w:val="16"/>
                <w:highlight w:val="none"/>
              </w:rPr>
              <w:t>/</w:t>
            </w:r>
          </w:p>
        </w:tc>
        <w:tc>
          <w:tcPr>
            <w:tcW w:w="997" w:type="dxa"/>
            <w:gridSpan w:val="2"/>
            <w:shd w:val="clear" w:color="auto" w:fill="auto"/>
            <w:vAlign w:val="center"/>
          </w:tcPr>
          <w:p w14:paraId="0ECA868A">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gridSpan w:val="2"/>
            <w:shd w:val="clear" w:color="auto" w:fill="auto"/>
            <w:vAlign w:val="center"/>
          </w:tcPr>
          <w:p w14:paraId="0C5B36A9">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109" w:type="dxa"/>
            <w:gridSpan w:val="2"/>
            <w:shd w:val="clear" w:color="auto" w:fill="auto"/>
            <w:vAlign w:val="center"/>
          </w:tcPr>
          <w:p w14:paraId="18067CB2">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889" w:type="dxa"/>
            <w:gridSpan w:val="3"/>
            <w:shd w:val="clear" w:color="auto" w:fill="auto"/>
            <w:vAlign w:val="center"/>
          </w:tcPr>
          <w:p w14:paraId="0F6339BB">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6C9C8705">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97" w:type="dxa"/>
            <w:shd w:val="clear" w:color="auto" w:fill="auto"/>
            <w:vAlign w:val="center"/>
          </w:tcPr>
          <w:p w14:paraId="1E2BA63D">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1223" w:type="dxa"/>
            <w:gridSpan w:val="2"/>
            <w:shd w:val="clear" w:color="auto" w:fill="auto"/>
            <w:vAlign w:val="center"/>
          </w:tcPr>
          <w:p w14:paraId="40F8AF1E">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shd w:val="clear" w:color="auto" w:fill="auto"/>
            <w:vAlign w:val="center"/>
          </w:tcPr>
          <w:p w14:paraId="496A42EE">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1" w:type="dxa"/>
            <w:gridSpan w:val="3"/>
            <w:shd w:val="clear" w:color="auto" w:fill="auto"/>
            <w:vAlign w:val="center"/>
          </w:tcPr>
          <w:p w14:paraId="0DBA98F0">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40" w:type="dxa"/>
            <w:gridSpan w:val="2"/>
            <w:shd w:val="clear" w:color="auto" w:fill="auto"/>
            <w:vAlign w:val="center"/>
          </w:tcPr>
          <w:p w14:paraId="2EF80133">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c>
          <w:tcPr>
            <w:tcW w:w="950" w:type="dxa"/>
            <w:gridSpan w:val="2"/>
            <w:shd w:val="clear" w:color="auto" w:fill="auto"/>
            <w:vAlign w:val="center"/>
          </w:tcPr>
          <w:p w14:paraId="24EF47AF">
            <w:pPr>
              <w:adjustRightInd/>
              <w:snapToGrid/>
              <w:spacing w:line="240" w:lineRule="exact"/>
              <w:jc w:val="center"/>
              <w:rPr>
                <w:rFonts w:hint="eastAsia" w:ascii="Times New Roman" w:hAnsi="Times New Roman" w:eastAsia="宋体" w:cs="Times New Roman"/>
                <w:color w:val="auto"/>
                <w:sz w:val="16"/>
                <w:szCs w:val="16"/>
                <w:highlight w:val="none"/>
              </w:rPr>
            </w:pPr>
            <w:r>
              <w:rPr>
                <w:rFonts w:hint="eastAsia" w:ascii="Times New Roman" w:hAnsi="Times New Roman" w:eastAsia="宋体" w:cs="Times New Roman"/>
                <w:color w:val="auto"/>
                <w:sz w:val="16"/>
                <w:szCs w:val="16"/>
                <w:highlight w:val="none"/>
              </w:rPr>
              <w:t>/</w:t>
            </w:r>
          </w:p>
        </w:tc>
      </w:tr>
    </w:tbl>
    <w:p w14:paraId="7641064A">
      <w:pPr>
        <w:adjustRightInd/>
        <w:snapToGrid/>
        <w:rPr>
          <w:color w:val="auto"/>
          <w:highlight w:val="none"/>
        </w:rPr>
      </w:pPr>
      <w:r>
        <w:rPr>
          <w:rFonts w:hint="eastAsia"/>
          <w:color w:val="auto"/>
          <w:highlight w:val="none"/>
        </w:rPr>
        <w:t>注：1、排放增减量：(+)表示增加，(-)表示减少。2、(12)=(6)-(8)-(11)，(9)=(4)-(5)-(8)-(11)+(1)。3、计量单位：废水排放量——万吨/年；废气排放量——万立方米/年；工业固体废物排放量——万吨/年；水污染物排放浓度——毫克/升；水污染物排放量——吨/年；大气污染物排放量——吨/年。</w:t>
      </w:r>
    </w:p>
    <w:sectPr>
      <w:pgSz w:w="16838" w:h="11906" w:orient="landscape"/>
      <w:pgMar w:top="1134" w:right="1418" w:bottom="1134" w:left="1418" w:header="851" w:footer="850"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5F" w:usb2="00000000" w:usb3="00000000" w:csb0="2000019F" w:csb1="00000000"/>
  </w:font>
  <w:font w:name="楷体">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TimesNewRoman">
    <w:altName w:val="Times New Roman"/>
    <w:panose1 w:val="00000000000000000000"/>
    <w:charset w:val="01"/>
    <w:family w:val="roman"/>
    <w:pitch w:val="default"/>
    <w:sig w:usb0="00000000" w:usb1="00000000" w:usb2="00000010" w:usb3="00000000" w:csb0="00040001" w:csb1="00000000"/>
  </w:font>
  <w:font w:name="Wingdings 2">
    <w:panose1 w:val="05020102010507070707"/>
    <w:charset w:val="02"/>
    <w:family w:val="roman"/>
    <w:pitch w:val="default"/>
    <w:sig w:usb0="00000000" w:usb1="00000000" w:usb2="00000000" w:usb3="00000000" w:csb0="80000000" w:csb1="00000000"/>
  </w:font>
  <w:font w:name="Segoe UI Symbol">
    <w:panose1 w:val="020B0502040204020203"/>
    <w:charset w:val="00"/>
    <w:family w:val="swiss"/>
    <w:pitch w:val="default"/>
    <w:sig w:usb0="8000006F" w:usb1="1200FBEF" w:usb2="0064C000" w:usb3="00000002"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B4C535">
    <w:pPr>
      <w:pStyle w:val="18"/>
      <w:pBdr>
        <w:top w:val="thinThickSmallGap" w:color="auto" w:sz="24" w:space="1"/>
      </w:pBdr>
    </w:pPr>
    <w:r>
      <w:rPr>
        <w:rFonts w:hint="eastAsia"/>
      </w:rPr>
      <w:t>武汉智汇元环保科技有限公司</w:t>
    </w: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F033BB">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30F033BB">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97C59">
    <w:pPr>
      <w:pStyle w:val="18"/>
      <w:pBdr>
        <w:top w:val="thinThickSmallGap" w:color="auto" w:sz="24" w:space="1"/>
      </w:pBdr>
    </w:pPr>
    <w:r>
      <w:rPr>
        <w:rFonts w:hint="eastAsia"/>
      </w:rPr>
      <w:t>武汉智汇元环保科技有限公司</w:t>
    </w: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BC3F1B">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24BC3F1B">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CBE68">
    <w:pPr>
      <w:pStyle w:val="19"/>
      <w:pBdr>
        <w:bottom w:val="thickThinSmallGap" w:color="auto" w:sz="24" w:space="1"/>
      </w:pBdr>
      <w:tabs>
        <w:tab w:val="left" w:pos="2295"/>
        <w:tab w:val="center" w:pos="4513"/>
      </w:tabs>
      <w:rPr>
        <w:rFonts w:ascii="宋体" w:hAnsi="宋体"/>
        <w:sz w:val="16"/>
        <w:szCs w:val="20"/>
      </w:rPr>
    </w:pPr>
    <w:r>
      <w:rPr>
        <w:rFonts w:hint="eastAsia"/>
        <w:color w:val="000000"/>
        <w:sz w:val="16"/>
        <w:szCs w:val="20"/>
        <w:lang w:eastAsia="zh-CN"/>
      </w:rPr>
      <w:t>武汉市江夏长山口生活垃圾卫生填埋场填埋气利用发电项目（续建工程）</w:t>
    </w:r>
    <w:r>
      <w:rPr>
        <w:rFonts w:hint="eastAsia"/>
        <w:color w:val="000000"/>
        <w:sz w:val="16"/>
        <w:szCs w:val="20"/>
      </w:rPr>
      <w:t>竣工环境保护验收监测报告表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8E87DE6"/>
    <w:multiLevelType w:val="multilevel"/>
    <w:tmpl w:val="E8E87DE6"/>
    <w:lvl w:ilvl="0" w:tentative="0">
      <w:start w:val="1"/>
      <w:numFmt w:val="decimal"/>
      <w:lvlText w:val="图%1"/>
      <w:lvlJc w:val="left"/>
      <w:pPr>
        <w:tabs>
          <w:tab w:val="left" w:pos="3516"/>
        </w:tabs>
      </w:pPr>
      <w:rPr>
        <w:rFonts w:hint="default" w:ascii="Times New Roman" w:hAnsi="Times New Roman" w:eastAsia="黑体" w:cs="Times New Roman"/>
        <w:b w:val="0"/>
        <w:bCs w:val="0"/>
        <w:sz w:val="21"/>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
    <w:nsid w:val="078D26ED"/>
    <w:multiLevelType w:val="singleLevel"/>
    <w:tmpl w:val="078D26ED"/>
    <w:lvl w:ilvl="0" w:tentative="0">
      <w:start w:val="1"/>
      <w:numFmt w:val="decimal"/>
      <w:suff w:val="nothing"/>
      <w:lvlText w:val="（%1）"/>
      <w:lvlJc w:val="left"/>
    </w:lvl>
  </w:abstractNum>
  <w:abstractNum w:abstractNumId="2">
    <w:nsid w:val="09536ED4"/>
    <w:multiLevelType w:val="multilevel"/>
    <w:tmpl w:val="09536ED4"/>
    <w:lvl w:ilvl="0" w:tentative="0">
      <w:start w:val="1"/>
      <w:numFmt w:val="chineseCountingThousand"/>
      <w:suff w:val="space"/>
      <w:lvlText w:val="%1."/>
      <w:lvlJc w:val="left"/>
      <w:pPr>
        <w:ind w:left="420" w:hanging="420"/>
      </w:pPr>
      <w:rPr>
        <w:rFonts w:hint="eastAsia"/>
      </w:rPr>
    </w:lvl>
    <w:lvl w:ilvl="1" w:tentative="0">
      <w:start w:val="1"/>
      <w:numFmt w:val="decimal"/>
      <w:isLgl/>
      <w:suff w:val="space"/>
      <w:lvlText w:val="%1.%2"/>
      <w:lvlJc w:val="left"/>
      <w:pPr>
        <w:ind w:left="0" w:firstLine="0"/>
      </w:pPr>
      <w:rPr>
        <w:rFonts w:hint="eastAsia"/>
      </w:rPr>
    </w:lvl>
    <w:lvl w:ilvl="2" w:tentative="0">
      <w:start w:val="1"/>
      <w:numFmt w:val="decimal"/>
      <w:pStyle w:val="141"/>
      <w:isLgl/>
      <w:suff w:val="space"/>
      <w:lvlText w:val="%1.%2.%3"/>
      <w:lvlJc w:val="left"/>
      <w:pPr>
        <w:ind w:left="0" w:firstLine="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0A4476F4"/>
    <w:multiLevelType w:val="multilevel"/>
    <w:tmpl w:val="0A4476F4"/>
    <w:lvl w:ilvl="0" w:tentative="0">
      <w:start w:val="1"/>
      <w:numFmt w:val="decimal"/>
      <w:pStyle w:val="88"/>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17C80CE3"/>
    <w:multiLevelType w:val="multilevel"/>
    <w:tmpl w:val="17C80CE3"/>
    <w:lvl w:ilvl="0" w:tentative="0">
      <w:start w:val="1"/>
      <w:numFmt w:val="decimal"/>
      <w:pStyle w:val="121"/>
      <w:lvlText w:val="表%1"/>
      <w:lvlJc w:val="left"/>
      <w:pPr>
        <w:tabs>
          <w:tab w:val="left" w:pos="680"/>
        </w:tabs>
        <w:ind w:left="0" w:firstLine="0"/>
      </w:pPr>
      <w:rPr>
        <w:rFonts w:hint="default" w:ascii="Times New Roman" w:hAnsi="Times New Roman" w:eastAsia="黑体" w:cs="Times New Roman"/>
        <w:sz w:val="21"/>
        <w:highlight w:val="none"/>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4A9E4D30"/>
    <w:multiLevelType w:val="multilevel"/>
    <w:tmpl w:val="4A9E4D30"/>
    <w:lvl w:ilvl="0" w:tentative="0">
      <w:start w:val="1"/>
      <w:numFmt w:val="none"/>
      <w:suff w:val="nothing"/>
      <w:lvlText w:val="合格"/>
      <w:lvlJc w:val="center"/>
      <w:pPr>
        <w:ind w:left="0" w:firstLine="170"/>
      </w:pPr>
      <w:rPr>
        <w:rFonts w:hint="default" w:ascii="Times New Roman" w:hAnsi="Times New Roman" w:cs="Times New Roman"/>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3"/>
  </w:num>
  <w:num w:numId="2">
    <w:abstractNumId w:val="4"/>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JjZmM4NmVmMzczZGM5OTk3MWE1MjVjNDQ5ZjcwNWMifQ=="/>
  </w:docVars>
  <w:rsids>
    <w:rsidRoot w:val="00172A27"/>
    <w:rsid w:val="00000F5A"/>
    <w:rsid w:val="00001AFD"/>
    <w:rsid w:val="00001FD0"/>
    <w:rsid w:val="000032A2"/>
    <w:rsid w:val="00007F0C"/>
    <w:rsid w:val="00012A71"/>
    <w:rsid w:val="00015025"/>
    <w:rsid w:val="00016074"/>
    <w:rsid w:val="00016477"/>
    <w:rsid w:val="000169E8"/>
    <w:rsid w:val="00016AA6"/>
    <w:rsid w:val="000202A7"/>
    <w:rsid w:val="00022942"/>
    <w:rsid w:val="00024297"/>
    <w:rsid w:val="0002641B"/>
    <w:rsid w:val="000274B7"/>
    <w:rsid w:val="0002777B"/>
    <w:rsid w:val="00031B1E"/>
    <w:rsid w:val="00031BF5"/>
    <w:rsid w:val="0003203B"/>
    <w:rsid w:val="00032F46"/>
    <w:rsid w:val="000330BD"/>
    <w:rsid w:val="000346A0"/>
    <w:rsid w:val="00034D7A"/>
    <w:rsid w:val="00034E3E"/>
    <w:rsid w:val="000355BD"/>
    <w:rsid w:val="00036281"/>
    <w:rsid w:val="00037419"/>
    <w:rsid w:val="000402E3"/>
    <w:rsid w:val="00040457"/>
    <w:rsid w:val="000443CE"/>
    <w:rsid w:val="000446F4"/>
    <w:rsid w:val="000463FF"/>
    <w:rsid w:val="00046635"/>
    <w:rsid w:val="00046C17"/>
    <w:rsid w:val="00047397"/>
    <w:rsid w:val="00047B73"/>
    <w:rsid w:val="00047C27"/>
    <w:rsid w:val="00047C8B"/>
    <w:rsid w:val="00050522"/>
    <w:rsid w:val="00050580"/>
    <w:rsid w:val="00050C88"/>
    <w:rsid w:val="00050E94"/>
    <w:rsid w:val="00051BBA"/>
    <w:rsid w:val="00051BE7"/>
    <w:rsid w:val="000534BC"/>
    <w:rsid w:val="00053DD0"/>
    <w:rsid w:val="00054BAC"/>
    <w:rsid w:val="00055381"/>
    <w:rsid w:val="000554EC"/>
    <w:rsid w:val="00055A40"/>
    <w:rsid w:val="00055A56"/>
    <w:rsid w:val="00055B11"/>
    <w:rsid w:val="00055CDF"/>
    <w:rsid w:val="00056A2A"/>
    <w:rsid w:val="00060180"/>
    <w:rsid w:val="0006054F"/>
    <w:rsid w:val="000605FE"/>
    <w:rsid w:val="00061E20"/>
    <w:rsid w:val="000636B2"/>
    <w:rsid w:val="00063CA4"/>
    <w:rsid w:val="00064209"/>
    <w:rsid w:val="00065E88"/>
    <w:rsid w:val="00066292"/>
    <w:rsid w:val="0006692C"/>
    <w:rsid w:val="00067071"/>
    <w:rsid w:val="000673E1"/>
    <w:rsid w:val="00067B38"/>
    <w:rsid w:val="000718A5"/>
    <w:rsid w:val="00073F81"/>
    <w:rsid w:val="00074191"/>
    <w:rsid w:val="000747BC"/>
    <w:rsid w:val="0007480A"/>
    <w:rsid w:val="00074D2F"/>
    <w:rsid w:val="00074FE8"/>
    <w:rsid w:val="000753A3"/>
    <w:rsid w:val="00075899"/>
    <w:rsid w:val="00075E16"/>
    <w:rsid w:val="00076359"/>
    <w:rsid w:val="00076830"/>
    <w:rsid w:val="000775B3"/>
    <w:rsid w:val="000776A1"/>
    <w:rsid w:val="0007786D"/>
    <w:rsid w:val="0008044E"/>
    <w:rsid w:val="0008067F"/>
    <w:rsid w:val="000819E8"/>
    <w:rsid w:val="00082255"/>
    <w:rsid w:val="000834A5"/>
    <w:rsid w:val="00084B20"/>
    <w:rsid w:val="00085202"/>
    <w:rsid w:val="00085B8D"/>
    <w:rsid w:val="00085EDC"/>
    <w:rsid w:val="000860E6"/>
    <w:rsid w:val="0008706F"/>
    <w:rsid w:val="0008717A"/>
    <w:rsid w:val="000877D4"/>
    <w:rsid w:val="00090206"/>
    <w:rsid w:val="000905C0"/>
    <w:rsid w:val="00090C20"/>
    <w:rsid w:val="0009141C"/>
    <w:rsid w:val="000915B0"/>
    <w:rsid w:val="00092791"/>
    <w:rsid w:val="000931F3"/>
    <w:rsid w:val="00093F36"/>
    <w:rsid w:val="0009408C"/>
    <w:rsid w:val="0009542D"/>
    <w:rsid w:val="000960CE"/>
    <w:rsid w:val="00097722"/>
    <w:rsid w:val="000977AE"/>
    <w:rsid w:val="000A14C7"/>
    <w:rsid w:val="000A173E"/>
    <w:rsid w:val="000A1CC2"/>
    <w:rsid w:val="000A1E32"/>
    <w:rsid w:val="000A223B"/>
    <w:rsid w:val="000A3D72"/>
    <w:rsid w:val="000A4C64"/>
    <w:rsid w:val="000A5742"/>
    <w:rsid w:val="000A5977"/>
    <w:rsid w:val="000A5AFC"/>
    <w:rsid w:val="000A65F0"/>
    <w:rsid w:val="000A7A04"/>
    <w:rsid w:val="000B009A"/>
    <w:rsid w:val="000B0310"/>
    <w:rsid w:val="000B0C48"/>
    <w:rsid w:val="000B0DFC"/>
    <w:rsid w:val="000B0F7B"/>
    <w:rsid w:val="000B19B9"/>
    <w:rsid w:val="000B1A4B"/>
    <w:rsid w:val="000B3AFD"/>
    <w:rsid w:val="000B4779"/>
    <w:rsid w:val="000B4F71"/>
    <w:rsid w:val="000B5014"/>
    <w:rsid w:val="000B5123"/>
    <w:rsid w:val="000B5960"/>
    <w:rsid w:val="000B626B"/>
    <w:rsid w:val="000B7116"/>
    <w:rsid w:val="000C00BD"/>
    <w:rsid w:val="000C20F3"/>
    <w:rsid w:val="000C21F7"/>
    <w:rsid w:val="000C294D"/>
    <w:rsid w:val="000C3586"/>
    <w:rsid w:val="000C3E4D"/>
    <w:rsid w:val="000C4068"/>
    <w:rsid w:val="000C428B"/>
    <w:rsid w:val="000C489C"/>
    <w:rsid w:val="000C4B3C"/>
    <w:rsid w:val="000C705E"/>
    <w:rsid w:val="000C7A62"/>
    <w:rsid w:val="000D0C29"/>
    <w:rsid w:val="000D22F9"/>
    <w:rsid w:val="000D249F"/>
    <w:rsid w:val="000D2967"/>
    <w:rsid w:val="000D4552"/>
    <w:rsid w:val="000D4708"/>
    <w:rsid w:val="000D5331"/>
    <w:rsid w:val="000D58BE"/>
    <w:rsid w:val="000D5AEC"/>
    <w:rsid w:val="000D6120"/>
    <w:rsid w:val="000D7151"/>
    <w:rsid w:val="000D71E3"/>
    <w:rsid w:val="000E0575"/>
    <w:rsid w:val="000E0C6A"/>
    <w:rsid w:val="000E1157"/>
    <w:rsid w:val="000E2373"/>
    <w:rsid w:val="000E2418"/>
    <w:rsid w:val="000E2988"/>
    <w:rsid w:val="000E2F46"/>
    <w:rsid w:val="000E3B4C"/>
    <w:rsid w:val="000E3E68"/>
    <w:rsid w:val="000E3F43"/>
    <w:rsid w:val="000E4119"/>
    <w:rsid w:val="000E4497"/>
    <w:rsid w:val="000E4E7C"/>
    <w:rsid w:val="000E5BE8"/>
    <w:rsid w:val="000E6D6B"/>
    <w:rsid w:val="000E7A99"/>
    <w:rsid w:val="000E7DAC"/>
    <w:rsid w:val="000F020C"/>
    <w:rsid w:val="000F0B38"/>
    <w:rsid w:val="000F14C9"/>
    <w:rsid w:val="000F5135"/>
    <w:rsid w:val="000F586B"/>
    <w:rsid w:val="000F5DBF"/>
    <w:rsid w:val="000F60AF"/>
    <w:rsid w:val="000F72A2"/>
    <w:rsid w:val="000F7F54"/>
    <w:rsid w:val="00100A97"/>
    <w:rsid w:val="00101858"/>
    <w:rsid w:val="00102883"/>
    <w:rsid w:val="0010371C"/>
    <w:rsid w:val="00104D35"/>
    <w:rsid w:val="0010507B"/>
    <w:rsid w:val="00110530"/>
    <w:rsid w:val="00111451"/>
    <w:rsid w:val="00113E52"/>
    <w:rsid w:val="00113FC0"/>
    <w:rsid w:val="00115200"/>
    <w:rsid w:val="0011558C"/>
    <w:rsid w:val="001160FB"/>
    <w:rsid w:val="001168F7"/>
    <w:rsid w:val="00117C9A"/>
    <w:rsid w:val="00120AE0"/>
    <w:rsid w:val="00122FF9"/>
    <w:rsid w:val="001238AE"/>
    <w:rsid w:val="00123F8C"/>
    <w:rsid w:val="001244D8"/>
    <w:rsid w:val="001244EB"/>
    <w:rsid w:val="00125E53"/>
    <w:rsid w:val="0012610F"/>
    <w:rsid w:val="00126D43"/>
    <w:rsid w:val="0012799F"/>
    <w:rsid w:val="0013066F"/>
    <w:rsid w:val="0013134A"/>
    <w:rsid w:val="0013206B"/>
    <w:rsid w:val="001332B0"/>
    <w:rsid w:val="00133604"/>
    <w:rsid w:val="0013376D"/>
    <w:rsid w:val="00133D71"/>
    <w:rsid w:val="0013516A"/>
    <w:rsid w:val="001374DD"/>
    <w:rsid w:val="001374F5"/>
    <w:rsid w:val="00137554"/>
    <w:rsid w:val="001379F6"/>
    <w:rsid w:val="00137E7B"/>
    <w:rsid w:val="00140364"/>
    <w:rsid w:val="00140AB3"/>
    <w:rsid w:val="00141ED4"/>
    <w:rsid w:val="00142AD2"/>
    <w:rsid w:val="00143519"/>
    <w:rsid w:val="00143EF0"/>
    <w:rsid w:val="001440B1"/>
    <w:rsid w:val="001447D7"/>
    <w:rsid w:val="001457EB"/>
    <w:rsid w:val="00145DB9"/>
    <w:rsid w:val="00146BEA"/>
    <w:rsid w:val="00147B49"/>
    <w:rsid w:val="00147E77"/>
    <w:rsid w:val="0015031D"/>
    <w:rsid w:val="001503AD"/>
    <w:rsid w:val="001507D0"/>
    <w:rsid w:val="00151B1E"/>
    <w:rsid w:val="001530ED"/>
    <w:rsid w:val="00153257"/>
    <w:rsid w:val="001533DD"/>
    <w:rsid w:val="001538AE"/>
    <w:rsid w:val="001545A3"/>
    <w:rsid w:val="00154B9F"/>
    <w:rsid w:val="00154F9F"/>
    <w:rsid w:val="0015582B"/>
    <w:rsid w:val="00156C11"/>
    <w:rsid w:val="00157746"/>
    <w:rsid w:val="00157C50"/>
    <w:rsid w:val="00161781"/>
    <w:rsid w:val="001618BF"/>
    <w:rsid w:val="001621E3"/>
    <w:rsid w:val="0016304F"/>
    <w:rsid w:val="00163366"/>
    <w:rsid w:val="00163B6B"/>
    <w:rsid w:val="00163E33"/>
    <w:rsid w:val="001641F5"/>
    <w:rsid w:val="001653AC"/>
    <w:rsid w:val="00165D25"/>
    <w:rsid w:val="00166142"/>
    <w:rsid w:val="00166550"/>
    <w:rsid w:val="00166FBB"/>
    <w:rsid w:val="00167C27"/>
    <w:rsid w:val="001709B5"/>
    <w:rsid w:val="00170AF9"/>
    <w:rsid w:val="00171376"/>
    <w:rsid w:val="00171DFA"/>
    <w:rsid w:val="001721CA"/>
    <w:rsid w:val="00172B99"/>
    <w:rsid w:val="00173DDB"/>
    <w:rsid w:val="00174E45"/>
    <w:rsid w:val="001764B7"/>
    <w:rsid w:val="00176C3B"/>
    <w:rsid w:val="001773AC"/>
    <w:rsid w:val="00177850"/>
    <w:rsid w:val="00177D2B"/>
    <w:rsid w:val="00177DD0"/>
    <w:rsid w:val="00180341"/>
    <w:rsid w:val="00180A34"/>
    <w:rsid w:val="00181B2E"/>
    <w:rsid w:val="001823FA"/>
    <w:rsid w:val="001828CE"/>
    <w:rsid w:val="00182912"/>
    <w:rsid w:val="0018402B"/>
    <w:rsid w:val="0018612D"/>
    <w:rsid w:val="00186C94"/>
    <w:rsid w:val="00187B8F"/>
    <w:rsid w:val="00190B52"/>
    <w:rsid w:val="00191FD0"/>
    <w:rsid w:val="0019207F"/>
    <w:rsid w:val="00193EE2"/>
    <w:rsid w:val="001948ED"/>
    <w:rsid w:val="00194D15"/>
    <w:rsid w:val="001962E1"/>
    <w:rsid w:val="00196765"/>
    <w:rsid w:val="00197186"/>
    <w:rsid w:val="001A037C"/>
    <w:rsid w:val="001A0FF7"/>
    <w:rsid w:val="001A15E4"/>
    <w:rsid w:val="001A36F7"/>
    <w:rsid w:val="001A437E"/>
    <w:rsid w:val="001A526C"/>
    <w:rsid w:val="001A643F"/>
    <w:rsid w:val="001A6E06"/>
    <w:rsid w:val="001A7CA6"/>
    <w:rsid w:val="001B01C5"/>
    <w:rsid w:val="001B0386"/>
    <w:rsid w:val="001B0B0E"/>
    <w:rsid w:val="001B197B"/>
    <w:rsid w:val="001B2972"/>
    <w:rsid w:val="001B29CF"/>
    <w:rsid w:val="001B3F5A"/>
    <w:rsid w:val="001B4098"/>
    <w:rsid w:val="001B5EED"/>
    <w:rsid w:val="001B771B"/>
    <w:rsid w:val="001B77FD"/>
    <w:rsid w:val="001B792B"/>
    <w:rsid w:val="001C00E7"/>
    <w:rsid w:val="001C0C3E"/>
    <w:rsid w:val="001C2626"/>
    <w:rsid w:val="001C2CC6"/>
    <w:rsid w:val="001C3EBB"/>
    <w:rsid w:val="001C47B3"/>
    <w:rsid w:val="001C4D67"/>
    <w:rsid w:val="001C5279"/>
    <w:rsid w:val="001C57B6"/>
    <w:rsid w:val="001C5823"/>
    <w:rsid w:val="001C5AAA"/>
    <w:rsid w:val="001C755F"/>
    <w:rsid w:val="001C7A03"/>
    <w:rsid w:val="001D001A"/>
    <w:rsid w:val="001D06C1"/>
    <w:rsid w:val="001D0BDB"/>
    <w:rsid w:val="001D0E85"/>
    <w:rsid w:val="001D13E7"/>
    <w:rsid w:val="001D195B"/>
    <w:rsid w:val="001D232B"/>
    <w:rsid w:val="001D2F60"/>
    <w:rsid w:val="001D4037"/>
    <w:rsid w:val="001D4DCF"/>
    <w:rsid w:val="001D5139"/>
    <w:rsid w:val="001D62D3"/>
    <w:rsid w:val="001D6974"/>
    <w:rsid w:val="001D7028"/>
    <w:rsid w:val="001E044E"/>
    <w:rsid w:val="001E04AA"/>
    <w:rsid w:val="001E178C"/>
    <w:rsid w:val="001E378B"/>
    <w:rsid w:val="001E39EB"/>
    <w:rsid w:val="001E3DE0"/>
    <w:rsid w:val="001E3FC6"/>
    <w:rsid w:val="001E417F"/>
    <w:rsid w:val="001E5128"/>
    <w:rsid w:val="001E59ED"/>
    <w:rsid w:val="001E5FF5"/>
    <w:rsid w:val="001E64A4"/>
    <w:rsid w:val="001E6D35"/>
    <w:rsid w:val="001E6F6D"/>
    <w:rsid w:val="001E73FC"/>
    <w:rsid w:val="001F0586"/>
    <w:rsid w:val="001F0C22"/>
    <w:rsid w:val="001F0C72"/>
    <w:rsid w:val="001F0E00"/>
    <w:rsid w:val="001F2347"/>
    <w:rsid w:val="001F2E7A"/>
    <w:rsid w:val="001F4416"/>
    <w:rsid w:val="001F505C"/>
    <w:rsid w:val="001F6709"/>
    <w:rsid w:val="001F70E2"/>
    <w:rsid w:val="001F778A"/>
    <w:rsid w:val="001F7A0E"/>
    <w:rsid w:val="00200057"/>
    <w:rsid w:val="002001AD"/>
    <w:rsid w:val="0020090E"/>
    <w:rsid w:val="0020135E"/>
    <w:rsid w:val="00202BD2"/>
    <w:rsid w:val="00204A69"/>
    <w:rsid w:val="0020521A"/>
    <w:rsid w:val="002057B6"/>
    <w:rsid w:val="002058B3"/>
    <w:rsid w:val="00205BC0"/>
    <w:rsid w:val="00205E43"/>
    <w:rsid w:val="00206135"/>
    <w:rsid w:val="00206DA8"/>
    <w:rsid w:val="00206F58"/>
    <w:rsid w:val="002073A2"/>
    <w:rsid w:val="002074E1"/>
    <w:rsid w:val="002079A6"/>
    <w:rsid w:val="002101BF"/>
    <w:rsid w:val="002103D3"/>
    <w:rsid w:val="00210668"/>
    <w:rsid w:val="00211126"/>
    <w:rsid w:val="002111BE"/>
    <w:rsid w:val="0021135F"/>
    <w:rsid w:val="0021163E"/>
    <w:rsid w:val="00211A8A"/>
    <w:rsid w:val="00212F33"/>
    <w:rsid w:val="00214617"/>
    <w:rsid w:val="002147B9"/>
    <w:rsid w:val="00214F9A"/>
    <w:rsid w:val="00216253"/>
    <w:rsid w:val="0021748A"/>
    <w:rsid w:val="00220653"/>
    <w:rsid w:val="00221F07"/>
    <w:rsid w:val="0022217F"/>
    <w:rsid w:val="002227DB"/>
    <w:rsid w:val="00222FBF"/>
    <w:rsid w:val="00224807"/>
    <w:rsid w:val="00224CED"/>
    <w:rsid w:val="00224E73"/>
    <w:rsid w:val="00225681"/>
    <w:rsid w:val="00227269"/>
    <w:rsid w:val="0022771D"/>
    <w:rsid w:val="00227B3D"/>
    <w:rsid w:val="00227C2C"/>
    <w:rsid w:val="00227F2F"/>
    <w:rsid w:val="002303B8"/>
    <w:rsid w:val="002306DC"/>
    <w:rsid w:val="0023331E"/>
    <w:rsid w:val="00233AB5"/>
    <w:rsid w:val="00236C09"/>
    <w:rsid w:val="0023777A"/>
    <w:rsid w:val="00240966"/>
    <w:rsid w:val="00240979"/>
    <w:rsid w:val="00241594"/>
    <w:rsid w:val="0024168B"/>
    <w:rsid w:val="00241EC5"/>
    <w:rsid w:val="0024242B"/>
    <w:rsid w:val="00242730"/>
    <w:rsid w:val="00242B90"/>
    <w:rsid w:val="00243383"/>
    <w:rsid w:val="00243576"/>
    <w:rsid w:val="00243FD7"/>
    <w:rsid w:val="00245A36"/>
    <w:rsid w:val="00247BA2"/>
    <w:rsid w:val="0025045F"/>
    <w:rsid w:val="00252985"/>
    <w:rsid w:val="0025336E"/>
    <w:rsid w:val="00254BF9"/>
    <w:rsid w:val="00254FE2"/>
    <w:rsid w:val="002552BB"/>
    <w:rsid w:val="00256178"/>
    <w:rsid w:val="00256D57"/>
    <w:rsid w:val="00256FF9"/>
    <w:rsid w:val="00257B8A"/>
    <w:rsid w:val="00257C37"/>
    <w:rsid w:val="002614CE"/>
    <w:rsid w:val="00262B30"/>
    <w:rsid w:val="0026385F"/>
    <w:rsid w:val="00263B30"/>
    <w:rsid w:val="00265476"/>
    <w:rsid w:val="00265CA8"/>
    <w:rsid w:val="00265E42"/>
    <w:rsid w:val="002677F9"/>
    <w:rsid w:val="0026790C"/>
    <w:rsid w:val="00267E15"/>
    <w:rsid w:val="002705DA"/>
    <w:rsid w:val="00270A41"/>
    <w:rsid w:val="0027149F"/>
    <w:rsid w:val="00274105"/>
    <w:rsid w:val="002754FF"/>
    <w:rsid w:val="0027648D"/>
    <w:rsid w:val="0027698B"/>
    <w:rsid w:val="00276C90"/>
    <w:rsid w:val="00276DEC"/>
    <w:rsid w:val="0027766C"/>
    <w:rsid w:val="002802AF"/>
    <w:rsid w:val="00281038"/>
    <w:rsid w:val="00282CBE"/>
    <w:rsid w:val="00283BD0"/>
    <w:rsid w:val="00285BD6"/>
    <w:rsid w:val="00290145"/>
    <w:rsid w:val="00290B06"/>
    <w:rsid w:val="00290FE5"/>
    <w:rsid w:val="00291E32"/>
    <w:rsid w:val="0029234A"/>
    <w:rsid w:val="00293D99"/>
    <w:rsid w:val="00293DFB"/>
    <w:rsid w:val="00293E92"/>
    <w:rsid w:val="00294276"/>
    <w:rsid w:val="00294A37"/>
    <w:rsid w:val="002950C9"/>
    <w:rsid w:val="002952D4"/>
    <w:rsid w:val="00296D24"/>
    <w:rsid w:val="002973B8"/>
    <w:rsid w:val="00297BC2"/>
    <w:rsid w:val="002A0A95"/>
    <w:rsid w:val="002A249E"/>
    <w:rsid w:val="002A3698"/>
    <w:rsid w:val="002A3B61"/>
    <w:rsid w:val="002A488A"/>
    <w:rsid w:val="002A609D"/>
    <w:rsid w:val="002A688D"/>
    <w:rsid w:val="002A69D0"/>
    <w:rsid w:val="002A7B45"/>
    <w:rsid w:val="002B03A1"/>
    <w:rsid w:val="002B0858"/>
    <w:rsid w:val="002B087B"/>
    <w:rsid w:val="002B08E6"/>
    <w:rsid w:val="002B116D"/>
    <w:rsid w:val="002B1468"/>
    <w:rsid w:val="002B1998"/>
    <w:rsid w:val="002B1ADF"/>
    <w:rsid w:val="002B2566"/>
    <w:rsid w:val="002B33FC"/>
    <w:rsid w:val="002B42C3"/>
    <w:rsid w:val="002B5001"/>
    <w:rsid w:val="002B5269"/>
    <w:rsid w:val="002B590A"/>
    <w:rsid w:val="002B5F5A"/>
    <w:rsid w:val="002B6D1E"/>
    <w:rsid w:val="002C0490"/>
    <w:rsid w:val="002C0A6C"/>
    <w:rsid w:val="002C0D93"/>
    <w:rsid w:val="002C12A4"/>
    <w:rsid w:val="002C12AD"/>
    <w:rsid w:val="002C20B3"/>
    <w:rsid w:val="002C2148"/>
    <w:rsid w:val="002C2A21"/>
    <w:rsid w:val="002C2D6C"/>
    <w:rsid w:val="002C32C0"/>
    <w:rsid w:val="002C3571"/>
    <w:rsid w:val="002C3BC7"/>
    <w:rsid w:val="002C4A77"/>
    <w:rsid w:val="002C56FC"/>
    <w:rsid w:val="002C6614"/>
    <w:rsid w:val="002C6C17"/>
    <w:rsid w:val="002C6E6B"/>
    <w:rsid w:val="002C706C"/>
    <w:rsid w:val="002C76C4"/>
    <w:rsid w:val="002D1CE6"/>
    <w:rsid w:val="002D2136"/>
    <w:rsid w:val="002D23E3"/>
    <w:rsid w:val="002D2B75"/>
    <w:rsid w:val="002D3D8C"/>
    <w:rsid w:val="002D54A6"/>
    <w:rsid w:val="002D66C0"/>
    <w:rsid w:val="002E01F7"/>
    <w:rsid w:val="002E025E"/>
    <w:rsid w:val="002E0642"/>
    <w:rsid w:val="002E14F7"/>
    <w:rsid w:val="002E199C"/>
    <w:rsid w:val="002E1F23"/>
    <w:rsid w:val="002E3AD9"/>
    <w:rsid w:val="002E3CAC"/>
    <w:rsid w:val="002E3FB5"/>
    <w:rsid w:val="002E4B55"/>
    <w:rsid w:val="002E4FB4"/>
    <w:rsid w:val="002E60EB"/>
    <w:rsid w:val="002E6EDD"/>
    <w:rsid w:val="002F2372"/>
    <w:rsid w:val="002F361E"/>
    <w:rsid w:val="002F427D"/>
    <w:rsid w:val="002F4985"/>
    <w:rsid w:val="002F5367"/>
    <w:rsid w:val="002F546A"/>
    <w:rsid w:val="002F6FEE"/>
    <w:rsid w:val="002F7443"/>
    <w:rsid w:val="002F7F7B"/>
    <w:rsid w:val="00300E29"/>
    <w:rsid w:val="003016F9"/>
    <w:rsid w:val="003054F3"/>
    <w:rsid w:val="00305D36"/>
    <w:rsid w:val="00306FF9"/>
    <w:rsid w:val="00307010"/>
    <w:rsid w:val="0030704E"/>
    <w:rsid w:val="00310E6C"/>
    <w:rsid w:val="00311018"/>
    <w:rsid w:val="00312BCF"/>
    <w:rsid w:val="00313399"/>
    <w:rsid w:val="00314571"/>
    <w:rsid w:val="003146FE"/>
    <w:rsid w:val="003148E5"/>
    <w:rsid w:val="003153D9"/>
    <w:rsid w:val="0031568A"/>
    <w:rsid w:val="00316AA9"/>
    <w:rsid w:val="00317A5C"/>
    <w:rsid w:val="0032007E"/>
    <w:rsid w:val="003206E9"/>
    <w:rsid w:val="00320B04"/>
    <w:rsid w:val="00321863"/>
    <w:rsid w:val="003218F7"/>
    <w:rsid w:val="00321BF2"/>
    <w:rsid w:val="0032220F"/>
    <w:rsid w:val="0032337B"/>
    <w:rsid w:val="0032504E"/>
    <w:rsid w:val="0032506D"/>
    <w:rsid w:val="00326216"/>
    <w:rsid w:val="00326C7A"/>
    <w:rsid w:val="00326D97"/>
    <w:rsid w:val="003271DF"/>
    <w:rsid w:val="003272D0"/>
    <w:rsid w:val="00327F62"/>
    <w:rsid w:val="00330046"/>
    <w:rsid w:val="0033214D"/>
    <w:rsid w:val="00332996"/>
    <w:rsid w:val="00334195"/>
    <w:rsid w:val="003353C8"/>
    <w:rsid w:val="0033595F"/>
    <w:rsid w:val="0033600C"/>
    <w:rsid w:val="00340601"/>
    <w:rsid w:val="00340E0A"/>
    <w:rsid w:val="00341E9F"/>
    <w:rsid w:val="003423FA"/>
    <w:rsid w:val="0034300E"/>
    <w:rsid w:val="0034372D"/>
    <w:rsid w:val="0034426D"/>
    <w:rsid w:val="003450EA"/>
    <w:rsid w:val="0034535D"/>
    <w:rsid w:val="00345562"/>
    <w:rsid w:val="0034757E"/>
    <w:rsid w:val="00347F77"/>
    <w:rsid w:val="00350AA5"/>
    <w:rsid w:val="00350F78"/>
    <w:rsid w:val="003510D5"/>
    <w:rsid w:val="00352ADF"/>
    <w:rsid w:val="003530EB"/>
    <w:rsid w:val="0035314F"/>
    <w:rsid w:val="00354AFB"/>
    <w:rsid w:val="00354F37"/>
    <w:rsid w:val="00355266"/>
    <w:rsid w:val="0035709A"/>
    <w:rsid w:val="00361D39"/>
    <w:rsid w:val="00362A81"/>
    <w:rsid w:val="00363B96"/>
    <w:rsid w:val="003647BC"/>
    <w:rsid w:val="003647FB"/>
    <w:rsid w:val="003659A9"/>
    <w:rsid w:val="00366F94"/>
    <w:rsid w:val="00367A79"/>
    <w:rsid w:val="003709E4"/>
    <w:rsid w:val="0037143B"/>
    <w:rsid w:val="00371943"/>
    <w:rsid w:val="00372133"/>
    <w:rsid w:val="003728E2"/>
    <w:rsid w:val="0037293D"/>
    <w:rsid w:val="00372C6D"/>
    <w:rsid w:val="0037344F"/>
    <w:rsid w:val="0037509E"/>
    <w:rsid w:val="00376482"/>
    <w:rsid w:val="00376B15"/>
    <w:rsid w:val="00377F29"/>
    <w:rsid w:val="00381020"/>
    <w:rsid w:val="00383E9B"/>
    <w:rsid w:val="0038585B"/>
    <w:rsid w:val="00386BCA"/>
    <w:rsid w:val="00386F9F"/>
    <w:rsid w:val="00386FC4"/>
    <w:rsid w:val="003871E2"/>
    <w:rsid w:val="003879F5"/>
    <w:rsid w:val="00390C8F"/>
    <w:rsid w:val="00391A3B"/>
    <w:rsid w:val="00391A5C"/>
    <w:rsid w:val="00391F62"/>
    <w:rsid w:val="00393708"/>
    <w:rsid w:val="00393D81"/>
    <w:rsid w:val="00395554"/>
    <w:rsid w:val="00395C9C"/>
    <w:rsid w:val="00396779"/>
    <w:rsid w:val="00396E34"/>
    <w:rsid w:val="00396FFB"/>
    <w:rsid w:val="003977B2"/>
    <w:rsid w:val="003A071C"/>
    <w:rsid w:val="003A152B"/>
    <w:rsid w:val="003A1DB7"/>
    <w:rsid w:val="003A1F6C"/>
    <w:rsid w:val="003A25DC"/>
    <w:rsid w:val="003A304E"/>
    <w:rsid w:val="003A380B"/>
    <w:rsid w:val="003A3DD1"/>
    <w:rsid w:val="003A47D2"/>
    <w:rsid w:val="003A71E6"/>
    <w:rsid w:val="003A737C"/>
    <w:rsid w:val="003B249F"/>
    <w:rsid w:val="003B283A"/>
    <w:rsid w:val="003B2DCE"/>
    <w:rsid w:val="003B43ED"/>
    <w:rsid w:val="003B45FE"/>
    <w:rsid w:val="003B49C8"/>
    <w:rsid w:val="003B511A"/>
    <w:rsid w:val="003B5771"/>
    <w:rsid w:val="003B656A"/>
    <w:rsid w:val="003B67A7"/>
    <w:rsid w:val="003B6D43"/>
    <w:rsid w:val="003B7CA2"/>
    <w:rsid w:val="003C0E41"/>
    <w:rsid w:val="003C112A"/>
    <w:rsid w:val="003C195A"/>
    <w:rsid w:val="003C209E"/>
    <w:rsid w:val="003C2627"/>
    <w:rsid w:val="003C2EAC"/>
    <w:rsid w:val="003C443F"/>
    <w:rsid w:val="003C5170"/>
    <w:rsid w:val="003C582E"/>
    <w:rsid w:val="003C5E53"/>
    <w:rsid w:val="003C61CA"/>
    <w:rsid w:val="003C7756"/>
    <w:rsid w:val="003D0566"/>
    <w:rsid w:val="003D11BE"/>
    <w:rsid w:val="003D18B7"/>
    <w:rsid w:val="003D1931"/>
    <w:rsid w:val="003D20AD"/>
    <w:rsid w:val="003D2AE5"/>
    <w:rsid w:val="003D2D31"/>
    <w:rsid w:val="003D3C25"/>
    <w:rsid w:val="003D3F03"/>
    <w:rsid w:val="003D3F9D"/>
    <w:rsid w:val="003D4839"/>
    <w:rsid w:val="003D55E7"/>
    <w:rsid w:val="003D65D7"/>
    <w:rsid w:val="003D7015"/>
    <w:rsid w:val="003D753F"/>
    <w:rsid w:val="003E12DD"/>
    <w:rsid w:val="003E1835"/>
    <w:rsid w:val="003E18C4"/>
    <w:rsid w:val="003E1C98"/>
    <w:rsid w:val="003E2972"/>
    <w:rsid w:val="003E310E"/>
    <w:rsid w:val="003E3DE6"/>
    <w:rsid w:val="003E3ECB"/>
    <w:rsid w:val="003E400F"/>
    <w:rsid w:val="003E4D31"/>
    <w:rsid w:val="003E57B0"/>
    <w:rsid w:val="003E73BA"/>
    <w:rsid w:val="003E7DA4"/>
    <w:rsid w:val="003F0426"/>
    <w:rsid w:val="003F1036"/>
    <w:rsid w:val="003F1395"/>
    <w:rsid w:val="003F295D"/>
    <w:rsid w:val="003F33AA"/>
    <w:rsid w:val="003F3A7A"/>
    <w:rsid w:val="003F3F08"/>
    <w:rsid w:val="003F4786"/>
    <w:rsid w:val="003F6C5C"/>
    <w:rsid w:val="003F7222"/>
    <w:rsid w:val="00400120"/>
    <w:rsid w:val="00400A78"/>
    <w:rsid w:val="00401094"/>
    <w:rsid w:val="00401CFD"/>
    <w:rsid w:val="0040223F"/>
    <w:rsid w:val="00404814"/>
    <w:rsid w:val="00404F7A"/>
    <w:rsid w:val="00405F76"/>
    <w:rsid w:val="0040712A"/>
    <w:rsid w:val="00407B4C"/>
    <w:rsid w:val="00410BD0"/>
    <w:rsid w:val="00410CA9"/>
    <w:rsid w:val="00412FDE"/>
    <w:rsid w:val="0041315A"/>
    <w:rsid w:val="004131F9"/>
    <w:rsid w:val="004133B2"/>
    <w:rsid w:val="00413D4F"/>
    <w:rsid w:val="0041422D"/>
    <w:rsid w:val="0041582D"/>
    <w:rsid w:val="00415B4E"/>
    <w:rsid w:val="004175C0"/>
    <w:rsid w:val="00417621"/>
    <w:rsid w:val="00417F0F"/>
    <w:rsid w:val="004226B4"/>
    <w:rsid w:val="00422FA4"/>
    <w:rsid w:val="00423428"/>
    <w:rsid w:val="00423562"/>
    <w:rsid w:val="00423644"/>
    <w:rsid w:val="00423D83"/>
    <w:rsid w:val="0042547A"/>
    <w:rsid w:val="00425765"/>
    <w:rsid w:val="004259AE"/>
    <w:rsid w:val="004260C8"/>
    <w:rsid w:val="0042646A"/>
    <w:rsid w:val="00426D55"/>
    <w:rsid w:val="00426D6C"/>
    <w:rsid w:val="00427320"/>
    <w:rsid w:val="004274C7"/>
    <w:rsid w:val="00427602"/>
    <w:rsid w:val="00427AE1"/>
    <w:rsid w:val="00427E02"/>
    <w:rsid w:val="00430427"/>
    <w:rsid w:val="004309FB"/>
    <w:rsid w:val="00430B2B"/>
    <w:rsid w:val="004313B1"/>
    <w:rsid w:val="0043277C"/>
    <w:rsid w:val="00433A72"/>
    <w:rsid w:val="0043459C"/>
    <w:rsid w:val="004364FD"/>
    <w:rsid w:val="00436ECA"/>
    <w:rsid w:val="00437837"/>
    <w:rsid w:val="00437F63"/>
    <w:rsid w:val="0044035F"/>
    <w:rsid w:val="004404B0"/>
    <w:rsid w:val="00440F6D"/>
    <w:rsid w:val="00441226"/>
    <w:rsid w:val="004419C8"/>
    <w:rsid w:val="00441B5C"/>
    <w:rsid w:val="0044386B"/>
    <w:rsid w:val="00443D95"/>
    <w:rsid w:val="004448AC"/>
    <w:rsid w:val="0044765F"/>
    <w:rsid w:val="00447BB5"/>
    <w:rsid w:val="0045255E"/>
    <w:rsid w:val="004527E3"/>
    <w:rsid w:val="0045329A"/>
    <w:rsid w:val="0045451F"/>
    <w:rsid w:val="00455B29"/>
    <w:rsid w:val="00455DB4"/>
    <w:rsid w:val="004569F1"/>
    <w:rsid w:val="004572D0"/>
    <w:rsid w:val="004573BC"/>
    <w:rsid w:val="00457E7D"/>
    <w:rsid w:val="004623AF"/>
    <w:rsid w:val="00462C26"/>
    <w:rsid w:val="00462D4F"/>
    <w:rsid w:val="00463A80"/>
    <w:rsid w:val="00463D11"/>
    <w:rsid w:val="004640C3"/>
    <w:rsid w:val="00464279"/>
    <w:rsid w:val="004649DF"/>
    <w:rsid w:val="00465B69"/>
    <w:rsid w:val="00465F8E"/>
    <w:rsid w:val="0046682C"/>
    <w:rsid w:val="00466ED0"/>
    <w:rsid w:val="004678AB"/>
    <w:rsid w:val="00467B03"/>
    <w:rsid w:val="0047039E"/>
    <w:rsid w:val="004707E4"/>
    <w:rsid w:val="004708F4"/>
    <w:rsid w:val="004718C3"/>
    <w:rsid w:val="00471992"/>
    <w:rsid w:val="0047208B"/>
    <w:rsid w:val="0047253E"/>
    <w:rsid w:val="00473251"/>
    <w:rsid w:val="00473FA1"/>
    <w:rsid w:val="0047493D"/>
    <w:rsid w:val="00475186"/>
    <w:rsid w:val="004757C2"/>
    <w:rsid w:val="00475CC6"/>
    <w:rsid w:val="0047626F"/>
    <w:rsid w:val="004775FA"/>
    <w:rsid w:val="0048017A"/>
    <w:rsid w:val="00480D99"/>
    <w:rsid w:val="00481DFF"/>
    <w:rsid w:val="00481F57"/>
    <w:rsid w:val="00482AFC"/>
    <w:rsid w:val="004836E9"/>
    <w:rsid w:val="00484237"/>
    <w:rsid w:val="004844AB"/>
    <w:rsid w:val="004847B0"/>
    <w:rsid w:val="00484971"/>
    <w:rsid w:val="00484EA9"/>
    <w:rsid w:val="004860A7"/>
    <w:rsid w:val="004863C1"/>
    <w:rsid w:val="00486D2F"/>
    <w:rsid w:val="00486DC4"/>
    <w:rsid w:val="00486DCD"/>
    <w:rsid w:val="0048756D"/>
    <w:rsid w:val="004878A8"/>
    <w:rsid w:val="00487A6E"/>
    <w:rsid w:val="00490002"/>
    <w:rsid w:val="004902C0"/>
    <w:rsid w:val="00490B57"/>
    <w:rsid w:val="00491819"/>
    <w:rsid w:val="004940C2"/>
    <w:rsid w:val="004958DF"/>
    <w:rsid w:val="004971C6"/>
    <w:rsid w:val="0049783E"/>
    <w:rsid w:val="00497852"/>
    <w:rsid w:val="004A1599"/>
    <w:rsid w:val="004A17A0"/>
    <w:rsid w:val="004A1C7C"/>
    <w:rsid w:val="004A471F"/>
    <w:rsid w:val="004A56B7"/>
    <w:rsid w:val="004A58FB"/>
    <w:rsid w:val="004A6864"/>
    <w:rsid w:val="004A6C9F"/>
    <w:rsid w:val="004A7807"/>
    <w:rsid w:val="004B1564"/>
    <w:rsid w:val="004B161C"/>
    <w:rsid w:val="004B2F15"/>
    <w:rsid w:val="004B4482"/>
    <w:rsid w:val="004B6082"/>
    <w:rsid w:val="004B63B7"/>
    <w:rsid w:val="004B7CF3"/>
    <w:rsid w:val="004C0BED"/>
    <w:rsid w:val="004C2BAC"/>
    <w:rsid w:val="004C515F"/>
    <w:rsid w:val="004C58A9"/>
    <w:rsid w:val="004C62ED"/>
    <w:rsid w:val="004C6C70"/>
    <w:rsid w:val="004C7A24"/>
    <w:rsid w:val="004C7CEF"/>
    <w:rsid w:val="004D03F1"/>
    <w:rsid w:val="004D04A0"/>
    <w:rsid w:val="004D0F49"/>
    <w:rsid w:val="004D23E0"/>
    <w:rsid w:val="004D26D5"/>
    <w:rsid w:val="004D2CA5"/>
    <w:rsid w:val="004D2FAB"/>
    <w:rsid w:val="004D599C"/>
    <w:rsid w:val="004D5CBC"/>
    <w:rsid w:val="004D798B"/>
    <w:rsid w:val="004D7A46"/>
    <w:rsid w:val="004D7C4B"/>
    <w:rsid w:val="004E0E54"/>
    <w:rsid w:val="004E1298"/>
    <w:rsid w:val="004E16D9"/>
    <w:rsid w:val="004E1A9B"/>
    <w:rsid w:val="004E1C2B"/>
    <w:rsid w:val="004E3190"/>
    <w:rsid w:val="004E43A5"/>
    <w:rsid w:val="004E4621"/>
    <w:rsid w:val="004E472D"/>
    <w:rsid w:val="004E4838"/>
    <w:rsid w:val="004E4A73"/>
    <w:rsid w:val="004E51EC"/>
    <w:rsid w:val="004E5E3F"/>
    <w:rsid w:val="004E6458"/>
    <w:rsid w:val="004E6A47"/>
    <w:rsid w:val="004E7012"/>
    <w:rsid w:val="004E7348"/>
    <w:rsid w:val="004E7A8E"/>
    <w:rsid w:val="004F0583"/>
    <w:rsid w:val="004F16ED"/>
    <w:rsid w:val="004F2357"/>
    <w:rsid w:val="004F2751"/>
    <w:rsid w:val="004F2CCB"/>
    <w:rsid w:val="004F6540"/>
    <w:rsid w:val="004F6817"/>
    <w:rsid w:val="004F6BEC"/>
    <w:rsid w:val="004F7879"/>
    <w:rsid w:val="004F797C"/>
    <w:rsid w:val="004F7A0E"/>
    <w:rsid w:val="004F7D67"/>
    <w:rsid w:val="00500A66"/>
    <w:rsid w:val="005010D3"/>
    <w:rsid w:val="005013B0"/>
    <w:rsid w:val="0050183A"/>
    <w:rsid w:val="005022AD"/>
    <w:rsid w:val="00502806"/>
    <w:rsid w:val="00502DF2"/>
    <w:rsid w:val="00503C37"/>
    <w:rsid w:val="0050727A"/>
    <w:rsid w:val="00507642"/>
    <w:rsid w:val="00510157"/>
    <w:rsid w:val="00512503"/>
    <w:rsid w:val="00512716"/>
    <w:rsid w:val="00512BC3"/>
    <w:rsid w:val="0051331D"/>
    <w:rsid w:val="00513A22"/>
    <w:rsid w:val="00513CB3"/>
    <w:rsid w:val="0051431A"/>
    <w:rsid w:val="00514402"/>
    <w:rsid w:val="005147AC"/>
    <w:rsid w:val="00515468"/>
    <w:rsid w:val="00517090"/>
    <w:rsid w:val="00517971"/>
    <w:rsid w:val="00517DF2"/>
    <w:rsid w:val="00520C02"/>
    <w:rsid w:val="0052354D"/>
    <w:rsid w:val="005236E8"/>
    <w:rsid w:val="005237FC"/>
    <w:rsid w:val="00523D3B"/>
    <w:rsid w:val="00524082"/>
    <w:rsid w:val="00524DF3"/>
    <w:rsid w:val="0052543D"/>
    <w:rsid w:val="00526A0E"/>
    <w:rsid w:val="00526AF9"/>
    <w:rsid w:val="00530E4F"/>
    <w:rsid w:val="005311A2"/>
    <w:rsid w:val="00531ADD"/>
    <w:rsid w:val="00535308"/>
    <w:rsid w:val="0053538C"/>
    <w:rsid w:val="0053553A"/>
    <w:rsid w:val="00535585"/>
    <w:rsid w:val="0053604A"/>
    <w:rsid w:val="005362F4"/>
    <w:rsid w:val="0053756D"/>
    <w:rsid w:val="00540934"/>
    <w:rsid w:val="00540C3B"/>
    <w:rsid w:val="00541A00"/>
    <w:rsid w:val="00542B5C"/>
    <w:rsid w:val="00542EB3"/>
    <w:rsid w:val="0054475B"/>
    <w:rsid w:val="00544D8B"/>
    <w:rsid w:val="0054504D"/>
    <w:rsid w:val="00545821"/>
    <w:rsid w:val="005459CE"/>
    <w:rsid w:val="00545BB6"/>
    <w:rsid w:val="00545CDE"/>
    <w:rsid w:val="00545EA5"/>
    <w:rsid w:val="005513F1"/>
    <w:rsid w:val="005516FA"/>
    <w:rsid w:val="005543E5"/>
    <w:rsid w:val="005545FC"/>
    <w:rsid w:val="00557041"/>
    <w:rsid w:val="005574EA"/>
    <w:rsid w:val="005578E2"/>
    <w:rsid w:val="00557D12"/>
    <w:rsid w:val="00560D11"/>
    <w:rsid w:val="00561087"/>
    <w:rsid w:val="0056140C"/>
    <w:rsid w:val="00562093"/>
    <w:rsid w:val="00564658"/>
    <w:rsid w:val="0056498A"/>
    <w:rsid w:val="00564BCD"/>
    <w:rsid w:val="00564D69"/>
    <w:rsid w:val="0056516E"/>
    <w:rsid w:val="0056555A"/>
    <w:rsid w:val="00566377"/>
    <w:rsid w:val="005665C4"/>
    <w:rsid w:val="005667D3"/>
    <w:rsid w:val="005675A7"/>
    <w:rsid w:val="00571AF5"/>
    <w:rsid w:val="00571C9D"/>
    <w:rsid w:val="00571F83"/>
    <w:rsid w:val="00572373"/>
    <w:rsid w:val="00572975"/>
    <w:rsid w:val="00573757"/>
    <w:rsid w:val="00574B91"/>
    <w:rsid w:val="005758D8"/>
    <w:rsid w:val="00575C7C"/>
    <w:rsid w:val="00576B6A"/>
    <w:rsid w:val="00580385"/>
    <w:rsid w:val="00580E65"/>
    <w:rsid w:val="0058130D"/>
    <w:rsid w:val="00583362"/>
    <w:rsid w:val="00583AA6"/>
    <w:rsid w:val="00586A0E"/>
    <w:rsid w:val="005903A0"/>
    <w:rsid w:val="00590561"/>
    <w:rsid w:val="00591A09"/>
    <w:rsid w:val="0059231C"/>
    <w:rsid w:val="00594F02"/>
    <w:rsid w:val="005958B4"/>
    <w:rsid w:val="005962D4"/>
    <w:rsid w:val="005964BD"/>
    <w:rsid w:val="00597A9A"/>
    <w:rsid w:val="005A1A67"/>
    <w:rsid w:val="005A2274"/>
    <w:rsid w:val="005A2630"/>
    <w:rsid w:val="005A2D42"/>
    <w:rsid w:val="005A3B23"/>
    <w:rsid w:val="005A3B8F"/>
    <w:rsid w:val="005A5720"/>
    <w:rsid w:val="005A5ABB"/>
    <w:rsid w:val="005A5C48"/>
    <w:rsid w:val="005A67EE"/>
    <w:rsid w:val="005B03C2"/>
    <w:rsid w:val="005B0F2E"/>
    <w:rsid w:val="005B19FA"/>
    <w:rsid w:val="005B2D04"/>
    <w:rsid w:val="005B4095"/>
    <w:rsid w:val="005B439C"/>
    <w:rsid w:val="005B4508"/>
    <w:rsid w:val="005B473C"/>
    <w:rsid w:val="005B502D"/>
    <w:rsid w:val="005B55CF"/>
    <w:rsid w:val="005B6E8D"/>
    <w:rsid w:val="005B788E"/>
    <w:rsid w:val="005B7DEA"/>
    <w:rsid w:val="005C0E3B"/>
    <w:rsid w:val="005C12A5"/>
    <w:rsid w:val="005C16CE"/>
    <w:rsid w:val="005C1930"/>
    <w:rsid w:val="005C1DB5"/>
    <w:rsid w:val="005C30FF"/>
    <w:rsid w:val="005C360F"/>
    <w:rsid w:val="005C4009"/>
    <w:rsid w:val="005C43AF"/>
    <w:rsid w:val="005C65F0"/>
    <w:rsid w:val="005C6B5E"/>
    <w:rsid w:val="005C78CC"/>
    <w:rsid w:val="005C7973"/>
    <w:rsid w:val="005C7D2E"/>
    <w:rsid w:val="005D0515"/>
    <w:rsid w:val="005D0B1F"/>
    <w:rsid w:val="005D0D93"/>
    <w:rsid w:val="005D1ADD"/>
    <w:rsid w:val="005D1C33"/>
    <w:rsid w:val="005D2161"/>
    <w:rsid w:val="005D25A1"/>
    <w:rsid w:val="005D2C1F"/>
    <w:rsid w:val="005D3E1E"/>
    <w:rsid w:val="005D4DDA"/>
    <w:rsid w:val="005D5404"/>
    <w:rsid w:val="005D5A5A"/>
    <w:rsid w:val="005D5ACB"/>
    <w:rsid w:val="005D5DA5"/>
    <w:rsid w:val="005D617D"/>
    <w:rsid w:val="005D726F"/>
    <w:rsid w:val="005D74F3"/>
    <w:rsid w:val="005D7FAA"/>
    <w:rsid w:val="005E0637"/>
    <w:rsid w:val="005E0BC2"/>
    <w:rsid w:val="005E0F25"/>
    <w:rsid w:val="005E23BC"/>
    <w:rsid w:val="005E3624"/>
    <w:rsid w:val="005E556C"/>
    <w:rsid w:val="005E5632"/>
    <w:rsid w:val="005E583E"/>
    <w:rsid w:val="005E5C53"/>
    <w:rsid w:val="005E6143"/>
    <w:rsid w:val="005E70F7"/>
    <w:rsid w:val="005F0624"/>
    <w:rsid w:val="005F0F26"/>
    <w:rsid w:val="005F1122"/>
    <w:rsid w:val="005F15F6"/>
    <w:rsid w:val="005F16BF"/>
    <w:rsid w:val="005F24B8"/>
    <w:rsid w:val="005F2F29"/>
    <w:rsid w:val="005F3F0C"/>
    <w:rsid w:val="005F456F"/>
    <w:rsid w:val="005F569B"/>
    <w:rsid w:val="005F61C9"/>
    <w:rsid w:val="005F6344"/>
    <w:rsid w:val="005F68A8"/>
    <w:rsid w:val="005F7298"/>
    <w:rsid w:val="005F7835"/>
    <w:rsid w:val="005F7A9C"/>
    <w:rsid w:val="00601246"/>
    <w:rsid w:val="00601F1F"/>
    <w:rsid w:val="00602486"/>
    <w:rsid w:val="006024C0"/>
    <w:rsid w:val="006024FC"/>
    <w:rsid w:val="0060365B"/>
    <w:rsid w:val="00604232"/>
    <w:rsid w:val="006042F8"/>
    <w:rsid w:val="006044A6"/>
    <w:rsid w:val="00605768"/>
    <w:rsid w:val="006068D5"/>
    <w:rsid w:val="00606A7F"/>
    <w:rsid w:val="0060788C"/>
    <w:rsid w:val="006078CA"/>
    <w:rsid w:val="00610415"/>
    <w:rsid w:val="00610BAE"/>
    <w:rsid w:val="00610FDE"/>
    <w:rsid w:val="0061148B"/>
    <w:rsid w:val="00611A84"/>
    <w:rsid w:val="00612258"/>
    <w:rsid w:val="00612848"/>
    <w:rsid w:val="0061351A"/>
    <w:rsid w:val="006136BC"/>
    <w:rsid w:val="006159F9"/>
    <w:rsid w:val="00615BDB"/>
    <w:rsid w:val="00615FDE"/>
    <w:rsid w:val="00616480"/>
    <w:rsid w:val="00617590"/>
    <w:rsid w:val="00617738"/>
    <w:rsid w:val="006202C2"/>
    <w:rsid w:val="00622589"/>
    <w:rsid w:val="0062261A"/>
    <w:rsid w:val="006230A5"/>
    <w:rsid w:val="006242AA"/>
    <w:rsid w:val="0062551E"/>
    <w:rsid w:val="0063027B"/>
    <w:rsid w:val="00630E23"/>
    <w:rsid w:val="00631152"/>
    <w:rsid w:val="006320D8"/>
    <w:rsid w:val="00632E56"/>
    <w:rsid w:val="0063362C"/>
    <w:rsid w:val="006336CF"/>
    <w:rsid w:val="006339DD"/>
    <w:rsid w:val="00636365"/>
    <w:rsid w:val="00636BCB"/>
    <w:rsid w:val="006372D9"/>
    <w:rsid w:val="0064011A"/>
    <w:rsid w:val="00640923"/>
    <w:rsid w:val="006409B7"/>
    <w:rsid w:val="006430E3"/>
    <w:rsid w:val="006444BB"/>
    <w:rsid w:val="006446E8"/>
    <w:rsid w:val="00644BDB"/>
    <w:rsid w:val="006467D6"/>
    <w:rsid w:val="00647DA8"/>
    <w:rsid w:val="006508D6"/>
    <w:rsid w:val="00650B51"/>
    <w:rsid w:val="0065102A"/>
    <w:rsid w:val="006529E0"/>
    <w:rsid w:val="00653445"/>
    <w:rsid w:val="00653583"/>
    <w:rsid w:val="00654F69"/>
    <w:rsid w:val="006555B2"/>
    <w:rsid w:val="00656481"/>
    <w:rsid w:val="00657B62"/>
    <w:rsid w:val="006601EA"/>
    <w:rsid w:val="006604AE"/>
    <w:rsid w:val="00660DDE"/>
    <w:rsid w:val="00661080"/>
    <w:rsid w:val="00662921"/>
    <w:rsid w:val="006629A1"/>
    <w:rsid w:val="00666C39"/>
    <w:rsid w:val="0067181B"/>
    <w:rsid w:val="006726AA"/>
    <w:rsid w:val="00672BDF"/>
    <w:rsid w:val="0067346E"/>
    <w:rsid w:val="00675D9A"/>
    <w:rsid w:val="0067707A"/>
    <w:rsid w:val="00680210"/>
    <w:rsid w:val="006802FA"/>
    <w:rsid w:val="00682A2E"/>
    <w:rsid w:val="00682B4C"/>
    <w:rsid w:val="00682D14"/>
    <w:rsid w:val="00682D27"/>
    <w:rsid w:val="00683153"/>
    <w:rsid w:val="00683AE7"/>
    <w:rsid w:val="0068545F"/>
    <w:rsid w:val="0068559D"/>
    <w:rsid w:val="006859DC"/>
    <w:rsid w:val="00687264"/>
    <w:rsid w:val="00687BB1"/>
    <w:rsid w:val="00690E05"/>
    <w:rsid w:val="00692F8B"/>
    <w:rsid w:val="006931F2"/>
    <w:rsid w:val="00693449"/>
    <w:rsid w:val="00693FFE"/>
    <w:rsid w:val="006944E4"/>
    <w:rsid w:val="006951D7"/>
    <w:rsid w:val="00695239"/>
    <w:rsid w:val="006955CF"/>
    <w:rsid w:val="0069617C"/>
    <w:rsid w:val="00697690"/>
    <w:rsid w:val="006A01E7"/>
    <w:rsid w:val="006A03F1"/>
    <w:rsid w:val="006A0958"/>
    <w:rsid w:val="006A0D41"/>
    <w:rsid w:val="006A229B"/>
    <w:rsid w:val="006A2652"/>
    <w:rsid w:val="006A2D3D"/>
    <w:rsid w:val="006A3652"/>
    <w:rsid w:val="006A42C0"/>
    <w:rsid w:val="006A4643"/>
    <w:rsid w:val="006A5180"/>
    <w:rsid w:val="006A544C"/>
    <w:rsid w:val="006A5BD2"/>
    <w:rsid w:val="006A67A7"/>
    <w:rsid w:val="006A74EB"/>
    <w:rsid w:val="006B0998"/>
    <w:rsid w:val="006B164F"/>
    <w:rsid w:val="006B2EA3"/>
    <w:rsid w:val="006B3926"/>
    <w:rsid w:val="006B3FB8"/>
    <w:rsid w:val="006B572D"/>
    <w:rsid w:val="006B5BDF"/>
    <w:rsid w:val="006B5F8D"/>
    <w:rsid w:val="006B6C8D"/>
    <w:rsid w:val="006B6CD2"/>
    <w:rsid w:val="006B6D16"/>
    <w:rsid w:val="006C0411"/>
    <w:rsid w:val="006C0439"/>
    <w:rsid w:val="006C07C6"/>
    <w:rsid w:val="006C1609"/>
    <w:rsid w:val="006C2509"/>
    <w:rsid w:val="006C2C7B"/>
    <w:rsid w:val="006C32EE"/>
    <w:rsid w:val="006C36CE"/>
    <w:rsid w:val="006C453A"/>
    <w:rsid w:val="006C6196"/>
    <w:rsid w:val="006C6A9E"/>
    <w:rsid w:val="006C7A5E"/>
    <w:rsid w:val="006C7D14"/>
    <w:rsid w:val="006D0E22"/>
    <w:rsid w:val="006D117B"/>
    <w:rsid w:val="006D2FC7"/>
    <w:rsid w:val="006D3011"/>
    <w:rsid w:val="006D39C7"/>
    <w:rsid w:val="006D5D22"/>
    <w:rsid w:val="006D721A"/>
    <w:rsid w:val="006D746C"/>
    <w:rsid w:val="006D7815"/>
    <w:rsid w:val="006D7D5B"/>
    <w:rsid w:val="006D7DF9"/>
    <w:rsid w:val="006D7F25"/>
    <w:rsid w:val="006D7FFD"/>
    <w:rsid w:val="006E0E2D"/>
    <w:rsid w:val="006E10F8"/>
    <w:rsid w:val="006E13DE"/>
    <w:rsid w:val="006E2451"/>
    <w:rsid w:val="006E24C7"/>
    <w:rsid w:val="006E2BB6"/>
    <w:rsid w:val="006E3125"/>
    <w:rsid w:val="006E36A8"/>
    <w:rsid w:val="006E37D5"/>
    <w:rsid w:val="006E3E46"/>
    <w:rsid w:val="006E40AE"/>
    <w:rsid w:val="006E48DD"/>
    <w:rsid w:val="006E5632"/>
    <w:rsid w:val="006E5DC9"/>
    <w:rsid w:val="006E6879"/>
    <w:rsid w:val="006E6F2E"/>
    <w:rsid w:val="006E73FE"/>
    <w:rsid w:val="006E7CBE"/>
    <w:rsid w:val="006E7EBB"/>
    <w:rsid w:val="006F0217"/>
    <w:rsid w:val="006F026C"/>
    <w:rsid w:val="006F2B6F"/>
    <w:rsid w:val="006F2C0F"/>
    <w:rsid w:val="006F3F72"/>
    <w:rsid w:val="006F4976"/>
    <w:rsid w:val="006F4E37"/>
    <w:rsid w:val="006F545D"/>
    <w:rsid w:val="006F5860"/>
    <w:rsid w:val="006F5FC0"/>
    <w:rsid w:val="006F641A"/>
    <w:rsid w:val="006F7839"/>
    <w:rsid w:val="00702058"/>
    <w:rsid w:val="0070307C"/>
    <w:rsid w:val="00703691"/>
    <w:rsid w:val="007047BE"/>
    <w:rsid w:val="00705982"/>
    <w:rsid w:val="00706940"/>
    <w:rsid w:val="00706FDC"/>
    <w:rsid w:val="00707CB1"/>
    <w:rsid w:val="00710593"/>
    <w:rsid w:val="00710BF1"/>
    <w:rsid w:val="007119F4"/>
    <w:rsid w:val="007121E0"/>
    <w:rsid w:val="0071279C"/>
    <w:rsid w:val="007128BC"/>
    <w:rsid w:val="00713DDE"/>
    <w:rsid w:val="0071574C"/>
    <w:rsid w:val="007160C9"/>
    <w:rsid w:val="0071660F"/>
    <w:rsid w:val="00716C2E"/>
    <w:rsid w:val="00716ECA"/>
    <w:rsid w:val="00717234"/>
    <w:rsid w:val="00721B70"/>
    <w:rsid w:val="00721F5D"/>
    <w:rsid w:val="007223D5"/>
    <w:rsid w:val="00722651"/>
    <w:rsid w:val="007244F4"/>
    <w:rsid w:val="00724E8F"/>
    <w:rsid w:val="00725812"/>
    <w:rsid w:val="0072604A"/>
    <w:rsid w:val="00726051"/>
    <w:rsid w:val="007267C2"/>
    <w:rsid w:val="00727CC3"/>
    <w:rsid w:val="00727FA8"/>
    <w:rsid w:val="00731E98"/>
    <w:rsid w:val="007322FA"/>
    <w:rsid w:val="0073262C"/>
    <w:rsid w:val="00732AC7"/>
    <w:rsid w:val="00732D76"/>
    <w:rsid w:val="0073443F"/>
    <w:rsid w:val="00734866"/>
    <w:rsid w:val="00736314"/>
    <w:rsid w:val="0073648E"/>
    <w:rsid w:val="007417C8"/>
    <w:rsid w:val="007419F3"/>
    <w:rsid w:val="00742462"/>
    <w:rsid w:val="007430C6"/>
    <w:rsid w:val="00743312"/>
    <w:rsid w:val="00743801"/>
    <w:rsid w:val="0074391C"/>
    <w:rsid w:val="0074546E"/>
    <w:rsid w:val="00745474"/>
    <w:rsid w:val="007454BB"/>
    <w:rsid w:val="00745B61"/>
    <w:rsid w:val="00746B71"/>
    <w:rsid w:val="00747A85"/>
    <w:rsid w:val="00750D0B"/>
    <w:rsid w:val="00751BE2"/>
    <w:rsid w:val="00751DA1"/>
    <w:rsid w:val="00752498"/>
    <w:rsid w:val="00755A61"/>
    <w:rsid w:val="007566FE"/>
    <w:rsid w:val="00757731"/>
    <w:rsid w:val="00757EC3"/>
    <w:rsid w:val="0076098C"/>
    <w:rsid w:val="007613B4"/>
    <w:rsid w:val="007614BE"/>
    <w:rsid w:val="00761A29"/>
    <w:rsid w:val="00761CC5"/>
    <w:rsid w:val="00761EFC"/>
    <w:rsid w:val="00762566"/>
    <w:rsid w:val="007636B5"/>
    <w:rsid w:val="00763DCE"/>
    <w:rsid w:val="00763F2C"/>
    <w:rsid w:val="0076443B"/>
    <w:rsid w:val="00764F16"/>
    <w:rsid w:val="00766717"/>
    <w:rsid w:val="00767379"/>
    <w:rsid w:val="00767886"/>
    <w:rsid w:val="00770116"/>
    <w:rsid w:val="0077034E"/>
    <w:rsid w:val="00771DEA"/>
    <w:rsid w:val="00772F19"/>
    <w:rsid w:val="00773C48"/>
    <w:rsid w:val="007740BD"/>
    <w:rsid w:val="007743E9"/>
    <w:rsid w:val="0077463C"/>
    <w:rsid w:val="007758F2"/>
    <w:rsid w:val="007766C4"/>
    <w:rsid w:val="007767B9"/>
    <w:rsid w:val="007769E7"/>
    <w:rsid w:val="00777842"/>
    <w:rsid w:val="0078045A"/>
    <w:rsid w:val="007804C5"/>
    <w:rsid w:val="0078082D"/>
    <w:rsid w:val="00781D90"/>
    <w:rsid w:val="007824FA"/>
    <w:rsid w:val="00782FFF"/>
    <w:rsid w:val="0078324E"/>
    <w:rsid w:val="00784E6D"/>
    <w:rsid w:val="00786DE8"/>
    <w:rsid w:val="00787E6C"/>
    <w:rsid w:val="007907AF"/>
    <w:rsid w:val="00790A8C"/>
    <w:rsid w:val="007910C6"/>
    <w:rsid w:val="007921B4"/>
    <w:rsid w:val="007934EC"/>
    <w:rsid w:val="00794654"/>
    <w:rsid w:val="00795287"/>
    <w:rsid w:val="00796715"/>
    <w:rsid w:val="007967EA"/>
    <w:rsid w:val="007A011A"/>
    <w:rsid w:val="007A1F67"/>
    <w:rsid w:val="007A3C32"/>
    <w:rsid w:val="007A5881"/>
    <w:rsid w:val="007A5E52"/>
    <w:rsid w:val="007A64B3"/>
    <w:rsid w:val="007A683A"/>
    <w:rsid w:val="007B027D"/>
    <w:rsid w:val="007B097D"/>
    <w:rsid w:val="007B0FCE"/>
    <w:rsid w:val="007B1AB0"/>
    <w:rsid w:val="007B1B84"/>
    <w:rsid w:val="007B249A"/>
    <w:rsid w:val="007B3BB0"/>
    <w:rsid w:val="007B4191"/>
    <w:rsid w:val="007B45E2"/>
    <w:rsid w:val="007B4971"/>
    <w:rsid w:val="007B4F15"/>
    <w:rsid w:val="007B50E5"/>
    <w:rsid w:val="007B52A1"/>
    <w:rsid w:val="007B559C"/>
    <w:rsid w:val="007B5B29"/>
    <w:rsid w:val="007B62DB"/>
    <w:rsid w:val="007B72C5"/>
    <w:rsid w:val="007B7329"/>
    <w:rsid w:val="007C080B"/>
    <w:rsid w:val="007C0C24"/>
    <w:rsid w:val="007C2317"/>
    <w:rsid w:val="007C2A3C"/>
    <w:rsid w:val="007C3BA7"/>
    <w:rsid w:val="007C3ED8"/>
    <w:rsid w:val="007C3F3F"/>
    <w:rsid w:val="007C4AAB"/>
    <w:rsid w:val="007D01F9"/>
    <w:rsid w:val="007D02B6"/>
    <w:rsid w:val="007D1958"/>
    <w:rsid w:val="007D3544"/>
    <w:rsid w:val="007D3572"/>
    <w:rsid w:val="007D3815"/>
    <w:rsid w:val="007D3DD4"/>
    <w:rsid w:val="007D4434"/>
    <w:rsid w:val="007D497E"/>
    <w:rsid w:val="007D579E"/>
    <w:rsid w:val="007D5E67"/>
    <w:rsid w:val="007D6C01"/>
    <w:rsid w:val="007D713F"/>
    <w:rsid w:val="007D7AFD"/>
    <w:rsid w:val="007E1173"/>
    <w:rsid w:val="007E12FC"/>
    <w:rsid w:val="007E2068"/>
    <w:rsid w:val="007E2146"/>
    <w:rsid w:val="007E226A"/>
    <w:rsid w:val="007E2526"/>
    <w:rsid w:val="007E2CFB"/>
    <w:rsid w:val="007E524C"/>
    <w:rsid w:val="007E68FE"/>
    <w:rsid w:val="007E6D78"/>
    <w:rsid w:val="007E716B"/>
    <w:rsid w:val="007F0159"/>
    <w:rsid w:val="007F0376"/>
    <w:rsid w:val="007F054F"/>
    <w:rsid w:val="007F1188"/>
    <w:rsid w:val="007F182C"/>
    <w:rsid w:val="007F3C82"/>
    <w:rsid w:val="007F4067"/>
    <w:rsid w:val="007F4448"/>
    <w:rsid w:val="007F557B"/>
    <w:rsid w:val="007F56AA"/>
    <w:rsid w:val="007F6570"/>
    <w:rsid w:val="007F7116"/>
    <w:rsid w:val="007F74B9"/>
    <w:rsid w:val="00800454"/>
    <w:rsid w:val="008009F2"/>
    <w:rsid w:val="0080111D"/>
    <w:rsid w:val="00801339"/>
    <w:rsid w:val="0080162F"/>
    <w:rsid w:val="00801764"/>
    <w:rsid w:val="00801AFB"/>
    <w:rsid w:val="00802858"/>
    <w:rsid w:val="00802DCA"/>
    <w:rsid w:val="00803330"/>
    <w:rsid w:val="008033AF"/>
    <w:rsid w:val="008038B7"/>
    <w:rsid w:val="00806F4E"/>
    <w:rsid w:val="00807E3D"/>
    <w:rsid w:val="00811FC1"/>
    <w:rsid w:val="00812865"/>
    <w:rsid w:val="00812C8E"/>
    <w:rsid w:val="00813109"/>
    <w:rsid w:val="00813428"/>
    <w:rsid w:val="008147D5"/>
    <w:rsid w:val="00815135"/>
    <w:rsid w:val="00815FE0"/>
    <w:rsid w:val="0081779F"/>
    <w:rsid w:val="00820F36"/>
    <w:rsid w:val="008212B1"/>
    <w:rsid w:val="00822999"/>
    <w:rsid w:val="00823A73"/>
    <w:rsid w:val="008242A9"/>
    <w:rsid w:val="008246CD"/>
    <w:rsid w:val="0082491B"/>
    <w:rsid w:val="00825B8F"/>
    <w:rsid w:val="00825FD3"/>
    <w:rsid w:val="008300C1"/>
    <w:rsid w:val="00830767"/>
    <w:rsid w:val="008308AD"/>
    <w:rsid w:val="008323B5"/>
    <w:rsid w:val="00832A22"/>
    <w:rsid w:val="0083427F"/>
    <w:rsid w:val="00835443"/>
    <w:rsid w:val="00835F86"/>
    <w:rsid w:val="00836EE2"/>
    <w:rsid w:val="008374C4"/>
    <w:rsid w:val="008377B7"/>
    <w:rsid w:val="008406F6"/>
    <w:rsid w:val="00840D3B"/>
    <w:rsid w:val="00842540"/>
    <w:rsid w:val="00842695"/>
    <w:rsid w:val="008428FA"/>
    <w:rsid w:val="00842F4F"/>
    <w:rsid w:val="00843043"/>
    <w:rsid w:val="008430D4"/>
    <w:rsid w:val="0084350F"/>
    <w:rsid w:val="00843824"/>
    <w:rsid w:val="00843A38"/>
    <w:rsid w:val="008443EE"/>
    <w:rsid w:val="0084580A"/>
    <w:rsid w:val="008458CC"/>
    <w:rsid w:val="008464D7"/>
    <w:rsid w:val="008466EC"/>
    <w:rsid w:val="008473FC"/>
    <w:rsid w:val="0085131A"/>
    <w:rsid w:val="00851D81"/>
    <w:rsid w:val="00852383"/>
    <w:rsid w:val="0085250C"/>
    <w:rsid w:val="00853A44"/>
    <w:rsid w:val="008550D8"/>
    <w:rsid w:val="00856A25"/>
    <w:rsid w:val="00857395"/>
    <w:rsid w:val="00857794"/>
    <w:rsid w:val="0086132C"/>
    <w:rsid w:val="00861CFC"/>
    <w:rsid w:val="00862724"/>
    <w:rsid w:val="00863FB5"/>
    <w:rsid w:val="008643C8"/>
    <w:rsid w:val="0086453A"/>
    <w:rsid w:val="008647A7"/>
    <w:rsid w:val="008647F7"/>
    <w:rsid w:val="00864AD9"/>
    <w:rsid w:val="00865449"/>
    <w:rsid w:val="008656BE"/>
    <w:rsid w:val="00865B3D"/>
    <w:rsid w:val="008668F9"/>
    <w:rsid w:val="00867141"/>
    <w:rsid w:val="008672EB"/>
    <w:rsid w:val="008672EC"/>
    <w:rsid w:val="008674A2"/>
    <w:rsid w:val="00870F2B"/>
    <w:rsid w:val="00871618"/>
    <w:rsid w:val="008729E9"/>
    <w:rsid w:val="00874DDC"/>
    <w:rsid w:val="008751CE"/>
    <w:rsid w:val="00877145"/>
    <w:rsid w:val="0088134D"/>
    <w:rsid w:val="0088153E"/>
    <w:rsid w:val="00881CFF"/>
    <w:rsid w:val="00883842"/>
    <w:rsid w:val="008843A6"/>
    <w:rsid w:val="00886718"/>
    <w:rsid w:val="00887966"/>
    <w:rsid w:val="0089114D"/>
    <w:rsid w:val="00891880"/>
    <w:rsid w:val="00892CA1"/>
    <w:rsid w:val="00892ECA"/>
    <w:rsid w:val="00894F0A"/>
    <w:rsid w:val="008950ED"/>
    <w:rsid w:val="00895487"/>
    <w:rsid w:val="00895E46"/>
    <w:rsid w:val="008964BB"/>
    <w:rsid w:val="0089691B"/>
    <w:rsid w:val="00896C8E"/>
    <w:rsid w:val="008A0E49"/>
    <w:rsid w:val="008A1324"/>
    <w:rsid w:val="008A13EC"/>
    <w:rsid w:val="008A1D65"/>
    <w:rsid w:val="008A1F17"/>
    <w:rsid w:val="008A3AD3"/>
    <w:rsid w:val="008A3E83"/>
    <w:rsid w:val="008A5A90"/>
    <w:rsid w:val="008A5FB0"/>
    <w:rsid w:val="008A62E4"/>
    <w:rsid w:val="008A6F9C"/>
    <w:rsid w:val="008A70AB"/>
    <w:rsid w:val="008A7D5F"/>
    <w:rsid w:val="008B0A5B"/>
    <w:rsid w:val="008B1175"/>
    <w:rsid w:val="008B178D"/>
    <w:rsid w:val="008B21ED"/>
    <w:rsid w:val="008B3D5F"/>
    <w:rsid w:val="008B4B57"/>
    <w:rsid w:val="008B58C6"/>
    <w:rsid w:val="008B59F8"/>
    <w:rsid w:val="008B5C54"/>
    <w:rsid w:val="008B60D4"/>
    <w:rsid w:val="008B61C1"/>
    <w:rsid w:val="008B74F8"/>
    <w:rsid w:val="008B760C"/>
    <w:rsid w:val="008C037B"/>
    <w:rsid w:val="008C09A0"/>
    <w:rsid w:val="008C2C06"/>
    <w:rsid w:val="008C2C75"/>
    <w:rsid w:val="008C3EF9"/>
    <w:rsid w:val="008C557B"/>
    <w:rsid w:val="008C5689"/>
    <w:rsid w:val="008C589B"/>
    <w:rsid w:val="008C5C70"/>
    <w:rsid w:val="008C5D79"/>
    <w:rsid w:val="008C6280"/>
    <w:rsid w:val="008C6443"/>
    <w:rsid w:val="008C7326"/>
    <w:rsid w:val="008D023F"/>
    <w:rsid w:val="008D026D"/>
    <w:rsid w:val="008D030C"/>
    <w:rsid w:val="008D0FD8"/>
    <w:rsid w:val="008D1A8E"/>
    <w:rsid w:val="008D2883"/>
    <w:rsid w:val="008D2D20"/>
    <w:rsid w:val="008D2EF9"/>
    <w:rsid w:val="008D388E"/>
    <w:rsid w:val="008D3BDF"/>
    <w:rsid w:val="008D3DD4"/>
    <w:rsid w:val="008D459C"/>
    <w:rsid w:val="008D489E"/>
    <w:rsid w:val="008D4FE9"/>
    <w:rsid w:val="008D51E4"/>
    <w:rsid w:val="008D6FFE"/>
    <w:rsid w:val="008D72CA"/>
    <w:rsid w:val="008E0A20"/>
    <w:rsid w:val="008E0C60"/>
    <w:rsid w:val="008E0FF8"/>
    <w:rsid w:val="008E14C3"/>
    <w:rsid w:val="008E1D40"/>
    <w:rsid w:val="008E1D65"/>
    <w:rsid w:val="008E36D9"/>
    <w:rsid w:val="008E391D"/>
    <w:rsid w:val="008E449D"/>
    <w:rsid w:val="008E56E1"/>
    <w:rsid w:val="008E5D23"/>
    <w:rsid w:val="008E62BC"/>
    <w:rsid w:val="008E6EC8"/>
    <w:rsid w:val="008E709C"/>
    <w:rsid w:val="008E7273"/>
    <w:rsid w:val="008F050B"/>
    <w:rsid w:val="008F1675"/>
    <w:rsid w:val="008F2249"/>
    <w:rsid w:val="008F2C1A"/>
    <w:rsid w:val="008F47D9"/>
    <w:rsid w:val="008F5497"/>
    <w:rsid w:val="008F5F26"/>
    <w:rsid w:val="00900E79"/>
    <w:rsid w:val="00901239"/>
    <w:rsid w:val="00901A10"/>
    <w:rsid w:val="009034BD"/>
    <w:rsid w:val="0090363C"/>
    <w:rsid w:val="00903FCE"/>
    <w:rsid w:val="00904163"/>
    <w:rsid w:val="00904BB0"/>
    <w:rsid w:val="009050D8"/>
    <w:rsid w:val="00905B70"/>
    <w:rsid w:val="0090667F"/>
    <w:rsid w:val="00907074"/>
    <w:rsid w:val="00907AD0"/>
    <w:rsid w:val="00910C13"/>
    <w:rsid w:val="00911869"/>
    <w:rsid w:val="00912227"/>
    <w:rsid w:val="0091272C"/>
    <w:rsid w:val="0091291B"/>
    <w:rsid w:val="0091294B"/>
    <w:rsid w:val="009132CD"/>
    <w:rsid w:val="009132F9"/>
    <w:rsid w:val="00913737"/>
    <w:rsid w:val="00913E7C"/>
    <w:rsid w:val="0091434E"/>
    <w:rsid w:val="009149BA"/>
    <w:rsid w:val="00915853"/>
    <w:rsid w:val="00916E00"/>
    <w:rsid w:val="00916FE8"/>
    <w:rsid w:val="00917793"/>
    <w:rsid w:val="00917AB0"/>
    <w:rsid w:val="009203CB"/>
    <w:rsid w:val="00920A8C"/>
    <w:rsid w:val="00921806"/>
    <w:rsid w:val="00923389"/>
    <w:rsid w:val="009242AB"/>
    <w:rsid w:val="00924B01"/>
    <w:rsid w:val="00924C57"/>
    <w:rsid w:val="0092567C"/>
    <w:rsid w:val="00925A70"/>
    <w:rsid w:val="0092687A"/>
    <w:rsid w:val="009268B7"/>
    <w:rsid w:val="00926FB8"/>
    <w:rsid w:val="0092753B"/>
    <w:rsid w:val="0092768F"/>
    <w:rsid w:val="00927EA4"/>
    <w:rsid w:val="00927F51"/>
    <w:rsid w:val="00930BEA"/>
    <w:rsid w:val="00931378"/>
    <w:rsid w:val="009316A7"/>
    <w:rsid w:val="00933164"/>
    <w:rsid w:val="0093319D"/>
    <w:rsid w:val="00933E77"/>
    <w:rsid w:val="00935466"/>
    <w:rsid w:val="009359D8"/>
    <w:rsid w:val="00935DE6"/>
    <w:rsid w:val="009361E8"/>
    <w:rsid w:val="009372E5"/>
    <w:rsid w:val="00937538"/>
    <w:rsid w:val="00937562"/>
    <w:rsid w:val="00937E3B"/>
    <w:rsid w:val="00940C56"/>
    <w:rsid w:val="00941302"/>
    <w:rsid w:val="00941C0D"/>
    <w:rsid w:val="0094237D"/>
    <w:rsid w:val="00942435"/>
    <w:rsid w:val="0094280C"/>
    <w:rsid w:val="00943EFD"/>
    <w:rsid w:val="00944AEF"/>
    <w:rsid w:val="00944CA9"/>
    <w:rsid w:val="0094555D"/>
    <w:rsid w:val="0094593F"/>
    <w:rsid w:val="00945EC9"/>
    <w:rsid w:val="00946095"/>
    <w:rsid w:val="0094621A"/>
    <w:rsid w:val="009463CA"/>
    <w:rsid w:val="00946DFC"/>
    <w:rsid w:val="00947BDD"/>
    <w:rsid w:val="00947FD2"/>
    <w:rsid w:val="0095002A"/>
    <w:rsid w:val="00951709"/>
    <w:rsid w:val="0095222D"/>
    <w:rsid w:val="009524CF"/>
    <w:rsid w:val="009525F7"/>
    <w:rsid w:val="00952985"/>
    <w:rsid w:val="00952BEC"/>
    <w:rsid w:val="00952FCB"/>
    <w:rsid w:val="00953221"/>
    <w:rsid w:val="009541F9"/>
    <w:rsid w:val="0095472B"/>
    <w:rsid w:val="009558F2"/>
    <w:rsid w:val="00956F83"/>
    <w:rsid w:val="009574C7"/>
    <w:rsid w:val="0095767A"/>
    <w:rsid w:val="00957BF5"/>
    <w:rsid w:val="00960BA0"/>
    <w:rsid w:val="00960D4A"/>
    <w:rsid w:val="009610B1"/>
    <w:rsid w:val="00962437"/>
    <w:rsid w:val="00963A7B"/>
    <w:rsid w:val="00963B48"/>
    <w:rsid w:val="00964962"/>
    <w:rsid w:val="00965033"/>
    <w:rsid w:val="0096524F"/>
    <w:rsid w:val="00965B77"/>
    <w:rsid w:val="00966BAD"/>
    <w:rsid w:val="009705FE"/>
    <w:rsid w:val="009718A2"/>
    <w:rsid w:val="00971A81"/>
    <w:rsid w:val="00972124"/>
    <w:rsid w:val="00972356"/>
    <w:rsid w:val="0097255F"/>
    <w:rsid w:val="0097266A"/>
    <w:rsid w:val="009727F2"/>
    <w:rsid w:val="0097295C"/>
    <w:rsid w:val="00972EDF"/>
    <w:rsid w:val="00972F8E"/>
    <w:rsid w:val="00973F0A"/>
    <w:rsid w:val="00974308"/>
    <w:rsid w:val="00974982"/>
    <w:rsid w:val="00974AB2"/>
    <w:rsid w:val="0097649A"/>
    <w:rsid w:val="00977994"/>
    <w:rsid w:val="00977BF1"/>
    <w:rsid w:val="00980010"/>
    <w:rsid w:val="00980FCA"/>
    <w:rsid w:val="0098266F"/>
    <w:rsid w:val="00982F47"/>
    <w:rsid w:val="009834A9"/>
    <w:rsid w:val="0098465A"/>
    <w:rsid w:val="00985217"/>
    <w:rsid w:val="00986710"/>
    <w:rsid w:val="00987340"/>
    <w:rsid w:val="00987BF0"/>
    <w:rsid w:val="00987CAC"/>
    <w:rsid w:val="00990B1D"/>
    <w:rsid w:val="00991671"/>
    <w:rsid w:val="00991948"/>
    <w:rsid w:val="009924EF"/>
    <w:rsid w:val="00992DF0"/>
    <w:rsid w:val="009931B0"/>
    <w:rsid w:val="009943D5"/>
    <w:rsid w:val="00995D7C"/>
    <w:rsid w:val="00995E8F"/>
    <w:rsid w:val="009A125A"/>
    <w:rsid w:val="009A1A68"/>
    <w:rsid w:val="009A1CAD"/>
    <w:rsid w:val="009A252D"/>
    <w:rsid w:val="009A2F43"/>
    <w:rsid w:val="009A3369"/>
    <w:rsid w:val="009A4244"/>
    <w:rsid w:val="009A5C54"/>
    <w:rsid w:val="009A6C9C"/>
    <w:rsid w:val="009A7688"/>
    <w:rsid w:val="009B0B73"/>
    <w:rsid w:val="009B1457"/>
    <w:rsid w:val="009B4EAB"/>
    <w:rsid w:val="009B53D9"/>
    <w:rsid w:val="009B5741"/>
    <w:rsid w:val="009B73A1"/>
    <w:rsid w:val="009B7613"/>
    <w:rsid w:val="009C109F"/>
    <w:rsid w:val="009C1465"/>
    <w:rsid w:val="009C1880"/>
    <w:rsid w:val="009C1C02"/>
    <w:rsid w:val="009C27D6"/>
    <w:rsid w:val="009C38D5"/>
    <w:rsid w:val="009C4198"/>
    <w:rsid w:val="009C4414"/>
    <w:rsid w:val="009C4F64"/>
    <w:rsid w:val="009C61E9"/>
    <w:rsid w:val="009C6208"/>
    <w:rsid w:val="009C76F8"/>
    <w:rsid w:val="009C78CC"/>
    <w:rsid w:val="009C7C86"/>
    <w:rsid w:val="009D0918"/>
    <w:rsid w:val="009D0E4D"/>
    <w:rsid w:val="009D1D82"/>
    <w:rsid w:val="009D405E"/>
    <w:rsid w:val="009D4659"/>
    <w:rsid w:val="009D4C3A"/>
    <w:rsid w:val="009D63B8"/>
    <w:rsid w:val="009D6D8C"/>
    <w:rsid w:val="009D6D90"/>
    <w:rsid w:val="009D7A14"/>
    <w:rsid w:val="009D7B22"/>
    <w:rsid w:val="009E1D53"/>
    <w:rsid w:val="009E1D82"/>
    <w:rsid w:val="009E1DFE"/>
    <w:rsid w:val="009E209B"/>
    <w:rsid w:val="009E2436"/>
    <w:rsid w:val="009E3FCD"/>
    <w:rsid w:val="009E42F4"/>
    <w:rsid w:val="009E648E"/>
    <w:rsid w:val="009E68AF"/>
    <w:rsid w:val="009E7E0D"/>
    <w:rsid w:val="009F21C1"/>
    <w:rsid w:val="009F27ED"/>
    <w:rsid w:val="009F2F53"/>
    <w:rsid w:val="009F3236"/>
    <w:rsid w:val="009F342F"/>
    <w:rsid w:val="009F40F1"/>
    <w:rsid w:val="009F447E"/>
    <w:rsid w:val="009F49BA"/>
    <w:rsid w:val="009F4F77"/>
    <w:rsid w:val="009F4F8B"/>
    <w:rsid w:val="009F5B4B"/>
    <w:rsid w:val="009F61A9"/>
    <w:rsid w:val="009F6A05"/>
    <w:rsid w:val="009F703D"/>
    <w:rsid w:val="009F7999"/>
    <w:rsid w:val="00A0029B"/>
    <w:rsid w:val="00A016D4"/>
    <w:rsid w:val="00A01A8E"/>
    <w:rsid w:val="00A022BC"/>
    <w:rsid w:val="00A027DC"/>
    <w:rsid w:val="00A028E2"/>
    <w:rsid w:val="00A03627"/>
    <w:rsid w:val="00A03F5B"/>
    <w:rsid w:val="00A03F74"/>
    <w:rsid w:val="00A0462E"/>
    <w:rsid w:val="00A05651"/>
    <w:rsid w:val="00A05A9F"/>
    <w:rsid w:val="00A05C73"/>
    <w:rsid w:val="00A05CD4"/>
    <w:rsid w:val="00A0619B"/>
    <w:rsid w:val="00A064C7"/>
    <w:rsid w:val="00A076C9"/>
    <w:rsid w:val="00A07C93"/>
    <w:rsid w:val="00A108CE"/>
    <w:rsid w:val="00A10F4D"/>
    <w:rsid w:val="00A10F56"/>
    <w:rsid w:val="00A13B25"/>
    <w:rsid w:val="00A14A5D"/>
    <w:rsid w:val="00A157C0"/>
    <w:rsid w:val="00A1733B"/>
    <w:rsid w:val="00A2032F"/>
    <w:rsid w:val="00A20AC3"/>
    <w:rsid w:val="00A210A0"/>
    <w:rsid w:val="00A235F3"/>
    <w:rsid w:val="00A23CEE"/>
    <w:rsid w:val="00A242E1"/>
    <w:rsid w:val="00A244F7"/>
    <w:rsid w:val="00A2474B"/>
    <w:rsid w:val="00A248C9"/>
    <w:rsid w:val="00A2497D"/>
    <w:rsid w:val="00A26E8E"/>
    <w:rsid w:val="00A273AF"/>
    <w:rsid w:val="00A2785C"/>
    <w:rsid w:val="00A27E4A"/>
    <w:rsid w:val="00A31DE0"/>
    <w:rsid w:val="00A31F9F"/>
    <w:rsid w:val="00A333D5"/>
    <w:rsid w:val="00A335FF"/>
    <w:rsid w:val="00A33E5A"/>
    <w:rsid w:val="00A3452F"/>
    <w:rsid w:val="00A348F8"/>
    <w:rsid w:val="00A367AE"/>
    <w:rsid w:val="00A368AC"/>
    <w:rsid w:val="00A377F3"/>
    <w:rsid w:val="00A379E5"/>
    <w:rsid w:val="00A40732"/>
    <w:rsid w:val="00A42944"/>
    <w:rsid w:val="00A42F63"/>
    <w:rsid w:val="00A43C0A"/>
    <w:rsid w:val="00A43FAE"/>
    <w:rsid w:val="00A44044"/>
    <w:rsid w:val="00A44979"/>
    <w:rsid w:val="00A44FE5"/>
    <w:rsid w:val="00A455A8"/>
    <w:rsid w:val="00A45D21"/>
    <w:rsid w:val="00A5032E"/>
    <w:rsid w:val="00A50E9E"/>
    <w:rsid w:val="00A513BD"/>
    <w:rsid w:val="00A51455"/>
    <w:rsid w:val="00A519D2"/>
    <w:rsid w:val="00A51DC6"/>
    <w:rsid w:val="00A53171"/>
    <w:rsid w:val="00A53D85"/>
    <w:rsid w:val="00A53F5A"/>
    <w:rsid w:val="00A5403B"/>
    <w:rsid w:val="00A5461B"/>
    <w:rsid w:val="00A54F6E"/>
    <w:rsid w:val="00A5526A"/>
    <w:rsid w:val="00A56057"/>
    <w:rsid w:val="00A56A8C"/>
    <w:rsid w:val="00A57670"/>
    <w:rsid w:val="00A60013"/>
    <w:rsid w:val="00A61A8D"/>
    <w:rsid w:val="00A6237F"/>
    <w:rsid w:val="00A637C8"/>
    <w:rsid w:val="00A63A9C"/>
    <w:rsid w:val="00A64DC8"/>
    <w:rsid w:val="00A64FB4"/>
    <w:rsid w:val="00A6568C"/>
    <w:rsid w:val="00A65B4A"/>
    <w:rsid w:val="00A66A3A"/>
    <w:rsid w:val="00A6733E"/>
    <w:rsid w:val="00A67F31"/>
    <w:rsid w:val="00A70100"/>
    <w:rsid w:val="00A70409"/>
    <w:rsid w:val="00A71394"/>
    <w:rsid w:val="00A72167"/>
    <w:rsid w:val="00A721FC"/>
    <w:rsid w:val="00A7243C"/>
    <w:rsid w:val="00A7326C"/>
    <w:rsid w:val="00A737C9"/>
    <w:rsid w:val="00A73C61"/>
    <w:rsid w:val="00A74292"/>
    <w:rsid w:val="00A74EB4"/>
    <w:rsid w:val="00A7595E"/>
    <w:rsid w:val="00A75C20"/>
    <w:rsid w:val="00A75F00"/>
    <w:rsid w:val="00A77543"/>
    <w:rsid w:val="00A77E7F"/>
    <w:rsid w:val="00A80383"/>
    <w:rsid w:val="00A803E5"/>
    <w:rsid w:val="00A81A01"/>
    <w:rsid w:val="00A82D6A"/>
    <w:rsid w:val="00A83DC5"/>
    <w:rsid w:val="00A84575"/>
    <w:rsid w:val="00A84648"/>
    <w:rsid w:val="00A846E8"/>
    <w:rsid w:val="00A85956"/>
    <w:rsid w:val="00A86174"/>
    <w:rsid w:val="00A8629D"/>
    <w:rsid w:val="00A86F2D"/>
    <w:rsid w:val="00A87625"/>
    <w:rsid w:val="00A87905"/>
    <w:rsid w:val="00A87AB4"/>
    <w:rsid w:val="00A90A60"/>
    <w:rsid w:val="00A9177A"/>
    <w:rsid w:val="00A91E91"/>
    <w:rsid w:val="00A92538"/>
    <w:rsid w:val="00A9334E"/>
    <w:rsid w:val="00A94236"/>
    <w:rsid w:val="00A9586E"/>
    <w:rsid w:val="00A95EA1"/>
    <w:rsid w:val="00A964EE"/>
    <w:rsid w:val="00A966B7"/>
    <w:rsid w:val="00A96806"/>
    <w:rsid w:val="00A9698F"/>
    <w:rsid w:val="00A97652"/>
    <w:rsid w:val="00A97EF6"/>
    <w:rsid w:val="00AA0A2E"/>
    <w:rsid w:val="00AA1B12"/>
    <w:rsid w:val="00AA28AE"/>
    <w:rsid w:val="00AA4ADA"/>
    <w:rsid w:val="00AA6979"/>
    <w:rsid w:val="00AB06E9"/>
    <w:rsid w:val="00AB0C08"/>
    <w:rsid w:val="00AB0CF8"/>
    <w:rsid w:val="00AB1C9B"/>
    <w:rsid w:val="00AB2491"/>
    <w:rsid w:val="00AB2A0A"/>
    <w:rsid w:val="00AB2A4B"/>
    <w:rsid w:val="00AB3B04"/>
    <w:rsid w:val="00AB40D7"/>
    <w:rsid w:val="00AB4823"/>
    <w:rsid w:val="00AB4B82"/>
    <w:rsid w:val="00AB4DF0"/>
    <w:rsid w:val="00AB5EE4"/>
    <w:rsid w:val="00AB6954"/>
    <w:rsid w:val="00AB6DA6"/>
    <w:rsid w:val="00AB7D5C"/>
    <w:rsid w:val="00AC00FA"/>
    <w:rsid w:val="00AC10E7"/>
    <w:rsid w:val="00AC1815"/>
    <w:rsid w:val="00AC2A41"/>
    <w:rsid w:val="00AC313B"/>
    <w:rsid w:val="00AC7830"/>
    <w:rsid w:val="00AD063E"/>
    <w:rsid w:val="00AD07D9"/>
    <w:rsid w:val="00AD0B93"/>
    <w:rsid w:val="00AD1187"/>
    <w:rsid w:val="00AD1839"/>
    <w:rsid w:val="00AD24E6"/>
    <w:rsid w:val="00AD2780"/>
    <w:rsid w:val="00AD3440"/>
    <w:rsid w:val="00AD4467"/>
    <w:rsid w:val="00AD5661"/>
    <w:rsid w:val="00AD5824"/>
    <w:rsid w:val="00AD6317"/>
    <w:rsid w:val="00AD66AA"/>
    <w:rsid w:val="00AD6C71"/>
    <w:rsid w:val="00AD73AC"/>
    <w:rsid w:val="00AE024E"/>
    <w:rsid w:val="00AE0319"/>
    <w:rsid w:val="00AE04A0"/>
    <w:rsid w:val="00AE1722"/>
    <w:rsid w:val="00AE1BC9"/>
    <w:rsid w:val="00AE2953"/>
    <w:rsid w:val="00AE2B76"/>
    <w:rsid w:val="00AE3052"/>
    <w:rsid w:val="00AE42F5"/>
    <w:rsid w:val="00AE6D77"/>
    <w:rsid w:val="00AE7304"/>
    <w:rsid w:val="00AF06C0"/>
    <w:rsid w:val="00AF0CDE"/>
    <w:rsid w:val="00AF1471"/>
    <w:rsid w:val="00AF211B"/>
    <w:rsid w:val="00AF25AB"/>
    <w:rsid w:val="00AF278F"/>
    <w:rsid w:val="00AF38A6"/>
    <w:rsid w:val="00AF3944"/>
    <w:rsid w:val="00AF5B11"/>
    <w:rsid w:val="00AF64C4"/>
    <w:rsid w:val="00AF68E5"/>
    <w:rsid w:val="00AF7EA7"/>
    <w:rsid w:val="00B00ACD"/>
    <w:rsid w:val="00B010B6"/>
    <w:rsid w:val="00B01BC5"/>
    <w:rsid w:val="00B02974"/>
    <w:rsid w:val="00B047D4"/>
    <w:rsid w:val="00B04C1C"/>
    <w:rsid w:val="00B04F98"/>
    <w:rsid w:val="00B05594"/>
    <w:rsid w:val="00B0577C"/>
    <w:rsid w:val="00B05B83"/>
    <w:rsid w:val="00B05EED"/>
    <w:rsid w:val="00B068EC"/>
    <w:rsid w:val="00B06DBA"/>
    <w:rsid w:val="00B0745D"/>
    <w:rsid w:val="00B10335"/>
    <w:rsid w:val="00B105A8"/>
    <w:rsid w:val="00B108C5"/>
    <w:rsid w:val="00B10B29"/>
    <w:rsid w:val="00B126AD"/>
    <w:rsid w:val="00B1286A"/>
    <w:rsid w:val="00B13395"/>
    <w:rsid w:val="00B1426E"/>
    <w:rsid w:val="00B14C4A"/>
    <w:rsid w:val="00B1585C"/>
    <w:rsid w:val="00B15876"/>
    <w:rsid w:val="00B15D25"/>
    <w:rsid w:val="00B17A1C"/>
    <w:rsid w:val="00B20362"/>
    <w:rsid w:val="00B224F1"/>
    <w:rsid w:val="00B22613"/>
    <w:rsid w:val="00B22675"/>
    <w:rsid w:val="00B22F71"/>
    <w:rsid w:val="00B23729"/>
    <w:rsid w:val="00B2474E"/>
    <w:rsid w:val="00B250D1"/>
    <w:rsid w:val="00B260C5"/>
    <w:rsid w:val="00B3063A"/>
    <w:rsid w:val="00B3101B"/>
    <w:rsid w:val="00B321E4"/>
    <w:rsid w:val="00B32AB5"/>
    <w:rsid w:val="00B33063"/>
    <w:rsid w:val="00B3358C"/>
    <w:rsid w:val="00B33E1C"/>
    <w:rsid w:val="00B34202"/>
    <w:rsid w:val="00B3546F"/>
    <w:rsid w:val="00B355B1"/>
    <w:rsid w:val="00B36A19"/>
    <w:rsid w:val="00B36A1B"/>
    <w:rsid w:val="00B37247"/>
    <w:rsid w:val="00B37800"/>
    <w:rsid w:val="00B40728"/>
    <w:rsid w:val="00B414AC"/>
    <w:rsid w:val="00B41958"/>
    <w:rsid w:val="00B41C6E"/>
    <w:rsid w:val="00B423FE"/>
    <w:rsid w:val="00B42B05"/>
    <w:rsid w:val="00B43129"/>
    <w:rsid w:val="00B444A2"/>
    <w:rsid w:val="00B469B4"/>
    <w:rsid w:val="00B46E28"/>
    <w:rsid w:val="00B46F2E"/>
    <w:rsid w:val="00B474B2"/>
    <w:rsid w:val="00B5011C"/>
    <w:rsid w:val="00B510F6"/>
    <w:rsid w:val="00B51EE8"/>
    <w:rsid w:val="00B52545"/>
    <w:rsid w:val="00B52BCC"/>
    <w:rsid w:val="00B52DCF"/>
    <w:rsid w:val="00B5376C"/>
    <w:rsid w:val="00B53838"/>
    <w:rsid w:val="00B53E66"/>
    <w:rsid w:val="00B5474A"/>
    <w:rsid w:val="00B54BFC"/>
    <w:rsid w:val="00B55DA9"/>
    <w:rsid w:val="00B56DA3"/>
    <w:rsid w:val="00B57D03"/>
    <w:rsid w:val="00B6077F"/>
    <w:rsid w:val="00B61962"/>
    <w:rsid w:val="00B619D0"/>
    <w:rsid w:val="00B6268F"/>
    <w:rsid w:val="00B645CA"/>
    <w:rsid w:val="00B65761"/>
    <w:rsid w:val="00B667C3"/>
    <w:rsid w:val="00B66923"/>
    <w:rsid w:val="00B67A60"/>
    <w:rsid w:val="00B716BB"/>
    <w:rsid w:val="00B71966"/>
    <w:rsid w:val="00B72F05"/>
    <w:rsid w:val="00B74B4C"/>
    <w:rsid w:val="00B74D53"/>
    <w:rsid w:val="00B74EC4"/>
    <w:rsid w:val="00B763DE"/>
    <w:rsid w:val="00B779D1"/>
    <w:rsid w:val="00B80384"/>
    <w:rsid w:val="00B80872"/>
    <w:rsid w:val="00B80DC3"/>
    <w:rsid w:val="00B8176D"/>
    <w:rsid w:val="00B82E47"/>
    <w:rsid w:val="00B84E1F"/>
    <w:rsid w:val="00B85719"/>
    <w:rsid w:val="00B85F07"/>
    <w:rsid w:val="00B87E6A"/>
    <w:rsid w:val="00B90A5D"/>
    <w:rsid w:val="00B911F6"/>
    <w:rsid w:val="00B9141F"/>
    <w:rsid w:val="00B914FA"/>
    <w:rsid w:val="00B91594"/>
    <w:rsid w:val="00B919A6"/>
    <w:rsid w:val="00B91C00"/>
    <w:rsid w:val="00B91D35"/>
    <w:rsid w:val="00B921B3"/>
    <w:rsid w:val="00B93E51"/>
    <w:rsid w:val="00B9423C"/>
    <w:rsid w:val="00B942FD"/>
    <w:rsid w:val="00B9468A"/>
    <w:rsid w:val="00B95382"/>
    <w:rsid w:val="00B9618D"/>
    <w:rsid w:val="00B96698"/>
    <w:rsid w:val="00B96E30"/>
    <w:rsid w:val="00BA13D4"/>
    <w:rsid w:val="00BA1502"/>
    <w:rsid w:val="00BA1512"/>
    <w:rsid w:val="00BA2D92"/>
    <w:rsid w:val="00BA303C"/>
    <w:rsid w:val="00BA34F6"/>
    <w:rsid w:val="00BA4028"/>
    <w:rsid w:val="00BA4C14"/>
    <w:rsid w:val="00BA5165"/>
    <w:rsid w:val="00BA53FC"/>
    <w:rsid w:val="00BA56C1"/>
    <w:rsid w:val="00BA58EA"/>
    <w:rsid w:val="00BA5989"/>
    <w:rsid w:val="00BA609B"/>
    <w:rsid w:val="00BA61CA"/>
    <w:rsid w:val="00BA724E"/>
    <w:rsid w:val="00BA7555"/>
    <w:rsid w:val="00BA7D55"/>
    <w:rsid w:val="00BB0BC8"/>
    <w:rsid w:val="00BB0D0A"/>
    <w:rsid w:val="00BB1D9F"/>
    <w:rsid w:val="00BB20B0"/>
    <w:rsid w:val="00BB2BE2"/>
    <w:rsid w:val="00BB54D1"/>
    <w:rsid w:val="00BB6EF6"/>
    <w:rsid w:val="00BC0101"/>
    <w:rsid w:val="00BC1EA9"/>
    <w:rsid w:val="00BC1F39"/>
    <w:rsid w:val="00BC1F5C"/>
    <w:rsid w:val="00BC2B55"/>
    <w:rsid w:val="00BC2F22"/>
    <w:rsid w:val="00BC3031"/>
    <w:rsid w:val="00BC3748"/>
    <w:rsid w:val="00BC44B5"/>
    <w:rsid w:val="00BC495A"/>
    <w:rsid w:val="00BC4DB9"/>
    <w:rsid w:val="00BC4EF8"/>
    <w:rsid w:val="00BC5F15"/>
    <w:rsid w:val="00BC6931"/>
    <w:rsid w:val="00BC6A5F"/>
    <w:rsid w:val="00BC70EE"/>
    <w:rsid w:val="00BC7310"/>
    <w:rsid w:val="00BC7C9A"/>
    <w:rsid w:val="00BC7D09"/>
    <w:rsid w:val="00BD0412"/>
    <w:rsid w:val="00BD2F3B"/>
    <w:rsid w:val="00BD31E4"/>
    <w:rsid w:val="00BD3438"/>
    <w:rsid w:val="00BD3EDE"/>
    <w:rsid w:val="00BD519E"/>
    <w:rsid w:val="00BD692A"/>
    <w:rsid w:val="00BD6B1C"/>
    <w:rsid w:val="00BE0324"/>
    <w:rsid w:val="00BE09AD"/>
    <w:rsid w:val="00BE1113"/>
    <w:rsid w:val="00BE2089"/>
    <w:rsid w:val="00BE25F8"/>
    <w:rsid w:val="00BE2E28"/>
    <w:rsid w:val="00BE3D70"/>
    <w:rsid w:val="00BE47C1"/>
    <w:rsid w:val="00BE5560"/>
    <w:rsid w:val="00BE6EB7"/>
    <w:rsid w:val="00BE7065"/>
    <w:rsid w:val="00BE7299"/>
    <w:rsid w:val="00BE7581"/>
    <w:rsid w:val="00BF0BE0"/>
    <w:rsid w:val="00BF0E19"/>
    <w:rsid w:val="00BF1F73"/>
    <w:rsid w:val="00BF3F51"/>
    <w:rsid w:val="00BF4B26"/>
    <w:rsid w:val="00BF5954"/>
    <w:rsid w:val="00BF5B5A"/>
    <w:rsid w:val="00BF5B67"/>
    <w:rsid w:val="00BF61CC"/>
    <w:rsid w:val="00BF6B57"/>
    <w:rsid w:val="00C0295A"/>
    <w:rsid w:val="00C066FF"/>
    <w:rsid w:val="00C07159"/>
    <w:rsid w:val="00C10003"/>
    <w:rsid w:val="00C1082C"/>
    <w:rsid w:val="00C1202C"/>
    <w:rsid w:val="00C12466"/>
    <w:rsid w:val="00C12604"/>
    <w:rsid w:val="00C12ED6"/>
    <w:rsid w:val="00C131BF"/>
    <w:rsid w:val="00C1350B"/>
    <w:rsid w:val="00C13644"/>
    <w:rsid w:val="00C145A1"/>
    <w:rsid w:val="00C14EB5"/>
    <w:rsid w:val="00C16DF3"/>
    <w:rsid w:val="00C16E07"/>
    <w:rsid w:val="00C17C5C"/>
    <w:rsid w:val="00C2052A"/>
    <w:rsid w:val="00C214B2"/>
    <w:rsid w:val="00C2176A"/>
    <w:rsid w:val="00C21DE0"/>
    <w:rsid w:val="00C23403"/>
    <w:rsid w:val="00C24228"/>
    <w:rsid w:val="00C24256"/>
    <w:rsid w:val="00C2449A"/>
    <w:rsid w:val="00C247AE"/>
    <w:rsid w:val="00C26FB6"/>
    <w:rsid w:val="00C27574"/>
    <w:rsid w:val="00C30EE7"/>
    <w:rsid w:val="00C3107F"/>
    <w:rsid w:val="00C311C7"/>
    <w:rsid w:val="00C316A7"/>
    <w:rsid w:val="00C32755"/>
    <w:rsid w:val="00C32BE5"/>
    <w:rsid w:val="00C341B9"/>
    <w:rsid w:val="00C35767"/>
    <w:rsid w:val="00C358DB"/>
    <w:rsid w:val="00C36039"/>
    <w:rsid w:val="00C360CF"/>
    <w:rsid w:val="00C36E8B"/>
    <w:rsid w:val="00C36F7B"/>
    <w:rsid w:val="00C37D8E"/>
    <w:rsid w:val="00C40383"/>
    <w:rsid w:val="00C408AF"/>
    <w:rsid w:val="00C41281"/>
    <w:rsid w:val="00C41305"/>
    <w:rsid w:val="00C42352"/>
    <w:rsid w:val="00C42DE1"/>
    <w:rsid w:val="00C43300"/>
    <w:rsid w:val="00C4466B"/>
    <w:rsid w:val="00C44691"/>
    <w:rsid w:val="00C44F5B"/>
    <w:rsid w:val="00C45D54"/>
    <w:rsid w:val="00C45EEC"/>
    <w:rsid w:val="00C472A6"/>
    <w:rsid w:val="00C5030D"/>
    <w:rsid w:val="00C51580"/>
    <w:rsid w:val="00C52586"/>
    <w:rsid w:val="00C52A75"/>
    <w:rsid w:val="00C52F57"/>
    <w:rsid w:val="00C53404"/>
    <w:rsid w:val="00C5388C"/>
    <w:rsid w:val="00C555B0"/>
    <w:rsid w:val="00C558D1"/>
    <w:rsid w:val="00C56D3C"/>
    <w:rsid w:val="00C57DA8"/>
    <w:rsid w:val="00C60B96"/>
    <w:rsid w:val="00C61421"/>
    <w:rsid w:val="00C61C4D"/>
    <w:rsid w:val="00C621D1"/>
    <w:rsid w:val="00C629D9"/>
    <w:rsid w:val="00C6386E"/>
    <w:rsid w:val="00C63CD9"/>
    <w:rsid w:val="00C6435D"/>
    <w:rsid w:val="00C6478E"/>
    <w:rsid w:val="00C71463"/>
    <w:rsid w:val="00C71589"/>
    <w:rsid w:val="00C719DB"/>
    <w:rsid w:val="00C72220"/>
    <w:rsid w:val="00C7257E"/>
    <w:rsid w:val="00C725BD"/>
    <w:rsid w:val="00C72FEE"/>
    <w:rsid w:val="00C739DB"/>
    <w:rsid w:val="00C73CD3"/>
    <w:rsid w:val="00C74224"/>
    <w:rsid w:val="00C744F3"/>
    <w:rsid w:val="00C74549"/>
    <w:rsid w:val="00C74D00"/>
    <w:rsid w:val="00C7522E"/>
    <w:rsid w:val="00C766F9"/>
    <w:rsid w:val="00C76A4D"/>
    <w:rsid w:val="00C76D48"/>
    <w:rsid w:val="00C802B1"/>
    <w:rsid w:val="00C805F5"/>
    <w:rsid w:val="00C80D55"/>
    <w:rsid w:val="00C813B0"/>
    <w:rsid w:val="00C82225"/>
    <w:rsid w:val="00C82FD7"/>
    <w:rsid w:val="00C8357F"/>
    <w:rsid w:val="00C83756"/>
    <w:rsid w:val="00C83762"/>
    <w:rsid w:val="00C8471D"/>
    <w:rsid w:val="00C85938"/>
    <w:rsid w:val="00C85DBE"/>
    <w:rsid w:val="00C8626C"/>
    <w:rsid w:val="00C86AA0"/>
    <w:rsid w:val="00C87BE9"/>
    <w:rsid w:val="00C90A0E"/>
    <w:rsid w:val="00C92097"/>
    <w:rsid w:val="00C920E3"/>
    <w:rsid w:val="00C926FB"/>
    <w:rsid w:val="00C928CE"/>
    <w:rsid w:val="00C9440D"/>
    <w:rsid w:val="00C9449D"/>
    <w:rsid w:val="00C94647"/>
    <w:rsid w:val="00C94C7A"/>
    <w:rsid w:val="00C96636"/>
    <w:rsid w:val="00C96C2F"/>
    <w:rsid w:val="00CA01D3"/>
    <w:rsid w:val="00CA0F9B"/>
    <w:rsid w:val="00CA209E"/>
    <w:rsid w:val="00CA2EEE"/>
    <w:rsid w:val="00CA3D1D"/>
    <w:rsid w:val="00CA5D3C"/>
    <w:rsid w:val="00CA5F95"/>
    <w:rsid w:val="00CA60AC"/>
    <w:rsid w:val="00CA60E4"/>
    <w:rsid w:val="00CA71FB"/>
    <w:rsid w:val="00CA75DB"/>
    <w:rsid w:val="00CA798E"/>
    <w:rsid w:val="00CB1F7E"/>
    <w:rsid w:val="00CB33EE"/>
    <w:rsid w:val="00CB4877"/>
    <w:rsid w:val="00CB5606"/>
    <w:rsid w:val="00CB58C5"/>
    <w:rsid w:val="00CB5D5E"/>
    <w:rsid w:val="00CB626B"/>
    <w:rsid w:val="00CB7B69"/>
    <w:rsid w:val="00CC0D03"/>
    <w:rsid w:val="00CC0DC5"/>
    <w:rsid w:val="00CC1AD8"/>
    <w:rsid w:val="00CC1C8C"/>
    <w:rsid w:val="00CC1FE1"/>
    <w:rsid w:val="00CC2EA0"/>
    <w:rsid w:val="00CC3108"/>
    <w:rsid w:val="00CC395A"/>
    <w:rsid w:val="00CC3E19"/>
    <w:rsid w:val="00CC40A2"/>
    <w:rsid w:val="00CC5257"/>
    <w:rsid w:val="00CC5917"/>
    <w:rsid w:val="00CC5AF9"/>
    <w:rsid w:val="00CC5FA2"/>
    <w:rsid w:val="00CC62E7"/>
    <w:rsid w:val="00CC6B36"/>
    <w:rsid w:val="00CC7F54"/>
    <w:rsid w:val="00CD03B1"/>
    <w:rsid w:val="00CD1756"/>
    <w:rsid w:val="00CD181F"/>
    <w:rsid w:val="00CD1E32"/>
    <w:rsid w:val="00CD30B8"/>
    <w:rsid w:val="00CD4E20"/>
    <w:rsid w:val="00CD580C"/>
    <w:rsid w:val="00CD5A29"/>
    <w:rsid w:val="00CD5ADE"/>
    <w:rsid w:val="00CD67B5"/>
    <w:rsid w:val="00CD7A27"/>
    <w:rsid w:val="00CD7D9F"/>
    <w:rsid w:val="00CE0B37"/>
    <w:rsid w:val="00CE13EF"/>
    <w:rsid w:val="00CE1A9D"/>
    <w:rsid w:val="00CE243E"/>
    <w:rsid w:val="00CE2D50"/>
    <w:rsid w:val="00CE37CE"/>
    <w:rsid w:val="00CE39E6"/>
    <w:rsid w:val="00CE3ADE"/>
    <w:rsid w:val="00CE6383"/>
    <w:rsid w:val="00CE6D4C"/>
    <w:rsid w:val="00CE6DB0"/>
    <w:rsid w:val="00CE7186"/>
    <w:rsid w:val="00CE73E8"/>
    <w:rsid w:val="00CF0C69"/>
    <w:rsid w:val="00CF0F39"/>
    <w:rsid w:val="00CF103A"/>
    <w:rsid w:val="00CF2483"/>
    <w:rsid w:val="00CF28E7"/>
    <w:rsid w:val="00CF34BA"/>
    <w:rsid w:val="00CF433B"/>
    <w:rsid w:val="00CF58E7"/>
    <w:rsid w:val="00D01743"/>
    <w:rsid w:val="00D01A78"/>
    <w:rsid w:val="00D02197"/>
    <w:rsid w:val="00D0396D"/>
    <w:rsid w:val="00D03ACF"/>
    <w:rsid w:val="00D03AFE"/>
    <w:rsid w:val="00D03F42"/>
    <w:rsid w:val="00D04265"/>
    <w:rsid w:val="00D04C70"/>
    <w:rsid w:val="00D04E60"/>
    <w:rsid w:val="00D055D7"/>
    <w:rsid w:val="00D05B96"/>
    <w:rsid w:val="00D06067"/>
    <w:rsid w:val="00D077DC"/>
    <w:rsid w:val="00D07CD6"/>
    <w:rsid w:val="00D07F08"/>
    <w:rsid w:val="00D1070B"/>
    <w:rsid w:val="00D10AD8"/>
    <w:rsid w:val="00D111FA"/>
    <w:rsid w:val="00D11531"/>
    <w:rsid w:val="00D122E7"/>
    <w:rsid w:val="00D131B8"/>
    <w:rsid w:val="00D13B3B"/>
    <w:rsid w:val="00D13E75"/>
    <w:rsid w:val="00D14B68"/>
    <w:rsid w:val="00D14E89"/>
    <w:rsid w:val="00D16191"/>
    <w:rsid w:val="00D162EB"/>
    <w:rsid w:val="00D16311"/>
    <w:rsid w:val="00D17258"/>
    <w:rsid w:val="00D2059E"/>
    <w:rsid w:val="00D213EF"/>
    <w:rsid w:val="00D21866"/>
    <w:rsid w:val="00D21E1E"/>
    <w:rsid w:val="00D21FA8"/>
    <w:rsid w:val="00D2300E"/>
    <w:rsid w:val="00D23109"/>
    <w:rsid w:val="00D233F9"/>
    <w:rsid w:val="00D24F6F"/>
    <w:rsid w:val="00D253E2"/>
    <w:rsid w:val="00D258C4"/>
    <w:rsid w:val="00D25A55"/>
    <w:rsid w:val="00D25F9D"/>
    <w:rsid w:val="00D266B9"/>
    <w:rsid w:val="00D26D8A"/>
    <w:rsid w:val="00D26E9D"/>
    <w:rsid w:val="00D2720F"/>
    <w:rsid w:val="00D2784B"/>
    <w:rsid w:val="00D30238"/>
    <w:rsid w:val="00D302E3"/>
    <w:rsid w:val="00D30F3F"/>
    <w:rsid w:val="00D32008"/>
    <w:rsid w:val="00D32CC6"/>
    <w:rsid w:val="00D345FF"/>
    <w:rsid w:val="00D36B43"/>
    <w:rsid w:val="00D36C2B"/>
    <w:rsid w:val="00D36D30"/>
    <w:rsid w:val="00D403BB"/>
    <w:rsid w:val="00D40F11"/>
    <w:rsid w:val="00D416C3"/>
    <w:rsid w:val="00D42F51"/>
    <w:rsid w:val="00D432CD"/>
    <w:rsid w:val="00D43F0B"/>
    <w:rsid w:val="00D443DA"/>
    <w:rsid w:val="00D465E4"/>
    <w:rsid w:val="00D46A99"/>
    <w:rsid w:val="00D47717"/>
    <w:rsid w:val="00D505E1"/>
    <w:rsid w:val="00D506A8"/>
    <w:rsid w:val="00D51FB6"/>
    <w:rsid w:val="00D54264"/>
    <w:rsid w:val="00D54F97"/>
    <w:rsid w:val="00D56231"/>
    <w:rsid w:val="00D6036F"/>
    <w:rsid w:val="00D60B50"/>
    <w:rsid w:val="00D60BD8"/>
    <w:rsid w:val="00D615CD"/>
    <w:rsid w:val="00D61A93"/>
    <w:rsid w:val="00D61B20"/>
    <w:rsid w:val="00D64B6E"/>
    <w:rsid w:val="00D64E61"/>
    <w:rsid w:val="00D6563A"/>
    <w:rsid w:val="00D66D34"/>
    <w:rsid w:val="00D66ECD"/>
    <w:rsid w:val="00D67146"/>
    <w:rsid w:val="00D67211"/>
    <w:rsid w:val="00D677BA"/>
    <w:rsid w:val="00D70499"/>
    <w:rsid w:val="00D708BB"/>
    <w:rsid w:val="00D70CAF"/>
    <w:rsid w:val="00D7179E"/>
    <w:rsid w:val="00D71922"/>
    <w:rsid w:val="00D71D89"/>
    <w:rsid w:val="00D72457"/>
    <w:rsid w:val="00D72AF4"/>
    <w:rsid w:val="00D72D81"/>
    <w:rsid w:val="00D73D7D"/>
    <w:rsid w:val="00D74C88"/>
    <w:rsid w:val="00D7532A"/>
    <w:rsid w:val="00D75F3C"/>
    <w:rsid w:val="00D75FD7"/>
    <w:rsid w:val="00D763A7"/>
    <w:rsid w:val="00D76B1B"/>
    <w:rsid w:val="00D76C33"/>
    <w:rsid w:val="00D77618"/>
    <w:rsid w:val="00D80368"/>
    <w:rsid w:val="00D80722"/>
    <w:rsid w:val="00D820F5"/>
    <w:rsid w:val="00D8242A"/>
    <w:rsid w:val="00D82A48"/>
    <w:rsid w:val="00D82EB4"/>
    <w:rsid w:val="00D83953"/>
    <w:rsid w:val="00D848CF"/>
    <w:rsid w:val="00D84F4A"/>
    <w:rsid w:val="00D85336"/>
    <w:rsid w:val="00D860F1"/>
    <w:rsid w:val="00D86155"/>
    <w:rsid w:val="00D8646A"/>
    <w:rsid w:val="00D870E1"/>
    <w:rsid w:val="00D87CD4"/>
    <w:rsid w:val="00D91157"/>
    <w:rsid w:val="00D930F2"/>
    <w:rsid w:val="00D942C7"/>
    <w:rsid w:val="00D94357"/>
    <w:rsid w:val="00D9461F"/>
    <w:rsid w:val="00D956AA"/>
    <w:rsid w:val="00D95B48"/>
    <w:rsid w:val="00D970A6"/>
    <w:rsid w:val="00D970DB"/>
    <w:rsid w:val="00D979C6"/>
    <w:rsid w:val="00DA03F7"/>
    <w:rsid w:val="00DA1E9F"/>
    <w:rsid w:val="00DA24A0"/>
    <w:rsid w:val="00DA26FA"/>
    <w:rsid w:val="00DA4339"/>
    <w:rsid w:val="00DA568B"/>
    <w:rsid w:val="00DA62F5"/>
    <w:rsid w:val="00DA7544"/>
    <w:rsid w:val="00DB12C0"/>
    <w:rsid w:val="00DB1E11"/>
    <w:rsid w:val="00DB1EF1"/>
    <w:rsid w:val="00DB43AA"/>
    <w:rsid w:val="00DB59BC"/>
    <w:rsid w:val="00DB652B"/>
    <w:rsid w:val="00DB730E"/>
    <w:rsid w:val="00DB7D89"/>
    <w:rsid w:val="00DC05B1"/>
    <w:rsid w:val="00DC0619"/>
    <w:rsid w:val="00DC0A74"/>
    <w:rsid w:val="00DC0AC1"/>
    <w:rsid w:val="00DC2514"/>
    <w:rsid w:val="00DC256C"/>
    <w:rsid w:val="00DC27E6"/>
    <w:rsid w:val="00DC2917"/>
    <w:rsid w:val="00DC2A9E"/>
    <w:rsid w:val="00DC3445"/>
    <w:rsid w:val="00DC3BC5"/>
    <w:rsid w:val="00DC5405"/>
    <w:rsid w:val="00DC5768"/>
    <w:rsid w:val="00DC59DD"/>
    <w:rsid w:val="00DC62A6"/>
    <w:rsid w:val="00DC6ED5"/>
    <w:rsid w:val="00DD025A"/>
    <w:rsid w:val="00DD1785"/>
    <w:rsid w:val="00DD2046"/>
    <w:rsid w:val="00DD28B9"/>
    <w:rsid w:val="00DD4E9A"/>
    <w:rsid w:val="00DD5CB0"/>
    <w:rsid w:val="00DD5DE8"/>
    <w:rsid w:val="00DD630C"/>
    <w:rsid w:val="00DE2279"/>
    <w:rsid w:val="00DE2285"/>
    <w:rsid w:val="00DE4BFE"/>
    <w:rsid w:val="00DE5836"/>
    <w:rsid w:val="00DE6580"/>
    <w:rsid w:val="00DE6E6C"/>
    <w:rsid w:val="00DE747D"/>
    <w:rsid w:val="00DE7E38"/>
    <w:rsid w:val="00DF0D7C"/>
    <w:rsid w:val="00DF15AA"/>
    <w:rsid w:val="00DF1B0A"/>
    <w:rsid w:val="00DF1D12"/>
    <w:rsid w:val="00DF259A"/>
    <w:rsid w:val="00DF2FE7"/>
    <w:rsid w:val="00DF343D"/>
    <w:rsid w:val="00DF4AD7"/>
    <w:rsid w:val="00DF70C6"/>
    <w:rsid w:val="00DF7395"/>
    <w:rsid w:val="00DF77E0"/>
    <w:rsid w:val="00DF7B3C"/>
    <w:rsid w:val="00E0143C"/>
    <w:rsid w:val="00E01767"/>
    <w:rsid w:val="00E01892"/>
    <w:rsid w:val="00E02778"/>
    <w:rsid w:val="00E02B87"/>
    <w:rsid w:val="00E02CEF"/>
    <w:rsid w:val="00E033BA"/>
    <w:rsid w:val="00E03625"/>
    <w:rsid w:val="00E03879"/>
    <w:rsid w:val="00E03DE7"/>
    <w:rsid w:val="00E04018"/>
    <w:rsid w:val="00E04765"/>
    <w:rsid w:val="00E05004"/>
    <w:rsid w:val="00E050A2"/>
    <w:rsid w:val="00E05841"/>
    <w:rsid w:val="00E05854"/>
    <w:rsid w:val="00E06064"/>
    <w:rsid w:val="00E07799"/>
    <w:rsid w:val="00E07AE2"/>
    <w:rsid w:val="00E1003E"/>
    <w:rsid w:val="00E1016E"/>
    <w:rsid w:val="00E10683"/>
    <w:rsid w:val="00E10A42"/>
    <w:rsid w:val="00E10F5C"/>
    <w:rsid w:val="00E1139D"/>
    <w:rsid w:val="00E114CB"/>
    <w:rsid w:val="00E11C50"/>
    <w:rsid w:val="00E1239B"/>
    <w:rsid w:val="00E12873"/>
    <w:rsid w:val="00E12F9C"/>
    <w:rsid w:val="00E140C4"/>
    <w:rsid w:val="00E14CF4"/>
    <w:rsid w:val="00E15466"/>
    <w:rsid w:val="00E160B9"/>
    <w:rsid w:val="00E16DC0"/>
    <w:rsid w:val="00E17D81"/>
    <w:rsid w:val="00E20576"/>
    <w:rsid w:val="00E20780"/>
    <w:rsid w:val="00E20BDC"/>
    <w:rsid w:val="00E211D6"/>
    <w:rsid w:val="00E214DD"/>
    <w:rsid w:val="00E22239"/>
    <w:rsid w:val="00E23F60"/>
    <w:rsid w:val="00E2482F"/>
    <w:rsid w:val="00E24C37"/>
    <w:rsid w:val="00E24DFB"/>
    <w:rsid w:val="00E27F2F"/>
    <w:rsid w:val="00E318DD"/>
    <w:rsid w:val="00E319B3"/>
    <w:rsid w:val="00E325B9"/>
    <w:rsid w:val="00E336BB"/>
    <w:rsid w:val="00E34F9F"/>
    <w:rsid w:val="00E35BE8"/>
    <w:rsid w:val="00E35CAC"/>
    <w:rsid w:val="00E36625"/>
    <w:rsid w:val="00E3667A"/>
    <w:rsid w:val="00E36FA7"/>
    <w:rsid w:val="00E3710D"/>
    <w:rsid w:val="00E400A4"/>
    <w:rsid w:val="00E4069C"/>
    <w:rsid w:val="00E40D8F"/>
    <w:rsid w:val="00E42A10"/>
    <w:rsid w:val="00E4350F"/>
    <w:rsid w:val="00E441DB"/>
    <w:rsid w:val="00E44784"/>
    <w:rsid w:val="00E4500E"/>
    <w:rsid w:val="00E459BF"/>
    <w:rsid w:val="00E45DDC"/>
    <w:rsid w:val="00E461C3"/>
    <w:rsid w:val="00E46622"/>
    <w:rsid w:val="00E46A03"/>
    <w:rsid w:val="00E47DEF"/>
    <w:rsid w:val="00E50749"/>
    <w:rsid w:val="00E51740"/>
    <w:rsid w:val="00E54019"/>
    <w:rsid w:val="00E54651"/>
    <w:rsid w:val="00E55A45"/>
    <w:rsid w:val="00E56A7A"/>
    <w:rsid w:val="00E56DB4"/>
    <w:rsid w:val="00E60B1B"/>
    <w:rsid w:val="00E617FF"/>
    <w:rsid w:val="00E61D74"/>
    <w:rsid w:val="00E620AB"/>
    <w:rsid w:val="00E626EA"/>
    <w:rsid w:val="00E628EB"/>
    <w:rsid w:val="00E63AA7"/>
    <w:rsid w:val="00E63D7D"/>
    <w:rsid w:val="00E6486E"/>
    <w:rsid w:val="00E652F7"/>
    <w:rsid w:val="00E65E0A"/>
    <w:rsid w:val="00E67288"/>
    <w:rsid w:val="00E67310"/>
    <w:rsid w:val="00E67453"/>
    <w:rsid w:val="00E67547"/>
    <w:rsid w:val="00E67978"/>
    <w:rsid w:val="00E67FBB"/>
    <w:rsid w:val="00E7040A"/>
    <w:rsid w:val="00E70843"/>
    <w:rsid w:val="00E70EF9"/>
    <w:rsid w:val="00E72739"/>
    <w:rsid w:val="00E73438"/>
    <w:rsid w:val="00E737C7"/>
    <w:rsid w:val="00E73B73"/>
    <w:rsid w:val="00E7521F"/>
    <w:rsid w:val="00E7593C"/>
    <w:rsid w:val="00E759EF"/>
    <w:rsid w:val="00E770BF"/>
    <w:rsid w:val="00E770DE"/>
    <w:rsid w:val="00E77A9E"/>
    <w:rsid w:val="00E77EE6"/>
    <w:rsid w:val="00E77F46"/>
    <w:rsid w:val="00E80394"/>
    <w:rsid w:val="00E8051C"/>
    <w:rsid w:val="00E80AAF"/>
    <w:rsid w:val="00E81D24"/>
    <w:rsid w:val="00E81EC8"/>
    <w:rsid w:val="00E90EB5"/>
    <w:rsid w:val="00E93024"/>
    <w:rsid w:val="00E94A23"/>
    <w:rsid w:val="00E976C1"/>
    <w:rsid w:val="00E97BF6"/>
    <w:rsid w:val="00E97CD4"/>
    <w:rsid w:val="00EA11CD"/>
    <w:rsid w:val="00EA187C"/>
    <w:rsid w:val="00EA1950"/>
    <w:rsid w:val="00EA1E1D"/>
    <w:rsid w:val="00EA1FEA"/>
    <w:rsid w:val="00EA2A7F"/>
    <w:rsid w:val="00EA2AC3"/>
    <w:rsid w:val="00EA30EC"/>
    <w:rsid w:val="00EA47E1"/>
    <w:rsid w:val="00EA64E8"/>
    <w:rsid w:val="00EA6788"/>
    <w:rsid w:val="00EA7D21"/>
    <w:rsid w:val="00EB00CF"/>
    <w:rsid w:val="00EB0319"/>
    <w:rsid w:val="00EB0ACF"/>
    <w:rsid w:val="00EB0CFA"/>
    <w:rsid w:val="00EB111C"/>
    <w:rsid w:val="00EB20C4"/>
    <w:rsid w:val="00EB3381"/>
    <w:rsid w:val="00EB4229"/>
    <w:rsid w:val="00EB460B"/>
    <w:rsid w:val="00EB6D36"/>
    <w:rsid w:val="00EC050E"/>
    <w:rsid w:val="00EC1C76"/>
    <w:rsid w:val="00EC1E7E"/>
    <w:rsid w:val="00EC2E5D"/>
    <w:rsid w:val="00EC320A"/>
    <w:rsid w:val="00EC33ED"/>
    <w:rsid w:val="00EC3C36"/>
    <w:rsid w:val="00EC3C96"/>
    <w:rsid w:val="00EC4106"/>
    <w:rsid w:val="00EC55E5"/>
    <w:rsid w:val="00EC6867"/>
    <w:rsid w:val="00EC6FB6"/>
    <w:rsid w:val="00EC7259"/>
    <w:rsid w:val="00ED045E"/>
    <w:rsid w:val="00ED17BE"/>
    <w:rsid w:val="00ED18DC"/>
    <w:rsid w:val="00ED1932"/>
    <w:rsid w:val="00ED3BD4"/>
    <w:rsid w:val="00ED4055"/>
    <w:rsid w:val="00ED43EA"/>
    <w:rsid w:val="00ED5054"/>
    <w:rsid w:val="00ED5843"/>
    <w:rsid w:val="00ED6470"/>
    <w:rsid w:val="00ED7707"/>
    <w:rsid w:val="00EE064E"/>
    <w:rsid w:val="00EE1074"/>
    <w:rsid w:val="00EE303C"/>
    <w:rsid w:val="00EE490C"/>
    <w:rsid w:val="00EE50D2"/>
    <w:rsid w:val="00EE6371"/>
    <w:rsid w:val="00EE77D2"/>
    <w:rsid w:val="00EF0526"/>
    <w:rsid w:val="00EF1364"/>
    <w:rsid w:val="00EF21A2"/>
    <w:rsid w:val="00EF36C9"/>
    <w:rsid w:val="00EF3C45"/>
    <w:rsid w:val="00EF422D"/>
    <w:rsid w:val="00EF4BFE"/>
    <w:rsid w:val="00EF52D8"/>
    <w:rsid w:val="00EF548F"/>
    <w:rsid w:val="00EF55B9"/>
    <w:rsid w:val="00EF586D"/>
    <w:rsid w:val="00EF6CB9"/>
    <w:rsid w:val="00EF7300"/>
    <w:rsid w:val="00EF79A2"/>
    <w:rsid w:val="00EF7D5D"/>
    <w:rsid w:val="00F00A06"/>
    <w:rsid w:val="00F013DD"/>
    <w:rsid w:val="00F013F0"/>
    <w:rsid w:val="00F01400"/>
    <w:rsid w:val="00F02348"/>
    <w:rsid w:val="00F03724"/>
    <w:rsid w:val="00F04360"/>
    <w:rsid w:val="00F0473D"/>
    <w:rsid w:val="00F04753"/>
    <w:rsid w:val="00F048AE"/>
    <w:rsid w:val="00F04F24"/>
    <w:rsid w:val="00F06422"/>
    <w:rsid w:val="00F06FD4"/>
    <w:rsid w:val="00F10DD9"/>
    <w:rsid w:val="00F11511"/>
    <w:rsid w:val="00F132F2"/>
    <w:rsid w:val="00F1379F"/>
    <w:rsid w:val="00F13BFD"/>
    <w:rsid w:val="00F1450F"/>
    <w:rsid w:val="00F149C3"/>
    <w:rsid w:val="00F14EC7"/>
    <w:rsid w:val="00F16334"/>
    <w:rsid w:val="00F16B43"/>
    <w:rsid w:val="00F17FAD"/>
    <w:rsid w:val="00F204DE"/>
    <w:rsid w:val="00F23572"/>
    <w:rsid w:val="00F23688"/>
    <w:rsid w:val="00F23F14"/>
    <w:rsid w:val="00F25C6A"/>
    <w:rsid w:val="00F26501"/>
    <w:rsid w:val="00F26BF9"/>
    <w:rsid w:val="00F26EA4"/>
    <w:rsid w:val="00F26EE6"/>
    <w:rsid w:val="00F276B3"/>
    <w:rsid w:val="00F30874"/>
    <w:rsid w:val="00F30ACE"/>
    <w:rsid w:val="00F30C46"/>
    <w:rsid w:val="00F3129C"/>
    <w:rsid w:val="00F316B1"/>
    <w:rsid w:val="00F316C2"/>
    <w:rsid w:val="00F3198E"/>
    <w:rsid w:val="00F31EC4"/>
    <w:rsid w:val="00F328E6"/>
    <w:rsid w:val="00F33210"/>
    <w:rsid w:val="00F33AED"/>
    <w:rsid w:val="00F33C74"/>
    <w:rsid w:val="00F34605"/>
    <w:rsid w:val="00F34B93"/>
    <w:rsid w:val="00F35302"/>
    <w:rsid w:val="00F36499"/>
    <w:rsid w:val="00F372D6"/>
    <w:rsid w:val="00F37FB6"/>
    <w:rsid w:val="00F41354"/>
    <w:rsid w:val="00F43117"/>
    <w:rsid w:val="00F43680"/>
    <w:rsid w:val="00F43D28"/>
    <w:rsid w:val="00F45F5D"/>
    <w:rsid w:val="00F467F2"/>
    <w:rsid w:val="00F46D66"/>
    <w:rsid w:val="00F46E62"/>
    <w:rsid w:val="00F46F41"/>
    <w:rsid w:val="00F4774B"/>
    <w:rsid w:val="00F50076"/>
    <w:rsid w:val="00F5098C"/>
    <w:rsid w:val="00F52085"/>
    <w:rsid w:val="00F520D5"/>
    <w:rsid w:val="00F5272D"/>
    <w:rsid w:val="00F547B2"/>
    <w:rsid w:val="00F54981"/>
    <w:rsid w:val="00F550FC"/>
    <w:rsid w:val="00F55AA3"/>
    <w:rsid w:val="00F55C53"/>
    <w:rsid w:val="00F55D8A"/>
    <w:rsid w:val="00F601C8"/>
    <w:rsid w:val="00F607FB"/>
    <w:rsid w:val="00F60DAC"/>
    <w:rsid w:val="00F61242"/>
    <w:rsid w:val="00F623CF"/>
    <w:rsid w:val="00F62A4C"/>
    <w:rsid w:val="00F63D65"/>
    <w:rsid w:val="00F6480C"/>
    <w:rsid w:val="00F651C4"/>
    <w:rsid w:val="00F65323"/>
    <w:rsid w:val="00F657F9"/>
    <w:rsid w:val="00F65D9A"/>
    <w:rsid w:val="00F65DE9"/>
    <w:rsid w:val="00F6739F"/>
    <w:rsid w:val="00F67814"/>
    <w:rsid w:val="00F67EF9"/>
    <w:rsid w:val="00F70081"/>
    <w:rsid w:val="00F73157"/>
    <w:rsid w:val="00F738E6"/>
    <w:rsid w:val="00F739F3"/>
    <w:rsid w:val="00F73ABC"/>
    <w:rsid w:val="00F73EBC"/>
    <w:rsid w:val="00F74FB2"/>
    <w:rsid w:val="00F75752"/>
    <w:rsid w:val="00F75F3F"/>
    <w:rsid w:val="00F76ED7"/>
    <w:rsid w:val="00F77497"/>
    <w:rsid w:val="00F778B1"/>
    <w:rsid w:val="00F77B06"/>
    <w:rsid w:val="00F842A2"/>
    <w:rsid w:val="00F84F86"/>
    <w:rsid w:val="00F85552"/>
    <w:rsid w:val="00F85636"/>
    <w:rsid w:val="00F856D2"/>
    <w:rsid w:val="00F86215"/>
    <w:rsid w:val="00F86DCF"/>
    <w:rsid w:val="00F877FD"/>
    <w:rsid w:val="00F916B2"/>
    <w:rsid w:val="00F92A1B"/>
    <w:rsid w:val="00F92AA4"/>
    <w:rsid w:val="00F938EE"/>
    <w:rsid w:val="00F94008"/>
    <w:rsid w:val="00F94316"/>
    <w:rsid w:val="00F94676"/>
    <w:rsid w:val="00F949B7"/>
    <w:rsid w:val="00F94DD5"/>
    <w:rsid w:val="00F9616E"/>
    <w:rsid w:val="00F9727C"/>
    <w:rsid w:val="00F973EA"/>
    <w:rsid w:val="00F97420"/>
    <w:rsid w:val="00F9798E"/>
    <w:rsid w:val="00F979F7"/>
    <w:rsid w:val="00FA0156"/>
    <w:rsid w:val="00FA21A2"/>
    <w:rsid w:val="00FA2271"/>
    <w:rsid w:val="00FA40A0"/>
    <w:rsid w:val="00FB0FAD"/>
    <w:rsid w:val="00FB10B0"/>
    <w:rsid w:val="00FB1788"/>
    <w:rsid w:val="00FB1BFC"/>
    <w:rsid w:val="00FB2500"/>
    <w:rsid w:val="00FB3778"/>
    <w:rsid w:val="00FB3FAC"/>
    <w:rsid w:val="00FB6403"/>
    <w:rsid w:val="00FB66C7"/>
    <w:rsid w:val="00FB77E1"/>
    <w:rsid w:val="00FC15A8"/>
    <w:rsid w:val="00FC19D1"/>
    <w:rsid w:val="00FC23F3"/>
    <w:rsid w:val="00FC2822"/>
    <w:rsid w:val="00FC2D79"/>
    <w:rsid w:val="00FC3566"/>
    <w:rsid w:val="00FC3A9A"/>
    <w:rsid w:val="00FC3F0C"/>
    <w:rsid w:val="00FC4446"/>
    <w:rsid w:val="00FC546C"/>
    <w:rsid w:val="00FC584E"/>
    <w:rsid w:val="00FC64C4"/>
    <w:rsid w:val="00FC6D2C"/>
    <w:rsid w:val="00FC729A"/>
    <w:rsid w:val="00FD0F26"/>
    <w:rsid w:val="00FD169A"/>
    <w:rsid w:val="00FD2AD0"/>
    <w:rsid w:val="00FD3083"/>
    <w:rsid w:val="00FD3305"/>
    <w:rsid w:val="00FD34A9"/>
    <w:rsid w:val="00FD3678"/>
    <w:rsid w:val="00FD3E55"/>
    <w:rsid w:val="00FD72D6"/>
    <w:rsid w:val="00FE21C2"/>
    <w:rsid w:val="00FE3277"/>
    <w:rsid w:val="00FE41E3"/>
    <w:rsid w:val="00FE4D06"/>
    <w:rsid w:val="00FE6FCE"/>
    <w:rsid w:val="00FE7F19"/>
    <w:rsid w:val="00FF13FB"/>
    <w:rsid w:val="00FF15AA"/>
    <w:rsid w:val="00FF22BC"/>
    <w:rsid w:val="00FF49C7"/>
    <w:rsid w:val="00FF6875"/>
    <w:rsid w:val="00FF78A3"/>
    <w:rsid w:val="00FF7C1B"/>
    <w:rsid w:val="00FF7CEF"/>
    <w:rsid w:val="01047CED"/>
    <w:rsid w:val="013C0A46"/>
    <w:rsid w:val="013E3E18"/>
    <w:rsid w:val="01523602"/>
    <w:rsid w:val="01651F67"/>
    <w:rsid w:val="016566ED"/>
    <w:rsid w:val="016642CD"/>
    <w:rsid w:val="01A0705F"/>
    <w:rsid w:val="01B92098"/>
    <w:rsid w:val="01D4282F"/>
    <w:rsid w:val="01D455F1"/>
    <w:rsid w:val="01E117C5"/>
    <w:rsid w:val="01F2290F"/>
    <w:rsid w:val="01F93BA4"/>
    <w:rsid w:val="0207593A"/>
    <w:rsid w:val="020D59AC"/>
    <w:rsid w:val="021A2BA1"/>
    <w:rsid w:val="02235E0C"/>
    <w:rsid w:val="023A3DA2"/>
    <w:rsid w:val="02497534"/>
    <w:rsid w:val="02543FEB"/>
    <w:rsid w:val="025E2CEB"/>
    <w:rsid w:val="0261628F"/>
    <w:rsid w:val="02754E58"/>
    <w:rsid w:val="02904F9A"/>
    <w:rsid w:val="02A20758"/>
    <w:rsid w:val="02EA3F14"/>
    <w:rsid w:val="030661AE"/>
    <w:rsid w:val="031E32BA"/>
    <w:rsid w:val="03245D52"/>
    <w:rsid w:val="03516BB7"/>
    <w:rsid w:val="037979A5"/>
    <w:rsid w:val="037A481B"/>
    <w:rsid w:val="038E2332"/>
    <w:rsid w:val="03A34A22"/>
    <w:rsid w:val="03C62090"/>
    <w:rsid w:val="03D659A7"/>
    <w:rsid w:val="03E81F83"/>
    <w:rsid w:val="03F2415A"/>
    <w:rsid w:val="03F35353"/>
    <w:rsid w:val="03F64BA7"/>
    <w:rsid w:val="03FA6ABB"/>
    <w:rsid w:val="040B1E30"/>
    <w:rsid w:val="040D3877"/>
    <w:rsid w:val="040F1A01"/>
    <w:rsid w:val="04312F57"/>
    <w:rsid w:val="045301F6"/>
    <w:rsid w:val="046503D0"/>
    <w:rsid w:val="04694BD4"/>
    <w:rsid w:val="0473725F"/>
    <w:rsid w:val="048601D1"/>
    <w:rsid w:val="048B3E34"/>
    <w:rsid w:val="04975458"/>
    <w:rsid w:val="04D42B59"/>
    <w:rsid w:val="04DA0EA4"/>
    <w:rsid w:val="04DE5ADC"/>
    <w:rsid w:val="04F20452"/>
    <w:rsid w:val="04F21CF7"/>
    <w:rsid w:val="05117194"/>
    <w:rsid w:val="05245FAB"/>
    <w:rsid w:val="05420300"/>
    <w:rsid w:val="055335AF"/>
    <w:rsid w:val="058B5464"/>
    <w:rsid w:val="059211F2"/>
    <w:rsid w:val="05966AB1"/>
    <w:rsid w:val="059C28CB"/>
    <w:rsid w:val="05BF7197"/>
    <w:rsid w:val="05D83DB5"/>
    <w:rsid w:val="05DA343D"/>
    <w:rsid w:val="05DE11B6"/>
    <w:rsid w:val="05FB5C4F"/>
    <w:rsid w:val="05FD1211"/>
    <w:rsid w:val="06442FDB"/>
    <w:rsid w:val="06524723"/>
    <w:rsid w:val="065B1DC1"/>
    <w:rsid w:val="065D1D27"/>
    <w:rsid w:val="066B7191"/>
    <w:rsid w:val="0678411E"/>
    <w:rsid w:val="0685511C"/>
    <w:rsid w:val="06AA2D5C"/>
    <w:rsid w:val="06B12125"/>
    <w:rsid w:val="06B729DF"/>
    <w:rsid w:val="06C66210"/>
    <w:rsid w:val="06D751E5"/>
    <w:rsid w:val="06E35BE0"/>
    <w:rsid w:val="06E84D6A"/>
    <w:rsid w:val="06F16183"/>
    <w:rsid w:val="0733637B"/>
    <w:rsid w:val="07345C12"/>
    <w:rsid w:val="076B113C"/>
    <w:rsid w:val="07730BC5"/>
    <w:rsid w:val="07812010"/>
    <w:rsid w:val="07826958"/>
    <w:rsid w:val="07897BE4"/>
    <w:rsid w:val="07985BBA"/>
    <w:rsid w:val="079A5410"/>
    <w:rsid w:val="07C16DF3"/>
    <w:rsid w:val="07D5255B"/>
    <w:rsid w:val="07EA3438"/>
    <w:rsid w:val="087B05AC"/>
    <w:rsid w:val="08B05C24"/>
    <w:rsid w:val="08C40CC4"/>
    <w:rsid w:val="091C4F8C"/>
    <w:rsid w:val="0953010D"/>
    <w:rsid w:val="095742E5"/>
    <w:rsid w:val="095F68F4"/>
    <w:rsid w:val="098F16AE"/>
    <w:rsid w:val="09A060D9"/>
    <w:rsid w:val="09B81344"/>
    <w:rsid w:val="09D177C9"/>
    <w:rsid w:val="09D30C7B"/>
    <w:rsid w:val="09E4625F"/>
    <w:rsid w:val="09EF1832"/>
    <w:rsid w:val="0A005C1C"/>
    <w:rsid w:val="0A0C2331"/>
    <w:rsid w:val="0A18386F"/>
    <w:rsid w:val="0A35742B"/>
    <w:rsid w:val="0A496AA6"/>
    <w:rsid w:val="0A557706"/>
    <w:rsid w:val="0A615103"/>
    <w:rsid w:val="0A9357F1"/>
    <w:rsid w:val="0A9A2AB4"/>
    <w:rsid w:val="0ABE07D9"/>
    <w:rsid w:val="0AD6018B"/>
    <w:rsid w:val="0AD75C3A"/>
    <w:rsid w:val="0AEE6ECB"/>
    <w:rsid w:val="0AFA5870"/>
    <w:rsid w:val="0B1F2060"/>
    <w:rsid w:val="0B2772D4"/>
    <w:rsid w:val="0B35392D"/>
    <w:rsid w:val="0B452CDC"/>
    <w:rsid w:val="0B57681E"/>
    <w:rsid w:val="0B6E619D"/>
    <w:rsid w:val="0B715B6B"/>
    <w:rsid w:val="0BBC0A15"/>
    <w:rsid w:val="0BC63E05"/>
    <w:rsid w:val="0BCA5A03"/>
    <w:rsid w:val="0BE11BE3"/>
    <w:rsid w:val="0BE97BBB"/>
    <w:rsid w:val="0C156571"/>
    <w:rsid w:val="0C1B5C6F"/>
    <w:rsid w:val="0C366491"/>
    <w:rsid w:val="0C3A49BB"/>
    <w:rsid w:val="0C5511A1"/>
    <w:rsid w:val="0C62366D"/>
    <w:rsid w:val="0C6457B5"/>
    <w:rsid w:val="0C650D49"/>
    <w:rsid w:val="0C653063"/>
    <w:rsid w:val="0C7725B5"/>
    <w:rsid w:val="0C8A5CAB"/>
    <w:rsid w:val="0C91402E"/>
    <w:rsid w:val="0CC02D39"/>
    <w:rsid w:val="0CCB1F53"/>
    <w:rsid w:val="0D1C7937"/>
    <w:rsid w:val="0D313425"/>
    <w:rsid w:val="0D493F23"/>
    <w:rsid w:val="0D4970FC"/>
    <w:rsid w:val="0D6C5D81"/>
    <w:rsid w:val="0D8400AB"/>
    <w:rsid w:val="0DB462FE"/>
    <w:rsid w:val="0DD638CE"/>
    <w:rsid w:val="0DF14851"/>
    <w:rsid w:val="0DF92DAC"/>
    <w:rsid w:val="0E145904"/>
    <w:rsid w:val="0E1C2F50"/>
    <w:rsid w:val="0E23483A"/>
    <w:rsid w:val="0E3B0B3B"/>
    <w:rsid w:val="0E492BF4"/>
    <w:rsid w:val="0E49794E"/>
    <w:rsid w:val="0E60538A"/>
    <w:rsid w:val="0E9B0AA4"/>
    <w:rsid w:val="0EAC5675"/>
    <w:rsid w:val="0EBB3568"/>
    <w:rsid w:val="0ECE3510"/>
    <w:rsid w:val="0ED974E3"/>
    <w:rsid w:val="0EF27353"/>
    <w:rsid w:val="0EFE1666"/>
    <w:rsid w:val="0F057A86"/>
    <w:rsid w:val="0F3A70B1"/>
    <w:rsid w:val="0F4946D0"/>
    <w:rsid w:val="0F4C5E63"/>
    <w:rsid w:val="0F595286"/>
    <w:rsid w:val="0F772064"/>
    <w:rsid w:val="0F872A3B"/>
    <w:rsid w:val="0F8A6A96"/>
    <w:rsid w:val="0FBD187A"/>
    <w:rsid w:val="0FF30AB3"/>
    <w:rsid w:val="10002F13"/>
    <w:rsid w:val="1000714A"/>
    <w:rsid w:val="1001069E"/>
    <w:rsid w:val="10024761"/>
    <w:rsid w:val="1021418B"/>
    <w:rsid w:val="10352BED"/>
    <w:rsid w:val="1056405D"/>
    <w:rsid w:val="105D24B8"/>
    <w:rsid w:val="10602090"/>
    <w:rsid w:val="10635C65"/>
    <w:rsid w:val="106851B2"/>
    <w:rsid w:val="10937D11"/>
    <w:rsid w:val="109666F9"/>
    <w:rsid w:val="10A726C7"/>
    <w:rsid w:val="10BF1041"/>
    <w:rsid w:val="10C04E65"/>
    <w:rsid w:val="10D666CB"/>
    <w:rsid w:val="10D66C20"/>
    <w:rsid w:val="11130EE5"/>
    <w:rsid w:val="11226073"/>
    <w:rsid w:val="11296069"/>
    <w:rsid w:val="113A4EF8"/>
    <w:rsid w:val="114C1D1D"/>
    <w:rsid w:val="11511160"/>
    <w:rsid w:val="11576AB3"/>
    <w:rsid w:val="116015A7"/>
    <w:rsid w:val="11725F88"/>
    <w:rsid w:val="117874EE"/>
    <w:rsid w:val="1184781A"/>
    <w:rsid w:val="11892B75"/>
    <w:rsid w:val="11AE4358"/>
    <w:rsid w:val="11B717D8"/>
    <w:rsid w:val="11B94F2C"/>
    <w:rsid w:val="11F151B6"/>
    <w:rsid w:val="11F53491"/>
    <w:rsid w:val="122825B1"/>
    <w:rsid w:val="123218A4"/>
    <w:rsid w:val="12394772"/>
    <w:rsid w:val="123F7B78"/>
    <w:rsid w:val="124401CE"/>
    <w:rsid w:val="124865EB"/>
    <w:rsid w:val="124A2864"/>
    <w:rsid w:val="1269692C"/>
    <w:rsid w:val="12700A97"/>
    <w:rsid w:val="12957F52"/>
    <w:rsid w:val="12B0259C"/>
    <w:rsid w:val="12B025F7"/>
    <w:rsid w:val="12B73E64"/>
    <w:rsid w:val="12B90541"/>
    <w:rsid w:val="12C204CD"/>
    <w:rsid w:val="12C216FD"/>
    <w:rsid w:val="12CE6C6D"/>
    <w:rsid w:val="12D11144"/>
    <w:rsid w:val="12E824AE"/>
    <w:rsid w:val="131A3751"/>
    <w:rsid w:val="131C60AE"/>
    <w:rsid w:val="133A437B"/>
    <w:rsid w:val="13435C25"/>
    <w:rsid w:val="134C3E00"/>
    <w:rsid w:val="134C40BE"/>
    <w:rsid w:val="134D54FA"/>
    <w:rsid w:val="13535F42"/>
    <w:rsid w:val="13655A5A"/>
    <w:rsid w:val="13751C22"/>
    <w:rsid w:val="13772471"/>
    <w:rsid w:val="137E3014"/>
    <w:rsid w:val="138345CF"/>
    <w:rsid w:val="13A52762"/>
    <w:rsid w:val="13B640F8"/>
    <w:rsid w:val="13C54541"/>
    <w:rsid w:val="13D50F96"/>
    <w:rsid w:val="13DE75C5"/>
    <w:rsid w:val="143C6E62"/>
    <w:rsid w:val="14451790"/>
    <w:rsid w:val="144517A5"/>
    <w:rsid w:val="144656FE"/>
    <w:rsid w:val="1451031E"/>
    <w:rsid w:val="145130A0"/>
    <w:rsid w:val="14814C2A"/>
    <w:rsid w:val="14A5555D"/>
    <w:rsid w:val="14BD59D5"/>
    <w:rsid w:val="14CE15A6"/>
    <w:rsid w:val="14DA35CF"/>
    <w:rsid w:val="14DB59CD"/>
    <w:rsid w:val="14DC6210"/>
    <w:rsid w:val="14EA022D"/>
    <w:rsid w:val="15025122"/>
    <w:rsid w:val="152546A1"/>
    <w:rsid w:val="153011B9"/>
    <w:rsid w:val="15430D64"/>
    <w:rsid w:val="154442D8"/>
    <w:rsid w:val="15467465"/>
    <w:rsid w:val="15483B9D"/>
    <w:rsid w:val="15624DCF"/>
    <w:rsid w:val="156523D1"/>
    <w:rsid w:val="15684FBE"/>
    <w:rsid w:val="1576211D"/>
    <w:rsid w:val="157C590B"/>
    <w:rsid w:val="15910B7E"/>
    <w:rsid w:val="15BB3533"/>
    <w:rsid w:val="15BC0BE1"/>
    <w:rsid w:val="16351011"/>
    <w:rsid w:val="1654466F"/>
    <w:rsid w:val="165C03F2"/>
    <w:rsid w:val="165F2980"/>
    <w:rsid w:val="16604390"/>
    <w:rsid w:val="16633C95"/>
    <w:rsid w:val="166E7834"/>
    <w:rsid w:val="166F052F"/>
    <w:rsid w:val="16774218"/>
    <w:rsid w:val="167F0856"/>
    <w:rsid w:val="16C3149F"/>
    <w:rsid w:val="16D41AD9"/>
    <w:rsid w:val="16D66AB2"/>
    <w:rsid w:val="16E563F3"/>
    <w:rsid w:val="16EA62FF"/>
    <w:rsid w:val="16F3061E"/>
    <w:rsid w:val="16F92E7F"/>
    <w:rsid w:val="170F49FB"/>
    <w:rsid w:val="1726179A"/>
    <w:rsid w:val="172E285D"/>
    <w:rsid w:val="1732022B"/>
    <w:rsid w:val="17400531"/>
    <w:rsid w:val="176F0274"/>
    <w:rsid w:val="178612AC"/>
    <w:rsid w:val="179A717E"/>
    <w:rsid w:val="179E7553"/>
    <w:rsid w:val="17AD0FA2"/>
    <w:rsid w:val="17D5451B"/>
    <w:rsid w:val="17E8519A"/>
    <w:rsid w:val="17EB4896"/>
    <w:rsid w:val="1805601B"/>
    <w:rsid w:val="182268D6"/>
    <w:rsid w:val="18411E1C"/>
    <w:rsid w:val="185A45CF"/>
    <w:rsid w:val="186126B4"/>
    <w:rsid w:val="18615C2F"/>
    <w:rsid w:val="186422CF"/>
    <w:rsid w:val="186A2240"/>
    <w:rsid w:val="186E432C"/>
    <w:rsid w:val="189E3833"/>
    <w:rsid w:val="18B20458"/>
    <w:rsid w:val="18C7221D"/>
    <w:rsid w:val="18C96881"/>
    <w:rsid w:val="18D27438"/>
    <w:rsid w:val="191F34CF"/>
    <w:rsid w:val="19204E72"/>
    <w:rsid w:val="193F08F1"/>
    <w:rsid w:val="194D74B2"/>
    <w:rsid w:val="194F3599"/>
    <w:rsid w:val="19581215"/>
    <w:rsid w:val="196017B1"/>
    <w:rsid w:val="19A45ABF"/>
    <w:rsid w:val="19BA660B"/>
    <w:rsid w:val="19CB3BE9"/>
    <w:rsid w:val="19D15BF4"/>
    <w:rsid w:val="19F17E09"/>
    <w:rsid w:val="1A3678B4"/>
    <w:rsid w:val="1A3D4890"/>
    <w:rsid w:val="1A4135B6"/>
    <w:rsid w:val="1A530EE9"/>
    <w:rsid w:val="1A63166B"/>
    <w:rsid w:val="1A755470"/>
    <w:rsid w:val="1ABC11CC"/>
    <w:rsid w:val="1AC76EFF"/>
    <w:rsid w:val="1AD433EB"/>
    <w:rsid w:val="1AFA7B41"/>
    <w:rsid w:val="1B00458D"/>
    <w:rsid w:val="1B101C1F"/>
    <w:rsid w:val="1B2A2FD3"/>
    <w:rsid w:val="1B2C1503"/>
    <w:rsid w:val="1B303BCE"/>
    <w:rsid w:val="1B4C272F"/>
    <w:rsid w:val="1B5508DA"/>
    <w:rsid w:val="1B7072DD"/>
    <w:rsid w:val="1B8151F1"/>
    <w:rsid w:val="1B8F3050"/>
    <w:rsid w:val="1BB37965"/>
    <w:rsid w:val="1BD619E1"/>
    <w:rsid w:val="1BEC7ACE"/>
    <w:rsid w:val="1BF96E3D"/>
    <w:rsid w:val="1C7E4D5E"/>
    <w:rsid w:val="1C9033B1"/>
    <w:rsid w:val="1CA55D38"/>
    <w:rsid w:val="1CB56137"/>
    <w:rsid w:val="1CCB215E"/>
    <w:rsid w:val="1CE203A0"/>
    <w:rsid w:val="1CF34C0B"/>
    <w:rsid w:val="1D13631D"/>
    <w:rsid w:val="1D17498E"/>
    <w:rsid w:val="1D277CE5"/>
    <w:rsid w:val="1D386C40"/>
    <w:rsid w:val="1D6620E8"/>
    <w:rsid w:val="1D7A7D27"/>
    <w:rsid w:val="1DA311A1"/>
    <w:rsid w:val="1DB16276"/>
    <w:rsid w:val="1DC57C96"/>
    <w:rsid w:val="1DD12460"/>
    <w:rsid w:val="1DD2272E"/>
    <w:rsid w:val="1DF163FF"/>
    <w:rsid w:val="1E0163F9"/>
    <w:rsid w:val="1E03335F"/>
    <w:rsid w:val="1E1710A8"/>
    <w:rsid w:val="1E1C0332"/>
    <w:rsid w:val="1E1C2390"/>
    <w:rsid w:val="1E2B4061"/>
    <w:rsid w:val="1E2E7E44"/>
    <w:rsid w:val="1E2F21F9"/>
    <w:rsid w:val="1E3F138E"/>
    <w:rsid w:val="1E4A3C59"/>
    <w:rsid w:val="1E4A4AEC"/>
    <w:rsid w:val="1E59031D"/>
    <w:rsid w:val="1E71284E"/>
    <w:rsid w:val="1E85415B"/>
    <w:rsid w:val="1EA2244E"/>
    <w:rsid w:val="1EA555E0"/>
    <w:rsid w:val="1EAD2962"/>
    <w:rsid w:val="1EC97FBD"/>
    <w:rsid w:val="1ED41C72"/>
    <w:rsid w:val="1EE51EAD"/>
    <w:rsid w:val="1EF00942"/>
    <w:rsid w:val="1F126AE2"/>
    <w:rsid w:val="1F167B84"/>
    <w:rsid w:val="1F1D12B6"/>
    <w:rsid w:val="1F381054"/>
    <w:rsid w:val="1F5A6E47"/>
    <w:rsid w:val="1F5D0658"/>
    <w:rsid w:val="1F6F6B87"/>
    <w:rsid w:val="1F725398"/>
    <w:rsid w:val="1F942B13"/>
    <w:rsid w:val="1FAD0CAB"/>
    <w:rsid w:val="1FB472DD"/>
    <w:rsid w:val="1FB62C6F"/>
    <w:rsid w:val="1FDC04DD"/>
    <w:rsid w:val="1FE84FD5"/>
    <w:rsid w:val="1FFD1B90"/>
    <w:rsid w:val="202254D0"/>
    <w:rsid w:val="204D3A58"/>
    <w:rsid w:val="20563492"/>
    <w:rsid w:val="2066660B"/>
    <w:rsid w:val="207C43F8"/>
    <w:rsid w:val="207F5B55"/>
    <w:rsid w:val="208E3E9E"/>
    <w:rsid w:val="209C381D"/>
    <w:rsid w:val="20A25531"/>
    <w:rsid w:val="20C14254"/>
    <w:rsid w:val="20C91CB8"/>
    <w:rsid w:val="20CB1C53"/>
    <w:rsid w:val="20DD19FB"/>
    <w:rsid w:val="20E406FC"/>
    <w:rsid w:val="2107263D"/>
    <w:rsid w:val="2134586B"/>
    <w:rsid w:val="2149312A"/>
    <w:rsid w:val="214E5B76"/>
    <w:rsid w:val="21500D2D"/>
    <w:rsid w:val="21692510"/>
    <w:rsid w:val="219521EB"/>
    <w:rsid w:val="21CC7139"/>
    <w:rsid w:val="21D729C1"/>
    <w:rsid w:val="21DE25D7"/>
    <w:rsid w:val="21F71E23"/>
    <w:rsid w:val="21FE3AFF"/>
    <w:rsid w:val="221C01F9"/>
    <w:rsid w:val="221F6292"/>
    <w:rsid w:val="22407BB4"/>
    <w:rsid w:val="22572F88"/>
    <w:rsid w:val="22667C4F"/>
    <w:rsid w:val="226A0FD0"/>
    <w:rsid w:val="227459D9"/>
    <w:rsid w:val="22822809"/>
    <w:rsid w:val="22961F6D"/>
    <w:rsid w:val="22B44006"/>
    <w:rsid w:val="22C106EB"/>
    <w:rsid w:val="22C932EF"/>
    <w:rsid w:val="22DD627C"/>
    <w:rsid w:val="230C5E0B"/>
    <w:rsid w:val="233755C4"/>
    <w:rsid w:val="235D016C"/>
    <w:rsid w:val="23850248"/>
    <w:rsid w:val="238C7144"/>
    <w:rsid w:val="23962715"/>
    <w:rsid w:val="239B184A"/>
    <w:rsid w:val="23AC2291"/>
    <w:rsid w:val="23C63B26"/>
    <w:rsid w:val="23CC7589"/>
    <w:rsid w:val="23DE584B"/>
    <w:rsid w:val="23DF212F"/>
    <w:rsid w:val="23F16C13"/>
    <w:rsid w:val="24390FBF"/>
    <w:rsid w:val="24422247"/>
    <w:rsid w:val="245211DF"/>
    <w:rsid w:val="24692CD5"/>
    <w:rsid w:val="24766F4A"/>
    <w:rsid w:val="24967F7D"/>
    <w:rsid w:val="24A97335"/>
    <w:rsid w:val="24BE2777"/>
    <w:rsid w:val="24D95E10"/>
    <w:rsid w:val="24ED4C7A"/>
    <w:rsid w:val="24FD0A68"/>
    <w:rsid w:val="250D2893"/>
    <w:rsid w:val="25350DC7"/>
    <w:rsid w:val="253916BB"/>
    <w:rsid w:val="255C40F0"/>
    <w:rsid w:val="25824420"/>
    <w:rsid w:val="25853B30"/>
    <w:rsid w:val="258932A4"/>
    <w:rsid w:val="25960C9D"/>
    <w:rsid w:val="25A96F5A"/>
    <w:rsid w:val="25CA71E5"/>
    <w:rsid w:val="25E01565"/>
    <w:rsid w:val="25E03593"/>
    <w:rsid w:val="25E1520A"/>
    <w:rsid w:val="25EB2283"/>
    <w:rsid w:val="25EF0F4F"/>
    <w:rsid w:val="25F42F57"/>
    <w:rsid w:val="25FA70A9"/>
    <w:rsid w:val="260026D6"/>
    <w:rsid w:val="260A624E"/>
    <w:rsid w:val="262175BE"/>
    <w:rsid w:val="263676DC"/>
    <w:rsid w:val="26400F0A"/>
    <w:rsid w:val="2680660D"/>
    <w:rsid w:val="269402AB"/>
    <w:rsid w:val="26A86D7E"/>
    <w:rsid w:val="26B4291F"/>
    <w:rsid w:val="26D01016"/>
    <w:rsid w:val="26D44AFA"/>
    <w:rsid w:val="26DA482F"/>
    <w:rsid w:val="26DD5C43"/>
    <w:rsid w:val="26E03714"/>
    <w:rsid w:val="270A2209"/>
    <w:rsid w:val="27383935"/>
    <w:rsid w:val="27563D00"/>
    <w:rsid w:val="278533D5"/>
    <w:rsid w:val="279C2124"/>
    <w:rsid w:val="27AF26E5"/>
    <w:rsid w:val="27DB45AC"/>
    <w:rsid w:val="27FA22B1"/>
    <w:rsid w:val="28040552"/>
    <w:rsid w:val="280C4D69"/>
    <w:rsid w:val="2816750C"/>
    <w:rsid w:val="283B2CB1"/>
    <w:rsid w:val="283F46E2"/>
    <w:rsid w:val="284B7C1E"/>
    <w:rsid w:val="284D4DD9"/>
    <w:rsid w:val="285D6233"/>
    <w:rsid w:val="28814A83"/>
    <w:rsid w:val="288B220F"/>
    <w:rsid w:val="28A809C0"/>
    <w:rsid w:val="28D37CC2"/>
    <w:rsid w:val="28E31299"/>
    <w:rsid w:val="2916554F"/>
    <w:rsid w:val="2971038C"/>
    <w:rsid w:val="29A50ACC"/>
    <w:rsid w:val="29A727C6"/>
    <w:rsid w:val="29B75B16"/>
    <w:rsid w:val="29D34250"/>
    <w:rsid w:val="29EB28F3"/>
    <w:rsid w:val="29F85218"/>
    <w:rsid w:val="2A191A00"/>
    <w:rsid w:val="2A2975C4"/>
    <w:rsid w:val="2A69574E"/>
    <w:rsid w:val="2A6B75BB"/>
    <w:rsid w:val="2AA86A62"/>
    <w:rsid w:val="2AB033FD"/>
    <w:rsid w:val="2AE27075"/>
    <w:rsid w:val="2B5519F5"/>
    <w:rsid w:val="2B6243BD"/>
    <w:rsid w:val="2B6F3D18"/>
    <w:rsid w:val="2B8345EA"/>
    <w:rsid w:val="2B8963F9"/>
    <w:rsid w:val="2B9856D1"/>
    <w:rsid w:val="2BAA0A2A"/>
    <w:rsid w:val="2BAC1EA5"/>
    <w:rsid w:val="2BCF7058"/>
    <w:rsid w:val="2BEF6937"/>
    <w:rsid w:val="2C152F33"/>
    <w:rsid w:val="2C372028"/>
    <w:rsid w:val="2C444745"/>
    <w:rsid w:val="2C492D8D"/>
    <w:rsid w:val="2C540D01"/>
    <w:rsid w:val="2C5B13E4"/>
    <w:rsid w:val="2C621EA1"/>
    <w:rsid w:val="2C781060"/>
    <w:rsid w:val="2C82701B"/>
    <w:rsid w:val="2C8554A9"/>
    <w:rsid w:val="2C8B2374"/>
    <w:rsid w:val="2CAA1BB6"/>
    <w:rsid w:val="2CF635CA"/>
    <w:rsid w:val="2D0A4780"/>
    <w:rsid w:val="2D1B33FA"/>
    <w:rsid w:val="2D632B26"/>
    <w:rsid w:val="2D8E44CE"/>
    <w:rsid w:val="2E026741"/>
    <w:rsid w:val="2E187D80"/>
    <w:rsid w:val="2E1C1C05"/>
    <w:rsid w:val="2E2043A7"/>
    <w:rsid w:val="2E4B3FD4"/>
    <w:rsid w:val="2E5547BA"/>
    <w:rsid w:val="2E5C243D"/>
    <w:rsid w:val="2E916973"/>
    <w:rsid w:val="2E9C0621"/>
    <w:rsid w:val="2EB50783"/>
    <w:rsid w:val="2EBD258D"/>
    <w:rsid w:val="2ED33B5E"/>
    <w:rsid w:val="2EF11E02"/>
    <w:rsid w:val="2F252168"/>
    <w:rsid w:val="2F580E21"/>
    <w:rsid w:val="2F60251C"/>
    <w:rsid w:val="2F803DB7"/>
    <w:rsid w:val="2F9C7325"/>
    <w:rsid w:val="2FCC0C88"/>
    <w:rsid w:val="2FCF4320"/>
    <w:rsid w:val="2FD458EB"/>
    <w:rsid w:val="30405414"/>
    <w:rsid w:val="304A1198"/>
    <w:rsid w:val="30552B26"/>
    <w:rsid w:val="308F18EA"/>
    <w:rsid w:val="30B5256D"/>
    <w:rsid w:val="30BE1785"/>
    <w:rsid w:val="30C25488"/>
    <w:rsid w:val="30D8115E"/>
    <w:rsid w:val="310E416B"/>
    <w:rsid w:val="31373D13"/>
    <w:rsid w:val="31716B75"/>
    <w:rsid w:val="31780953"/>
    <w:rsid w:val="318A10D1"/>
    <w:rsid w:val="31B71C9E"/>
    <w:rsid w:val="31CC57EC"/>
    <w:rsid w:val="31CC5862"/>
    <w:rsid w:val="31D35CC8"/>
    <w:rsid w:val="32037C8C"/>
    <w:rsid w:val="32202354"/>
    <w:rsid w:val="32244DFC"/>
    <w:rsid w:val="323211B0"/>
    <w:rsid w:val="325326BE"/>
    <w:rsid w:val="326D6E07"/>
    <w:rsid w:val="32740E5B"/>
    <w:rsid w:val="32A44733"/>
    <w:rsid w:val="32A71149"/>
    <w:rsid w:val="32A81B80"/>
    <w:rsid w:val="32C108EA"/>
    <w:rsid w:val="32F318E1"/>
    <w:rsid w:val="33063686"/>
    <w:rsid w:val="33074473"/>
    <w:rsid w:val="33123350"/>
    <w:rsid w:val="331E3B25"/>
    <w:rsid w:val="33585939"/>
    <w:rsid w:val="335C5328"/>
    <w:rsid w:val="33612AC7"/>
    <w:rsid w:val="336E4DFF"/>
    <w:rsid w:val="337476B8"/>
    <w:rsid w:val="337E3953"/>
    <w:rsid w:val="33820815"/>
    <w:rsid w:val="339D142B"/>
    <w:rsid w:val="33B84654"/>
    <w:rsid w:val="33BA05A5"/>
    <w:rsid w:val="33E54F94"/>
    <w:rsid w:val="33F12D59"/>
    <w:rsid w:val="33F53297"/>
    <w:rsid w:val="340C6925"/>
    <w:rsid w:val="343A4DEC"/>
    <w:rsid w:val="34543B60"/>
    <w:rsid w:val="34667ADA"/>
    <w:rsid w:val="34767465"/>
    <w:rsid w:val="34895F04"/>
    <w:rsid w:val="348A4E3D"/>
    <w:rsid w:val="348C7AC7"/>
    <w:rsid w:val="34A572F7"/>
    <w:rsid w:val="34A75771"/>
    <w:rsid w:val="34AD4A13"/>
    <w:rsid w:val="34AE2FBC"/>
    <w:rsid w:val="34C407B3"/>
    <w:rsid w:val="34D62E19"/>
    <w:rsid w:val="34D643A8"/>
    <w:rsid w:val="34DB03E2"/>
    <w:rsid w:val="34DB0A43"/>
    <w:rsid w:val="34E73EBF"/>
    <w:rsid w:val="34F52FB5"/>
    <w:rsid w:val="35106CD6"/>
    <w:rsid w:val="352B5483"/>
    <w:rsid w:val="352C2201"/>
    <w:rsid w:val="355F5AF6"/>
    <w:rsid w:val="35602571"/>
    <w:rsid w:val="356570C1"/>
    <w:rsid w:val="356F084D"/>
    <w:rsid w:val="357073C0"/>
    <w:rsid w:val="35925BB1"/>
    <w:rsid w:val="35D0430A"/>
    <w:rsid w:val="35D709B7"/>
    <w:rsid w:val="35E97521"/>
    <w:rsid w:val="35EE0BBC"/>
    <w:rsid w:val="35F1149A"/>
    <w:rsid w:val="363277ED"/>
    <w:rsid w:val="363C023B"/>
    <w:rsid w:val="365166C1"/>
    <w:rsid w:val="365853FD"/>
    <w:rsid w:val="368332D6"/>
    <w:rsid w:val="36B83A74"/>
    <w:rsid w:val="36E042EF"/>
    <w:rsid w:val="36E3362D"/>
    <w:rsid w:val="36F96AB6"/>
    <w:rsid w:val="37034FA8"/>
    <w:rsid w:val="37040975"/>
    <w:rsid w:val="37044993"/>
    <w:rsid w:val="370A418E"/>
    <w:rsid w:val="371317E1"/>
    <w:rsid w:val="37247A5D"/>
    <w:rsid w:val="37392DD5"/>
    <w:rsid w:val="374265EC"/>
    <w:rsid w:val="374377C9"/>
    <w:rsid w:val="3748070D"/>
    <w:rsid w:val="376F1BAF"/>
    <w:rsid w:val="37897FEF"/>
    <w:rsid w:val="37A445A2"/>
    <w:rsid w:val="37B06592"/>
    <w:rsid w:val="37C13D3D"/>
    <w:rsid w:val="37F44EB7"/>
    <w:rsid w:val="3837643E"/>
    <w:rsid w:val="383D2E2C"/>
    <w:rsid w:val="384A297D"/>
    <w:rsid w:val="387C4366"/>
    <w:rsid w:val="387D129C"/>
    <w:rsid w:val="389B70B6"/>
    <w:rsid w:val="38C469D7"/>
    <w:rsid w:val="38E34AA8"/>
    <w:rsid w:val="38E40FCC"/>
    <w:rsid w:val="38E67E37"/>
    <w:rsid w:val="39021256"/>
    <w:rsid w:val="391778BF"/>
    <w:rsid w:val="394800C1"/>
    <w:rsid w:val="394F4164"/>
    <w:rsid w:val="39635353"/>
    <w:rsid w:val="39641F82"/>
    <w:rsid w:val="39916AF0"/>
    <w:rsid w:val="39A646B2"/>
    <w:rsid w:val="39B43594"/>
    <w:rsid w:val="39BC09F5"/>
    <w:rsid w:val="39C52049"/>
    <w:rsid w:val="39CE558F"/>
    <w:rsid w:val="39D67AAD"/>
    <w:rsid w:val="39DC5FBD"/>
    <w:rsid w:val="39DC7DF2"/>
    <w:rsid w:val="39DE4A2B"/>
    <w:rsid w:val="39FF4C9F"/>
    <w:rsid w:val="3A253F55"/>
    <w:rsid w:val="3A257964"/>
    <w:rsid w:val="3A2C13F3"/>
    <w:rsid w:val="3A2C61F4"/>
    <w:rsid w:val="3A323E2F"/>
    <w:rsid w:val="3A397966"/>
    <w:rsid w:val="3A4E5DC7"/>
    <w:rsid w:val="3A7D62D2"/>
    <w:rsid w:val="3A7E3939"/>
    <w:rsid w:val="3A8522B8"/>
    <w:rsid w:val="3A8D72B7"/>
    <w:rsid w:val="3A9F7256"/>
    <w:rsid w:val="3AAB3B93"/>
    <w:rsid w:val="3AAD0799"/>
    <w:rsid w:val="3AC971CA"/>
    <w:rsid w:val="3AD9074E"/>
    <w:rsid w:val="3AEB6341"/>
    <w:rsid w:val="3AF060C7"/>
    <w:rsid w:val="3B0C5BAE"/>
    <w:rsid w:val="3B0E1DD2"/>
    <w:rsid w:val="3B214D10"/>
    <w:rsid w:val="3B5F68BA"/>
    <w:rsid w:val="3B6454C9"/>
    <w:rsid w:val="3B877C43"/>
    <w:rsid w:val="3BEA1C9E"/>
    <w:rsid w:val="3C0923FE"/>
    <w:rsid w:val="3C1F6017"/>
    <w:rsid w:val="3C1F6D40"/>
    <w:rsid w:val="3C4C01B2"/>
    <w:rsid w:val="3C543232"/>
    <w:rsid w:val="3C771FCD"/>
    <w:rsid w:val="3C841291"/>
    <w:rsid w:val="3C885B1D"/>
    <w:rsid w:val="3CAC7315"/>
    <w:rsid w:val="3CAF4400"/>
    <w:rsid w:val="3CB8493B"/>
    <w:rsid w:val="3CBF562B"/>
    <w:rsid w:val="3CC55484"/>
    <w:rsid w:val="3CCC2F6F"/>
    <w:rsid w:val="3CFC2595"/>
    <w:rsid w:val="3D2A05D9"/>
    <w:rsid w:val="3D2F11C3"/>
    <w:rsid w:val="3D421C96"/>
    <w:rsid w:val="3D6537DC"/>
    <w:rsid w:val="3D7236C9"/>
    <w:rsid w:val="3D8E6F31"/>
    <w:rsid w:val="3D8F1681"/>
    <w:rsid w:val="3DC855E3"/>
    <w:rsid w:val="3DE17BF3"/>
    <w:rsid w:val="3DF45A1C"/>
    <w:rsid w:val="3E2202A3"/>
    <w:rsid w:val="3E26593F"/>
    <w:rsid w:val="3E2A7035"/>
    <w:rsid w:val="3E2F5308"/>
    <w:rsid w:val="3E36427C"/>
    <w:rsid w:val="3E374EBA"/>
    <w:rsid w:val="3E3E5152"/>
    <w:rsid w:val="3E483694"/>
    <w:rsid w:val="3E4F20F2"/>
    <w:rsid w:val="3E5A111C"/>
    <w:rsid w:val="3E5C6A72"/>
    <w:rsid w:val="3E611186"/>
    <w:rsid w:val="3E6625C4"/>
    <w:rsid w:val="3E6C4A61"/>
    <w:rsid w:val="3E731D64"/>
    <w:rsid w:val="3E796A10"/>
    <w:rsid w:val="3E921C7E"/>
    <w:rsid w:val="3E993D72"/>
    <w:rsid w:val="3EB322F0"/>
    <w:rsid w:val="3EC23E25"/>
    <w:rsid w:val="3EC5232F"/>
    <w:rsid w:val="3ECB6F80"/>
    <w:rsid w:val="3ECD7383"/>
    <w:rsid w:val="3EE80514"/>
    <w:rsid w:val="3F13049B"/>
    <w:rsid w:val="3F2436F7"/>
    <w:rsid w:val="3F255D10"/>
    <w:rsid w:val="3F294BCE"/>
    <w:rsid w:val="3F310C5E"/>
    <w:rsid w:val="3F6729BB"/>
    <w:rsid w:val="3F6E0904"/>
    <w:rsid w:val="3F731171"/>
    <w:rsid w:val="3F737EE8"/>
    <w:rsid w:val="3F85098C"/>
    <w:rsid w:val="3F884457"/>
    <w:rsid w:val="3F9157EC"/>
    <w:rsid w:val="3FC51C6A"/>
    <w:rsid w:val="3FDE7D80"/>
    <w:rsid w:val="3FE02E25"/>
    <w:rsid w:val="3FF034B0"/>
    <w:rsid w:val="3FFD2A12"/>
    <w:rsid w:val="40231BBA"/>
    <w:rsid w:val="40256901"/>
    <w:rsid w:val="404E2AB7"/>
    <w:rsid w:val="405525C5"/>
    <w:rsid w:val="408E77DB"/>
    <w:rsid w:val="40A55308"/>
    <w:rsid w:val="40AA2996"/>
    <w:rsid w:val="40AA3D04"/>
    <w:rsid w:val="40B1526A"/>
    <w:rsid w:val="40B72EFB"/>
    <w:rsid w:val="40BC014B"/>
    <w:rsid w:val="40CB1821"/>
    <w:rsid w:val="40D81231"/>
    <w:rsid w:val="40E62B9D"/>
    <w:rsid w:val="410C48F2"/>
    <w:rsid w:val="412520D1"/>
    <w:rsid w:val="41281B57"/>
    <w:rsid w:val="4131705A"/>
    <w:rsid w:val="415E52E3"/>
    <w:rsid w:val="416922FA"/>
    <w:rsid w:val="418670FF"/>
    <w:rsid w:val="41915EB2"/>
    <w:rsid w:val="41B5198B"/>
    <w:rsid w:val="41DE2D64"/>
    <w:rsid w:val="425D777C"/>
    <w:rsid w:val="426D3184"/>
    <w:rsid w:val="4289743B"/>
    <w:rsid w:val="428C07D7"/>
    <w:rsid w:val="429F12CF"/>
    <w:rsid w:val="42A12B63"/>
    <w:rsid w:val="42C02800"/>
    <w:rsid w:val="42F04887"/>
    <w:rsid w:val="42F10102"/>
    <w:rsid w:val="43065A89"/>
    <w:rsid w:val="431D1A89"/>
    <w:rsid w:val="432A7D99"/>
    <w:rsid w:val="43371358"/>
    <w:rsid w:val="434A043B"/>
    <w:rsid w:val="434D31F4"/>
    <w:rsid w:val="43525E5C"/>
    <w:rsid w:val="435E5108"/>
    <w:rsid w:val="43635027"/>
    <w:rsid w:val="4368576C"/>
    <w:rsid w:val="437D04F7"/>
    <w:rsid w:val="43A852EE"/>
    <w:rsid w:val="43A85B6D"/>
    <w:rsid w:val="43AD09C3"/>
    <w:rsid w:val="44136094"/>
    <w:rsid w:val="44357B56"/>
    <w:rsid w:val="44784265"/>
    <w:rsid w:val="447D681F"/>
    <w:rsid w:val="4490591B"/>
    <w:rsid w:val="44A83782"/>
    <w:rsid w:val="44AE07F4"/>
    <w:rsid w:val="44B078BC"/>
    <w:rsid w:val="44D815C3"/>
    <w:rsid w:val="44E4567B"/>
    <w:rsid w:val="450E2B5C"/>
    <w:rsid w:val="451A58B7"/>
    <w:rsid w:val="45464C32"/>
    <w:rsid w:val="45487E77"/>
    <w:rsid w:val="454A7583"/>
    <w:rsid w:val="45700CC2"/>
    <w:rsid w:val="45784365"/>
    <w:rsid w:val="45877BD4"/>
    <w:rsid w:val="459F4D96"/>
    <w:rsid w:val="45A41272"/>
    <w:rsid w:val="45A41911"/>
    <w:rsid w:val="45BA5400"/>
    <w:rsid w:val="45BC2510"/>
    <w:rsid w:val="45BC2EC3"/>
    <w:rsid w:val="45C27578"/>
    <w:rsid w:val="45D77270"/>
    <w:rsid w:val="45DD5DCC"/>
    <w:rsid w:val="45DF07DD"/>
    <w:rsid w:val="45E02A5F"/>
    <w:rsid w:val="45E06951"/>
    <w:rsid w:val="45F50AD6"/>
    <w:rsid w:val="46085565"/>
    <w:rsid w:val="461A3BC8"/>
    <w:rsid w:val="462130BB"/>
    <w:rsid w:val="46236C2A"/>
    <w:rsid w:val="463D24F1"/>
    <w:rsid w:val="464A3765"/>
    <w:rsid w:val="464F779D"/>
    <w:rsid w:val="465A360C"/>
    <w:rsid w:val="465D18F6"/>
    <w:rsid w:val="46643E3B"/>
    <w:rsid w:val="46814253"/>
    <w:rsid w:val="468632C5"/>
    <w:rsid w:val="46911EDD"/>
    <w:rsid w:val="4699561B"/>
    <w:rsid w:val="46B042A2"/>
    <w:rsid w:val="46C95B1B"/>
    <w:rsid w:val="46E33077"/>
    <w:rsid w:val="46FB2420"/>
    <w:rsid w:val="470332C0"/>
    <w:rsid w:val="47123955"/>
    <w:rsid w:val="47155971"/>
    <w:rsid w:val="47297526"/>
    <w:rsid w:val="472C2914"/>
    <w:rsid w:val="472F7CCC"/>
    <w:rsid w:val="47484C91"/>
    <w:rsid w:val="476435D2"/>
    <w:rsid w:val="476D7861"/>
    <w:rsid w:val="47830603"/>
    <w:rsid w:val="47B2154C"/>
    <w:rsid w:val="47BD4B7F"/>
    <w:rsid w:val="47CF3323"/>
    <w:rsid w:val="47E36A10"/>
    <w:rsid w:val="47E512EA"/>
    <w:rsid w:val="48080050"/>
    <w:rsid w:val="481B5E95"/>
    <w:rsid w:val="48440646"/>
    <w:rsid w:val="4846201A"/>
    <w:rsid w:val="486B7C52"/>
    <w:rsid w:val="48915ACC"/>
    <w:rsid w:val="48A86775"/>
    <w:rsid w:val="48B55D27"/>
    <w:rsid w:val="48BF5A14"/>
    <w:rsid w:val="48CB6281"/>
    <w:rsid w:val="48D35773"/>
    <w:rsid w:val="48DA1C5A"/>
    <w:rsid w:val="48E03D8A"/>
    <w:rsid w:val="48E925A9"/>
    <w:rsid w:val="49234751"/>
    <w:rsid w:val="492B2E6F"/>
    <w:rsid w:val="49356826"/>
    <w:rsid w:val="49434EF7"/>
    <w:rsid w:val="495A5DD4"/>
    <w:rsid w:val="497466BD"/>
    <w:rsid w:val="497A3FF6"/>
    <w:rsid w:val="499E46DF"/>
    <w:rsid w:val="49B55345"/>
    <w:rsid w:val="49BE33C9"/>
    <w:rsid w:val="49C9129E"/>
    <w:rsid w:val="49E005AA"/>
    <w:rsid w:val="49F431A5"/>
    <w:rsid w:val="49F9535C"/>
    <w:rsid w:val="49FD174E"/>
    <w:rsid w:val="4A033199"/>
    <w:rsid w:val="4A0479AC"/>
    <w:rsid w:val="4A124352"/>
    <w:rsid w:val="4A181CBF"/>
    <w:rsid w:val="4A2C49C3"/>
    <w:rsid w:val="4A566DB9"/>
    <w:rsid w:val="4A750C14"/>
    <w:rsid w:val="4A7E7ED8"/>
    <w:rsid w:val="4A807F6C"/>
    <w:rsid w:val="4A93135F"/>
    <w:rsid w:val="4A966CC9"/>
    <w:rsid w:val="4AA77767"/>
    <w:rsid w:val="4AAE4E32"/>
    <w:rsid w:val="4AB660E1"/>
    <w:rsid w:val="4ABF29B1"/>
    <w:rsid w:val="4AC200E3"/>
    <w:rsid w:val="4AF33166"/>
    <w:rsid w:val="4AF77C76"/>
    <w:rsid w:val="4B1337E2"/>
    <w:rsid w:val="4B1732D4"/>
    <w:rsid w:val="4B270797"/>
    <w:rsid w:val="4B291BA4"/>
    <w:rsid w:val="4B2F2A7D"/>
    <w:rsid w:val="4B353DB2"/>
    <w:rsid w:val="4B46773A"/>
    <w:rsid w:val="4B871D1D"/>
    <w:rsid w:val="4BA12C99"/>
    <w:rsid w:val="4BC0573E"/>
    <w:rsid w:val="4BE05B65"/>
    <w:rsid w:val="4BE958AB"/>
    <w:rsid w:val="4C013544"/>
    <w:rsid w:val="4C082D8E"/>
    <w:rsid w:val="4C113F7F"/>
    <w:rsid w:val="4C330024"/>
    <w:rsid w:val="4C362506"/>
    <w:rsid w:val="4C39418E"/>
    <w:rsid w:val="4C547543"/>
    <w:rsid w:val="4C6C44D5"/>
    <w:rsid w:val="4C7C721C"/>
    <w:rsid w:val="4C8B5D50"/>
    <w:rsid w:val="4C98727D"/>
    <w:rsid w:val="4CB608EF"/>
    <w:rsid w:val="4CB94C53"/>
    <w:rsid w:val="4CEF72AB"/>
    <w:rsid w:val="4CF3744D"/>
    <w:rsid w:val="4CF92A30"/>
    <w:rsid w:val="4D6C489F"/>
    <w:rsid w:val="4D8E361A"/>
    <w:rsid w:val="4DCF28EE"/>
    <w:rsid w:val="4DFF5946"/>
    <w:rsid w:val="4E077591"/>
    <w:rsid w:val="4E1B675F"/>
    <w:rsid w:val="4E2306F3"/>
    <w:rsid w:val="4E351513"/>
    <w:rsid w:val="4E4B1C23"/>
    <w:rsid w:val="4E563B0F"/>
    <w:rsid w:val="4E7202FA"/>
    <w:rsid w:val="4E7B594C"/>
    <w:rsid w:val="4E8972EB"/>
    <w:rsid w:val="4F080A2E"/>
    <w:rsid w:val="4F202F7A"/>
    <w:rsid w:val="4F2419F5"/>
    <w:rsid w:val="4F2C43FC"/>
    <w:rsid w:val="4F334350"/>
    <w:rsid w:val="4F340E5D"/>
    <w:rsid w:val="4F410252"/>
    <w:rsid w:val="4F416DC7"/>
    <w:rsid w:val="4F6579B2"/>
    <w:rsid w:val="4F6760FC"/>
    <w:rsid w:val="4FA00E98"/>
    <w:rsid w:val="4FA13D88"/>
    <w:rsid w:val="4FA16D69"/>
    <w:rsid w:val="4FAD2F0D"/>
    <w:rsid w:val="4FBF128A"/>
    <w:rsid w:val="4FEB2ED5"/>
    <w:rsid w:val="4FF4611E"/>
    <w:rsid w:val="50173E74"/>
    <w:rsid w:val="50454C4C"/>
    <w:rsid w:val="50491633"/>
    <w:rsid w:val="5068567B"/>
    <w:rsid w:val="50963B66"/>
    <w:rsid w:val="50C75476"/>
    <w:rsid w:val="50D12B3C"/>
    <w:rsid w:val="50FB6E87"/>
    <w:rsid w:val="51121A5C"/>
    <w:rsid w:val="51274FAB"/>
    <w:rsid w:val="51340732"/>
    <w:rsid w:val="514D374D"/>
    <w:rsid w:val="51705058"/>
    <w:rsid w:val="51874806"/>
    <w:rsid w:val="51A71889"/>
    <w:rsid w:val="51B50C7C"/>
    <w:rsid w:val="51C224BC"/>
    <w:rsid w:val="51C72E25"/>
    <w:rsid w:val="51CD4AA5"/>
    <w:rsid w:val="51F15300"/>
    <w:rsid w:val="52253694"/>
    <w:rsid w:val="522A02F0"/>
    <w:rsid w:val="52307901"/>
    <w:rsid w:val="52501C5D"/>
    <w:rsid w:val="526818E5"/>
    <w:rsid w:val="52691F60"/>
    <w:rsid w:val="529D0934"/>
    <w:rsid w:val="52D12C7C"/>
    <w:rsid w:val="52D844D2"/>
    <w:rsid w:val="52E53DDA"/>
    <w:rsid w:val="53042DB3"/>
    <w:rsid w:val="531A56A6"/>
    <w:rsid w:val="532B469B"/>
    <w:rsid w:val="532B7C4A"/>
    <w:rsid w:val="5333389E"/>
    <w:rsid w:val="533E7C4C"/>
    <w:rsid w:val="534A54E0"/>
    <w:rsid w:val="534E5A11"/>
    <w:rsid w:val="534F4F0D"/>
    <w:rsid w:val="53582511"/>
    <w:rsid w:val="537D5B7C"/>
    <w:rsid w:val="53921228"/>
    <w:rsid w:val="53B8221A"/>
    <w:rsid w:val="53CA65A8"/>
    <w:rsid w:val="53D90078"/>
    <w:rsid w:val="54164915"/>
    <w:rsid w:val="54217A78"/>
    <w:rsid w:val="54344695"/>
    <w:rsid w:val="543D7452"/>
    <w:rsid w:val="5461277D"/>
    <w:rsid w:val="548212C4"/>
    <w:rsid w:val="549332C4"/>
    <w:rsid w:val="54AC399F"/>
    <w:rsid w:val="54CB6BEF"/>
    <w:rsid w:val="54FC355F"/>
    <w:rsid w:val="54FD3123"/>
    <w:rsid w:val="54FE4BE1"/>
    <w:rsid w:val="551A0993"/>
    <w:rsid w:val="552310EA"/>
    <w:rsid w:val="55284180"/>
    <w:rsid w:val="55290C0D"/>
    <w:rsid w:val="553C04F0"/>
    <w:rsid w:val="55524A5C"/>
    <w:rsid w:val="555C3F91"/>
    <w:rsid w:val="55690B5E"/>
    <w:rsid w:val="55762895"/>
    <w:rsid w:val="55862A11"/>
    <w:rsid w:val="55871E0E"/>
    <w:rsid w:val="55B71823"/>
    <w:rsid w:val="55CA5266"/>
    <w:rsid w:val="55CF2757"/>
    <w:rsid w:val="55DE4F37"/>
    <w:rsid w:val="55EF4AEC"/>
    <w:rsid w:val="560D6F2D"/>
    <w:rsid w:val="562E2F48"/>
    <w:rsid w:val="563E4A14"/>
    <w:rsid w:val="564D2F8B"/>
    <w:rsid w:val="5660104B"/>
    <w:rsid w:val="566D7CF8"/>
    <w:rsid w:val="56983CE7"/>
    <w:rsid w:val="56C27632"/>
    <w:rsid w:val="56CD3634"/>
    <w:rsid w:val="56F3629C"/>
    <w:rsid w:val="56FB78BE"/>
    <w:rsid w:val="57077A14"/>
    <w:rsid w:val="57442474"/>
    <w:rsid w:val="574D00A2"/>
    <w:rsid w:val="576C1323"/>
    <w:rsid w:val="57915563"/>
    <w:rsid w:val="579D2C68"/>
    <w:rsid w:val="57A17B48"/>
    <w:rsid w:val="57AC4FE6"/>
    <w:rsid w:val="57D956A8"/>
    <w:rsid w:val="57E625B0"/>
    <w:rsid w:val="57FD6971"/>
    <w:rsid w:val="58136BF6"/>
    <w:rsid w:val="58172A05"/>
    <w:rsid w:val="581C6D8E"/>
    <w:rsid w:val="582726A1"/>
    <w:rsid w:val="58302BF2"/>
    <w:rsid w:val="58463E08"/>
    <w:rsid w:val="58671BAB"/>
    <w:rsid w:val="589D3F2F"/>
    <w:rsid w:val="58A865A2"/>
    <w:rsid w:val="58AA2279"/>
    <w:rsid w:val="58B06B9A"/>
    <w:rsid w:val="58F50F80"/>
    <w:rsid w:val="591971EF"/>
    <w:rsid w:val="59442AAE"/>
    <w:rsid w:val="59492D1A"/>
    <w:rsid w:val="59494FCA"/>
    <w:rsid w:val="59547B16"/>
    <w:rsid w:val="59593153"/>
    <w:rsid w:val="59620FAF"/>
    <w:rsid w:val="599F63C6"/>
    <w:rsid w:val="59A10231"/>
    <w:rsid w:val="59A250DF"/>
    <w:rsid w:val="59A743DA"/>
    <w:rsid w:val="59B13A23"/>
    <w:rsid w:val="59BF5F79"/>
    <w:rsid w:val="59E7658C"/>
    <w:rsid w:val="5A0003DA"/>
    <w:rsid w:val="5A01477B"/>
    <w:rsid w:val="5A07721B"/>
    <w:rsid w:val="5A1E2129"/>
    <w:rsid w:val="5A6E6420"/>
    <w:rsid w:val="5A6F5799"/>
    <w:rsid w:val="5A7825D6"/>
    <w:rsid w:val="5A800213"/>
    <w:rsid w:val="5AA4447D"/>
    <w:rsid w:val="5AB109A5"/>
    <w:rsid w:val="5AB84E37"/>
    <w:rsid w:val="5AC62A66"/>
    <w:rsid w:val="5AD4051F"/>
    <w:rsid w:val="5B113C70"/>
    <w:rsid w:val="5B195B5D"/>
    <w:rsid w:val="5B264D8F"/>
    <w:rsid w:val="5B2804FF"/>
    <w:rsid w:val="5B3A183D"/>
    <w:rsid w:val="5B3C4404"/>
    <w:rsid w:val="5B7618A2"/>
    <w:rsid w:val="5B9A7BC8"/>
    <w:rsid w:val="5BA504AD"/>
    <w:rsid w:val="5BA529F7"/>
    <w:rsid w:val="5BA627D9"/>
    <w:rsid w:val="5BA65130"/>
    <w:rsid w:val="5BAD3DAD"/>
    <w:rsid w:val="5BB14E49"/>
    <w:rsid w:val="5BB321C1"/>
    <w:rsid w:val="5BDA5190"/>
    <w:rsid w:val="5BDF3D00"/>
    <w:rsid w:val="5BE74621"/>
    <w:rsid w:val="5C0E4179"/>
    <w:rsid w:val="5C1E5ED1"/>
    <w:rsid w:val="5C2B233F"/>
    <w:rsid w:val="5C574674"/>
    <w:rsid w:val="5C617C1B"/>
    <w:rsid w:val="5C6331AE"/>
    <w:rsid w:val="5C764C59"/>
    <w:rsid w:val="5C8A3A2B"/>
    <w:rsid w:val="5C960BD2"/>
    <w:rsid w:val="5C99268E"/>
    <w:rsid w:val="5CB0541E"/>
    <w:rsid w:val="5D02020B"/>
    <w:rsid w:val="5D025B67"/>
    <w:rsid w:val="5D761446"/>
    <w:rsid w:val="5D7A3665"/>
    <w:rsid w:val="5D891794"/>
    <w:rsid w:val="5DE44BFD"/>
    <w:rsid w:val="5DE74A06"/>
    <w:rsid w:val="5DE93B9D"/>
    <w:rsid w:val="5DF46E18"/>
    <w:rsid w:val="5E391380"/>
    <w:rsid w:val="5E3B6D60"/>
    <w:rsid w:val="5E677CDF"/>
    <w:rsid w:val="5E851075"/>
    <w:rsid w:val="5E916752"/>
    <w:rsid w:val="5EA050F4"/>
    <w:rsid w:val="5EA504C4"/>
    <w:rsid w:val="5EBD1D3E"/>
    <w:rsid w:val="5ECB1F07"/>
    <w:rsid w:val="5EDA2E3C"/>
    <w:rsid w:val="5EF64B7B"/>
    <w:rsid w:val="5F056671"/>
    <w:rsid w:val="5F060EBB"/>
    <w:rsid w:val="5F0639A5"/>
    <w:rsid w:val="5F0C4336"/>
    <w:rsid w:val="5F187C9D"/>
    <w:rsid w:val="5F197924"/>
    <w:rsid w:val="5F3E51C9"/>
    <w:rsid w:val="5F445E06"/>
    <w:rsid w:val="5F467548"/>
    <w:rsid w:val="5F866CB1"/>
    <w:rsid w:val="5F8D7974"/>
    <w:rsid w:val="5F96511F"/>
    <w:rsid w:val="5FA621C8"/>
    <w:rsid w:val="5FA945AD"/>
    <w:rsid w:val="5FB31A2F"/>
    <w:rsid w:val="5FD77108"/>
    <w:rsid w:val="5FE274E5"/>
    <w:rsid w:val="5FEA632E"/>
    <w:rsid w:val="60065F5B"/>
    <w:rsid w:val="6028119D"/>
    <w:rsid w:val="60744B27"/>
    <w:rsid w:val="607864DC"/>
    <w:rsid w:val="607F664B"/>
    <w:rsid w:val="60914A95"/>
    <w:rsid w:val="609B54BF"/>
    <w:rsid w:val="60AE3443"/>
    <w:rsid w:val="612A71C2"/>
    <w:rsid w:val="613B37CA"/>
    <w:rsid w:val="613F46EF"/>
    <w:rsid w:val="615A0E4E"/>
    <w:rsid w:val="618A5582"/>
    <w:rsid w:val="618E7010"/>
    <w:rsid w:val="61C64CD9"/>
    <w:rsid w:val="61CD42B9"/>
    <w:rsid w:val="61F15984"/>
    <w:rsid w:val="6204460C"/>
    <w:rsid w:val="62085F51"/>
    <w:rsid w:val="62372791"/>
    <w:rsid w:val="623F09C9"/>
    <w:rsid w:val="625F5BF0"/>
    <w:rsid w:val="62A75C3C"/>
    <w:rsid w:val="62DE30E7"/>
    <w:rsid w:val="62F1117E"/>
    <w:rsid w:val="62F51D1A"/>
    <w:rsid w:val="630A1E9D"/>
    <w:rsid w:val="630E3E0E"/>
    <w:rsid w:val="632B2749"/>
    <w:rsid w:val="63580264"/>
    <w:rsid w:val="6383407C"/>
    <w:rsid w:val="638D3265"/>
    <w:rsid w:val="639116BD"/>
    <w:rsid w:val="63990F20"/>
    <w:rsid w:val="63F4519C"/>
    <w:rsid w:val="64127FE1"/>
    <w:rsid w:val="641852F6"/>
    <w:rsid w:val="64187DC9"/>
    <w:rsid w:val="641E2BAA"/>
    <w:rsid w:val="643717DF"/>
    <w:rsid w:val="644E2B9F"/>
    <w:rsid w:val="646B12F8"/>
    <w:rsid w:val="646E1592"/>
    <w:rsid w:val="64726E53"/>
    <w:rsid w:val="64911E42"/>
    <w:rsid w:val="64A07C05"/>
    <w:rsid w:val="64A810BA"/>
    <w:rsid w:val="64E35BA2"/>
    <w:rsid w:val="64F06B7A"/>
    <w:rsid w:val="650C48C4"/>
    <w:rsid w:val="65271610"/>
    <w:rsid w:val="652D0E7E"/>
    <w:rsid w:val="652D1314"/>
    <w:rsid w:val="653B198C"/>
    <w:rsid w:val="65560D74"/>
    <w:rsid w:val="65877FCD"/>
    <w:rsid w:val="658D56F0"/>
    <w:rsid w:val="65976CF9"/>
    <w:rsid w:val="659D3CDD"/>
    <w:rsid w:val="65A943E3"/>
    <w:rsid w:val="65C40356"/>
    <w:rsid w:val="65E06684"/>
    <w:rsid w:val="66645857"/>
    <w:rsid w:val="666B5FD0"/>
    <w:rsid w:val="666D423B"/>
    <w:rsid w:val="666E3C48"/>
    <w:rsid w:val="66720204"/>
    <w:rsid w:val="66B27F22"/>
    <w:rsid w:val="67065129"/>
    <w:rsid w:val="672358A2"/>
    <w:rsid w:val="67254250"/>
    <w:rsid w:val="673F4B97"/>
    <w:rsid w:val="675C0036"/>
    <w:rsid w:val="677733B4"/>
    <w:rsid w:val="677E11DB"/>
    <w:rsid w:val="678456CE"/>
    <w:rsid w:val="67924E9B"/>
    <w:rsid w:val="679734AF"/>
    <w:rsid w:val="679F491B"/>
    <w:rsid w:val="67D35712"/>
    <w:rsid w:val="67DB2E5C"/>
    <w:rsid w:val="67E53EF8"/>
    <w:rsid w:val="67E61C5E"/>
    <w:rsid w:val="67F23A74"/>
    <w:rsid w:val="680D6478"/>
    <w:rsid w:val="68144D93"/>
    <w:rsid w:val="681C3089"/>
    <w:rsid w:val="681E0BD1"/>
    <w:rsid w:val="683E75F2"/>
    <w:rsid w:val="6845770D"/>
    <w:rsid w:val="685347AB"/>
    <w:rsid w:val="68B97BBE"/>
    <w:rsid w:val="68CE7177"/>
    <w:rsid w:val="68DD7DD2"/>
    <w:rsid w:val="68F600B0"/>
    <w:rsid w:val="690100FF"/>
    <w:rsid w:val="69090276"/>
    <w:rsid w:val="69142070"/>
    <w:rsid w:val="6942558D"/>
    <w:rsid w:val="694A1418"/>
    <w:rsid w:val="694B1AA3"/>
    <w:rsid w:val="695802B6"/>
    <w:rsid w:val="695844A7"/>
    <w:rsid w:val="698B2F7C"/>
    <w:rsid w:val="698D65AA"/>
    <w:rsid w:val="698E07D2"/>
    <w:rsid w:val="69DA064F"/>
    <w:rsid w:val="69E06B54"/>
    <w:rsid w:val="69F83E9D"/>
    <w:rsid w:val="6A3D4DB6"/>
    <w:rsid w:val="6A470A79"/>
    <w:rsid w:val="6A674943"/>
    <w:rsid w:val="6A6D42B6"/>
    <w:rsid w:val="6A8552FC"/>
    <w:rsid w:val="6A8B2D2D"/>
    <w:rsid w:val="6A8B35DA"/>
    <w:rsid w:val="6AB408C5"/>
    <w:rsid w:val="6ABD051A"/>
    <w:rsid w:val="6ABD21BA"/>
    <w:rsid w:val="6ACC65A8"/>
    <w:rsid w:val="6AD54946"/>
    <w:rsid w:val="6AEE5E33"/>
    <w:rsid w:val="6B1C5FD4"/>
    <w:rsid w:val="6B1D04B4"/>
    <w:rsid w:val="6B2348F6"/>
    <w:rsid w:val="6B3C5608"/>
    <w:rsid w:val="6B516FD2"/>
    <w:rsid w:val="6B534987"/>
    <w:rsid w:val="6B5C3E5F"/>
    <w:rsid w:val="6B975714"/>
    <w:rsid w:val="6BA93769"/>
    <w:rsid w:val="6BE62BC9"/>
    <w:rsid w:val="6C056294"/>
    <w:rsid w:val="6C0E0EBB"/>
    <w:rsid w:val="6C472EBA"/>
    <w:rsid w:val="6C6B4DFB"/>
    <w:rsid w:val="6C8520D8"/>
    <w:rsid w:val="6CA30740"/>
    <w:rsid w:val="6CA44515"/>
    <w:rsid w:val="6CB363A9"/>
    <w:rsid w:val="6CC411B3"/>
    <w:rsid w:val="6CC72000"/>
    <w:rsid w:val="6CC809A5"/>
    <w:rsid w:val="6CCB667E"/>
    <w:rsid w:val="6CD011D3"/>
    <w:rsid w:val="6CD95732"/>
    <w:rsid w:val="6CE50FF5"/>
    <w:rsid w:val="6CE82A55"/>
    <w:rsid w:val="6CFC3BA6"/>
    <w:rsid w:val="6D3633D8"/>
    <w:rsid w:val="6D371181"/>
    <w:rsid w:val="6D544391"/>
    <w:rsid w:val="6D616A9E"/>
    <w:rsid w:val="6D690ECA"/>
    <w:rsid w:val="6D7D7AE2"/>
    <w:rsid w:val="6D8030BA"/>
    <w:rsid w:val="6D943F6C"/>
    <w:rsid w:val="6DA27276"/>
    <w:rsid w:val="6DAA4C7A"/>
    <w:rsid w:val="6DC42A14"/>
    <w:rsid w:val="6DCE3FAD"/>
    <w:rsid w:val="6DF75F9C"/>
    <w:rsid w:val="6E107491"/>
    <w:rsid w:val="6E1735A1"/>
    <w:rsid w:val="6E200C75"/>
    <w:rsid w:val="6E277E56"/>
    <w:rsid w:val="6E2E642A"/>
    <w:rsid w:val="6E327D53"/>
    <w:rsid w:val="6E444B96"/>
    <w:rsid w:val="6E4F4C08"/>
    <w:rsid w:val="6E511DCE"/>
    <w:rsid w:val="6E541D7B"/>
    <w:rsid w:val="6E5A2157"/>
    <w:rsid w:val="6E640AFA"/>
    <w:rsid w:val="6E692661"/>
    <w:rsid w:val="6E6B5F8D"/>
    <w:rsid w:val="6E825FA1"/>
    <w:rsid w:val="6E8E4C98"/>
    <w:rsid w:val="6EA828C7"/>
    <w:rsid w:val="6EA83C49"/>
    <w:rsid w:val="6EB108A7"/>
    <w:rsid w:val="6EC10D02"/>
    <w:rsid w:val="6ED50F59"/>
    <w:rsid w:val="6EDC0C45"/>
    <w:rsid w:val="6EE3336E"/>
    <w:rsid w:val="6F012AB8"/>
    <w:rsid w:val="6F032A31"/>
    <w:rsid w:val="6F356892"/>
    <w:rsid w:val="6F49533C"/>
    <w:rsid w:val="6F4A21B2"/>
    <w:rsid w:val="6F95488E"/>
    <w:rsid w:val="6FD0175F"/>
    <w:rsid w:val="6FED5853"/>
    <w:rsid w:val="7000127A"/>
    <w:rsid w:val="70181BE4"/>
    <w:rsid w:val="701C0E23"/>
    <w:rsid w:val="702319C5"/>
    <w:rsid w:val="702424E3"/>
    <w:rsid w:val="70343755"/>
    <w:rsid w:val="703A6FBE"/>
    <w:rsid w:val="70515191"/>
    <w:rsid w:val="70571722"/>
    <w:rsid w:val="706D17D9"/>
    <w:rsid w:val="7087489B"/>
    <w:rsid w:val="708B098D"/>
    <w:rsid w:val="708D69DB"/>
    <w:rsid w:val="70B872D5"/>
    <w:rsid w:val="70BE18A2"/>
    <w:rsid w:val="70E60E46"/>
    <w:rsid w:val="710D7763"/>
    <w:rsid w:val="71172B5B"/>
    <w:rsid w:val="711A7258"/>
    <w:rsid w:val="71306A35"/>
    <w:rsid w:val="713E4A99"/>
    <w:rsid w:val="715377E6"/>
    <w:rsid w:val="715F1117"/>
    <w:rsid w:val="71855CDF"/>
    <w:rsid w:val="71AA050D"/>
    <w:rsid w:val="71AF429C"/>
    <w:rsid w:val="71BE3C1E"/>
    <w:rsid w:val="71C630DC"/>
    <w:rsid w:val="71D16BC3"/>
    <w:rsid w:val="71E34CC0"/>
    <w:rsid w:val="71E77863"/>
    <w:rsid w:val="71FE2DB3"/>
    <w:rsid w:val="72063F7E"/>
    <w:rsid w:val="72064472"/>
    <w:rsid w:val="720B47E2"/>
    <w:rsid w:val="72256895"/>
    <w:rsid w:val="72286D57"/>
    <w:rsid w:val="723C3E18"/>
    <w:rsid w:val="723F4A0E"/>
    <w:rsid w:val="724B78DF"/>
    <w:rsid w:val="72873935"/>
    <w:rsid w:val="72A73823"/>
    <w:rsid w:val="72C963D7"/>
    <w:rsid w:val="72DD7BBD"/>
    <w:rsid w:val="72E33C9D"/>
    <w:rsid w:val="72F6195D"/>
    <w:rsid w:val="72F64EB2"/>
    <w:rsid w:val="73027872"/>
    <w:rsid w:val="733028FA"/>
    <w:rsid w:val="733C3AAC"/>
    <w:rsid w:val="7356759B"/>
    <w:rsid w:val="735D7770"/>
    <w:rsid w:val="73632035"/>
    <w:rsid w:val="73700F48"/>
    <w:rsid w:val="73916146"/>
    <w:rsid w:val="73A44E01"/>
    <w:rsid w:val="73A57037"/>
    <w:rsid w:val="73D74B24"/>
    <w:rsid w:val="73D82DC6"/>
    <w:rsid w:val="73ED3952"/>
    <w:rsid w:val="74052F11"/>
    <w:rsid w:val="740D3DE3"/>
    <w:rsid w:val="74276390"/>
    <w:rsid w:val="74312486"/>
    <w:rsid w:val="74356432"/>
    <w:rsid w:val="743E2DF5"/>
    <w:rsid w:val="744364B4"/>
    <w:rsid w:val="74595AED"/>
    <w:rsid w:val="745F4BBB"/>
    <w:rsid w:val="746034B2"/>
    <w:rsid w:val="747043AB"/>
    <w:rsid w:val="748F7310"/>
    <w:rsid w:val="74910B9D"/>
    <w:rsid w:val="749248B4"/>
    <w:rsid w:val="7495488F"/>
    <w:rsid w:val="7499699E"/>
    <w:rsid w:val="74BD0E49"/>
    <w:rsid w:val="74BE5F51"/>
    <w:rsid w:val="74C41C48"/>
    <w:rsid w:val="74DD260E"/>
    <w:rsid w:val="74DE3E0D"/>
    <w:rsid w:val="74E25A6C"/>
    <w:rsid w:val="74FF7E6C"/>
    <w:rsid w:val="7510728B"/>
    <w:rsid w:val="75197380"/>
    <w:rsid w:val="75216E92"/>
    <w:rsid w:val="75275A2A"/>
    <w:rsid w:val="754232F1"/>
    <w:rsid w:val="7548139F"/>
    <w:rsid w:val="755E3E66"/>
    <w:rsid w:val="75B056DA"/>
    <w:rsid w:val="75D638AA"/>
    <w:rsid w:val="75E75DD5"/>
    <w:rsid w:val="75F568DA"/>
    <w:rsid w:val="760D64CD"/>
    <w:rsid w:val="761402B1"/>
    <w:rsid w:val="76264FFA"/>
    <w:rsid w:val="762758A9"/>
    <w:rsid w:val="76500979"/>
    <w:rsid w:val="76765F4C"/>
    <w:rsid w:val="76912863"/>
    <w:rsid w:val="769D4E27"/>
    <w:rsid w:val="76B44527"/>
    <w:rsid w:val="76C5219A"/>
    <w:rsid w:val="76C73322"/>
    <w:rsid w:val="76CF1AC6"/>
    <w:rsid w:val="76E94FCC"/>
    <w:rsid w:val="770A43BD"/>
    <w:rsid w:val="771B3C60"/>
    <w:rsid w:val="77265A64"/>
    <w:rsid w:val="772E56DF"/>
    <w:rsid w:val="77450C74"/>
    <w:rsid w:val="77664B3C"/>
    <w:rsid w:val="777C4360"/>
    <w:rsid w:val="77841933"/>
    <w:rsid w:val="77BD0907"/>
    <w:rsid w:val="77BF27B0"/>
    <w:rsid w:val="77DF5781"/>
    <w:rsid w:val="78177BE5"/>
    <w:rsid w:val="78302AF9"/>
    <w:rsid w:val="78561DD2"/>
    <w:rsid w:val="787D05C1"/>
    <w:rsid w:val="789B3777"/>
    <w:rsid w:val="78A70A05"/>
    <w:rsid w:val="78AE42AF"/>
    <w:rsid w:val="78B43D4D"/>
    <w:rsid w:val="78C33B15"/>
    <w:rsid w:val="78C805A7"/>
    <w:rsid w:val="78E6289A"/>
    <w:rsid w:val="78F30CC6"/>
    <w:rsid w:val="78F52D35"/>
    <w:rsid w:val="791B1A77"/>
    <w:rsid w:val="79541EBA"/>
    <w:rsid w:val="795D15EB"/>
    <w:rsid w:val="79663EE8"/>
    <w:rsid w:val="79D7355B"/>
    <w:rsid w:val="79E46323"/>
    <w:rsid w:val="7A2B5BC9"/>
    <w:rsid w:val="7A3903AB"/>
    <w:rsid w:val="7A445194"/>
    <w:rsid w:val="7A516EB8"/>
    <w:rsid w:val="7A5E78FA"/>
    <w:rsid w:val="7A6030E8"/>
    <w:rsid w:val="7A8307F6"/>
    <w:rsid w:val="7A87118C"/>
    <w:rsid w:val="7A9126FB"/>
    <w:rsid w:val="7AA25F67"/>
    <w:rsid w:val="7AC3005B"/>
    <w:rsid w:val="7ADA4768"/>
    <w:rsid w:val="7AE65F3F"/>
    <w:rsid w:val="7AF1471D"/>
    <w:rsid w:val="7B056AF3"/>
    <w:rsid w:val="7B146C5C"/>
    <w:rsid w:val="7B176428"/>
    <w:rsid w:val="7B1C3B93"/>
    <w:rsid w:val="7B214824"/>
    <w:rsid w:val="7B25111A"/>
    <w:rsid w:val="7BB257A7"/>
    <w:rsid w:val="7BB84308"/>
    <w:rsid w:val="7BCA452E"/>
    <w:rsid w:val="7BCD22C6"/>
    <w:rsid w:val="7BD16C4E"/>
    <w:rsid w:val="7BD65541"/>
    <w:rsid w:val="7BD76D91"/>
    <w:rsid w:val="7C013085"/>
    <w:rsid w:val="7C0626F4"/>
    <w:rsid w:val="7C340143"/>
    <w:rsid w:val="7C3B3441"/>
    <w:rsid w:val="7C54527B"/>
    <w:rsid w:val="7C5D7A8A"/>
    <w:rsid w:val="7C611D76"/>
    <w:rsid w:val="7C7747C8"/>
    <w:rsid w:val="7C907F65"/>
    <w:rsid w:val="7CA828B6"/>
    <w:rsid w:val="7CE81C3D"/>
    <w:rsid w:val="7D0C670E"/>
    <w:rsid w:val="7D1355F3"/>
    <w:rsid w:val="7D254B52"/>
    <w:rsid w:val="7D467E95"/>
    <w:rsid w:val="7D8040E7"/>
    <w:rsid w:val="7D93018D"/>
    <w:rsid w:val="7DBB2753"/>
    <w:rsid w:val="7DD464FD"/>
    <w:rsid w:val="7DEB5BF2"/>
    <w:rsid w:val="7DF30576"/>
    <w:rsid w:val="7E4709BA"/>
    <w:rsid w:val="7E5223C0"/>
    <w:rsid w:val="7E68584E"/>
    <w:rsid w:val="7E977CD1"/>
    <w:rsid w:val="7E9A3BF0"/>
    <w:rsid w:val="7E9B156F"/>
    <w:rsid w:val="7EBD7F05"/>
    <w:rsid w:val="7ED62348"/>
    <w:rsid w:val="7EEA4F66"/>
    <w:rsid w:val="7F0F6D00"/>
    <w:rsid w:val="7F154E91"/>
    <w:rsid w:val="7F516BE8"/>
    <w:rsid w:val="7F521137"/>
    <w:rsid w:val="7F6148CC"/>
    <w:rsid w:val="7F8B5191"/>
    <w:rsid w:val="7FB01837"/>
    <w:rsid w:val="7FC259DD"/>
    <w:rsid w:val="7FD629F1"/>
    <w:rsid w:val="7FD939F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0" w:semiHidden="0" w:name="heading 2"/>
    <w:lsdException w:qFormat="1" w:unhideWhenUsed="0"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nhideWhenUsed="0" w:uiPriority="39" w:semiHidden="0" w:name="toc 2"/>
    <w:lsdException w:uiPriority="0" w:name="toc 3"/>
    <w:lsdException w:uiPriority="0" w:name="toc 4"/>
    <w:lsdException w:uiPriority="0" w:name="toc 5"/>
    <w:lsdException w:qFormat="1" w:unhideWhenUsed="0" w:uiPriority="0" w:semiHidden="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iPriority="0" w:name="index heading"/>
    <w:lsdException w:qFormat="1" w:unhideWhenUsed="0" w:uiPriority="0" w:semiHidden="0" w:name="caption" w:locked="1"/>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qFormat="1" w:uiPriority="99"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uiPriority="0" w:name="FollowedHyperlink"/>
    <w:lsdException w:qFormat="1" w:unhideWhenUsed="0" w:uiPriority="0" w:semiHidden="0" w:name="Strong" w:locked="1"/>
    <w:lsdException w:qFormat="1" w:unhideWhenUsed="0" w:uiPriority="0" w:semiHidden="0" w:name="Emphasis" w:locked="1"/>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adjustRightInd w:val="0"/>
      <w:snapToGrid w:val="0"/>
      <w:jc w:val="both"/>
    </w:pPr>
    <w:rPr>
      <w:rFonts w:ascii="Times New Roman" w:hAnsi="Times New Roman" w:eastAsia="宋体" w:cs="Times New Roman"/>
      <w:kern w:val="2"/>
      <w:sz w:val="18"/>
      <w:szCs w:val="18"/>
      <w:lang w:val="en-US" w:eastAsia="zh-CN" w:bidi="ar-SA"/>
    </w:rPr>
  </w:style>
  <w:style w:type="paragraph" w:styleId="3">
    <w:name w:val="heading 1"/>
    <w:basedOn w:val="1"/>
    <w:next w:val="1"/>
    <w:link w:val="40"/>
    <w:autoRedefine/>
    <w:qFormat/>
    <w:locked/>
    <w:uiPriority w:val="0"/>
    <w:pPr>
      <w:keepNext/>
      <w:keepLines/>
      <w:spacing w:before="340" w:after="330" w:line="578" w:lineRule="auto"/>
      <w:outlineLvl w:val="0"/>
    </w:pPr>
    <w:rPr>
      <w:b/>
      <w:bCs/>
      <w:kern w:val="44"/>
      <w:sz w:val="44"/>
      <w:szCs w:val="44"/>
    </w:rPr>
  </w:style>
  <w:style w:type="paragraph" w:styleId="4">
    <w:name w:val="heading 2"/>
    <w:basedOn w:val="1"/>
    <w:next w:val="1"/>
    <w:link w:val="39"/>
    <w:autoRedefine/>
    <w:qFormat/>
    <w:uiPriority w:val="0"/>
    <w:pPr>
      <w:keepNext/>
      <w:keepLines/>
      <w:spacing w:line="360" w:lineRule="auto"/>
      <w:outlineLvl w:val="1"/>
    </w:pPr>
    <w:rPr>
      <w:rFonts w:ascii="黑体" w:hAnsi="黑体" w:eastAsia="黑体"/>
      <w:b/>
      <w:bCs/>
      <w:color w:val="000000"/>
      <w:sz w:val="30"/>
      <w:szCs w:val="30"/>
    </w:rPr>
  </w:style>
  <w:style w:type="paragraph" w:styleId="5">
    <w:name w:val="heading 3"/>
    <w:basedOn w:val="1"/>
    <w:next w:val="1"/>
    <w:link w:val="41"/>
    <w:autoRedefine/>
    <w:qFormat/>
    <w:locked/>
    <w:uiPriority w:val="0"/>
    <w:pPr>
      <w:keepNext/>
      <w:keepLines/>
      <w:spacing w:before="260" w:after="260" w:line="416" w:lineRule="auto"/>
      <w:outlineLvl w:val="2"/>
    </w:pPr>
    <w:rPr>
      <w:b/>
      <w:bCs/>
      <w:sz w:val="32"/>
      <w:szCs w:val="32"/>
    </w:rPr>
  </w:style>
  <w:style w:type="character" w:default="1" w:styleId="32">
    <w:name w:val="Default Paragraph Font"/>
    <w:autoRedefine/>
    <w:semiHidden/>
    <w:unhideWhenUsed/>
    <w:qFormat/>
    <w:uiPriority w:val="1"/>
  </w:style>
  <w:style w:type="table" w:default="1" w:styleId="29">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1"/>
    <w:autoRedefine/>
    <w:qFormat/>
    <w:uiPriority w:val="0"/>
    <w:rPr>
      <w:sz w:val="24"/>
      <w:szCs w:val="20"/>
    </w:rPr>
  </w:style>
  <w:style w:type="paragraph" w:styleId="6">
    <w:name w:val="List 3"/>
    <w:basedOn w:val="1"/>
    <w:autoRedefine/>
    <w:semiHidden/>
    <w:unhideWhenUsed/>
    <w:qFormat/>
    <w:uiPriority w:val="99"/>
    <w:pPr>
      <w:ind w:left="100" w:leftChars="400" w:hanging="200" w:hangingChars="200"/>
    </w:pPr>
  </w:style>
  <w:style w:type="paragraph" w:styleId="7">
    <w:name w:val="Normal Indent"/>
    <w:basedOn w:val="1"/>
    <w:link w:val="59"/>
    <w:autoRedefine/>
    <w:qFormat/>
    <w:uiPriority w:val="0"/>
    <w:pPr>
      <w:spacing w:line="460" w:lineRule="atLeast"/>
      <w:ind w:firstLine="510"/>
    </w:pPr>
    <w:rPr>
      <w:sz w:val="24"/>
      <w:szCs w:val="20"/>
    </w:rPr>
  </w:style>
  <w:style w:type="paragraph" w:styleId="8">
    <w:name w:val="caption"/>
    <w:basedOn w:val="1"/>
    <w:next w:val="1"/>
    <w:autoRedefine/>
    <w:qFormat/>
    <w:locked/>
    <w:uiPriority w:val="0"/>
    <w:rPr>
      <w:rFonts w:ascii="Cambria" w:hAnsi="Cambria" w:eastAsia="黑体"/>
      <w:sz w:val="20"/>
      <w:szCs w:val="20"/>
    </w:rPr>
  </w:style>
  <w:style w:type="paragraph" w:styleId="9">
    <w:name w:val="Document Map"/>
    <w:basedOn w:val="1"/>
    <w:link w:val="44"/>
    <w:autoRedefine/>
    <w:qFormat/>
    <w:uiPriority w:val="0"/>
    <w:rPr>
      <w:rFonts w:ascii="宋体"/>
    </w:rPr>
  </w:style>
  <w:style w:type="paragraph" w:styleId="10">
    <w:name w:val="annotation text"/>
    <w:basedOn w:val="1"/>
    <w:link w:val="57"/>
    <w:autoRedefine/>
    <w:qFormat/>
    <w:uiPriority w:val="0"/>
    <w:pPr>
      <w:jc w:val="left"/>
    </w:pPr>
  </w:style>
  <w:style w:type="paragraph" w:styleId="11">
    <w:name w:val="Body Text Indent"/>
    <w:basedOn w:val="1"/>
    <w:next w:val="1"/>
    <w:autoRedefine/>
    <w:qFormat/>
    <w:uiPriority w:val="0"/>
    <w:pPr>
      <w:spacing w:after="120"/>
      <w:ind w:left="420" w:leftChars="200"/>
    </w:pPr>
  </w:style>
  <w:style w:type="paragraph" w:styleId="12">
    <w:name w:val="Block Text"/>
    <w:basedOn w:val="1"/>
    <w:next w:val="1"/>
    <w:autoRedefine/>
    <w:qFormat/>
    <w:uiPriority w:val="0"/>
    <w:pPr>
      <w:widowControl/>
      <w:snapToGrid w:val="0"/>
      <w:spacing w:line="408" w:lineRule="auto"/>
      <w:ind w:left="-113" w:right="-510" w:firstLine="510"/>
      <w:jc w:val="left"/>
    </w:pPr>
    <w:rPr>
      <w:sz w:val="24"/>
      <w:szCs w:val="20"/>
    </w:rPr>
  </w:style>
  <w:style w:type="paragraph" w:styleId="13">
    <w:name w:val="Plain Text"/>
    <w:basedOn w:val="1"/>
    <w:link w:val="108"/>
    <w:autoRedefine/>
    <w:qFormat/>
    <w:uiPriority w:val="0"/>
    <w:rPr>
      <w:rFonts w:ascii="宋体" w:hAnsi="Courier New"/>
      <w:sz w:val="28"/>
      <w:szCs w:val="22"/>
    </w:rPr>
  </w:style>
  <w:style w:type="paragraph" w:styleId="14">
    <w:name w:val="List Bullet 5"/>
    <w:basedOn w:val="1"/>
    <w:autoRedefine/>
    <w:qFormat/>
    <w:uiPriority w:val="0"/>
    <w:pPr>
      <w:tabs>
        <w:tab w:val="left" w:pos="2040"/>
      </w:tabs>
      <w:ind w:left="2040" w:hanging="360"/>
    </w:pPr>
  </w:style>
  <w:style w:type="paragraph" w:styleId="15">
    <w:name w:val="Date"/>
    <w:basedOn w:val="1"/>
    <w:next w:val="1"/>
    <w:autoRedefine/>
    <w:qFormat/>
    <w:uiPriority w:val="0"/>
    <w:pPr>
      <w:widowControl/>
      <w:suppressAutoHyphens/>
      <w:snapToGrid w:val="0"/>
      <w:spacing w:before="120"/>
      <w:ind w:left="754"/>
    </w:pPr>
    <w:rPr>
      <w:rFonts w:eastAsia="楷体"/>
      <w:bCs/>
      <w:color w:val="000000"/>
      <w:szCs w:val="20"/>
    </w:rPr>
  </w:style>
  <w:style w:type="paragraph" w:styleId="16">
    <w:name w:val="Body Text Indent 2"/>
    <w:basedOn w:val="1"/>
    <w:autoRedefine/>
    <w:qFormat/>
    <w:uiPriority w:val="0"/>
    <w:pPr>
      <w:ind w:firstLine="564"/>
    </w:pPr>
    <w:rPr>
      <w:rFonts w:ascii="仿宋_GB2312" w:eastAsia="仿宋_GB2312"/>
      <w:sz w:val="28"/>
      <w:szCs w:val="20"/>
    </w:rPr>
  </w:style>
  <w:style w:type="paragraph" w:styleId="17">
    <w:name w:val="Balloon Text"/>
    <w:basedOn w:val="1"/>
    <w:link w:val="48"/>
    <w:autoRedefine/>
    <w:qFormat/>
    <w:uiPriority w:val="0"/>
  </w:style>
  <w:style w:type="paragraph" w:styleId="18">
    <w:name w:val="footer"/>
    <w:basedOn w:val="1"/>
    <w:link w:val="87"/>
    <w:autoRedefine/>
    <w:qFormat/>
    <w:uiPriority w:val="0"/>
    <w:pPr>
      <w:tabs>
        <w:tab w:val="center" w:pos="4153"/>
        <w:tab w:val="right" w:pos="8306"/>
      </w:tabs>
      <w:jc w:val="left"/>
    </w:pPr>
  </w:style>
  <w:style w:type="paragraph" w:styleId="19">
    <w:name w:val="header"/>
    <w:basedOn w:val="1"/>
    <w:link w:val="51"/>
    <w:autoRedefine/>
    <w:qFormat/>
    <w:uiPriority w:val="99"/>
    <w:pPr>
      <w:pBdr>
        <w:bottom w:val="single" w:color="auto" w:sz="6" w:space="1"/>
      </w:pBdr>
      <w:tabs>
        <w:tab w:val="center" w:pos="4153"/>
        <w:tab w:val="right" w:pos="8306"/>
      </w:tabs>
      <w:jc w:val="center"/>
    </w:pPr>
  </w:style>
  <w:style w:type="paragraph" w:styleId="20">
    <w:name w:val="toc 1"/>
    <w:basedOn w:val="1"/>
    <w:next w:val="1"/>
    <w:autoRedefine/>
    <w:unhideWhenUsed/>
    <w:qFormat/>
    <w:uiPriority w:val="39"/>
  </w:style>
  <w:style w:type="paragraph" w:styleId="21">
    <w:name w:val="Subtitle"/>
    <w:basedOn w:val="1"/>
    <w:next w:val="1"/>
    <w:link w:val="47"/>
    <w:autoRedefine/>
    <w:qFormat/>
    <w:locked/>
    <w:uiPriority w:val="0"/>
    <w:pPr>
      <w:spacing w:before="240" w:after="60" w:line="312" w:lineRule="auto"/>
      <w:jc w:val="center"/>
      <w:outlineLvl w:val="1"/>
    </w:pPr>
    <w:rPr>
      <w:rFonts w:ascii="Cambria" w:hAnsi="Cambria"/>
      <w:b/>
      <w:bCs/>
      <w:kern w:val="28"/>
      <w:sz w:val="24"/>
      <w:szCs w:val="32"/>
    </w:rPr>
  </w:style>
  <w:style w:type="paragraph" w:styleId="22">
    <w:name w:val="toc 6"/>
    <w:basedOn w:val="1"/>
    <w:next w:val="1"/>
    <w:autoRedefine/>
    <w:qFormat/>
    <w:uiPriority w:val="0"/>
    <w:pPr>
      <w:ind w:left="2100" w:leftChars="1000"/>
    </w:pPr>
  </w:style>
  <w:style w:type="paragraph" w:styleId="23">
    <w:name w:val="Body Text Indent 3"/>
    <w:basedOn w:val="1"/>
    <w:autoRedefine/>
    <w:qFormat/>
    <w:uiPriority w:val="0"/>
    <w:pPr>
      <w:spacing w:line="400" w:lineRule="exact"/>
      <w:ind w:firstLine="518" w:firstLineChars="185"/>
    </w:pPr>
    <w:rPr>
      <w:rFonts w:ascii="仿宋_GB2312" w:eastAsia="仿宋_GB2312"/>
      <w:sz w:val="28"/>
      <w:szCs w:val="20"/>
    </w:rPr>
  </w:style>
  <w:style w:type="paragraph" w:styleId="24">
    <w:name w:val="toc 2"/>
    <w:basedOn w:val="1"/>
    <w:next w:val="1"/>
    <w:autoRedefine/>
    <w:qFormat/>
    <w:uiPriority w:val="39"/>
    <w:pPr>
      <w:ind w:left="420" w:leftChars="200"/>
    </w:pPr>
  </w:style>
  <w:style w:type="paragraph" w:styleId="25">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6">
    <w:name w:val="index 1"/>
    <w:basedOn w:val="1"/>
    <w:next w:val="1"/>
    <w:autoRedefine/>
    <w:qFormat/>
    <w:uiPriority w:val="0"/>
    <w:pPr>
      <w:jc w:val="center"/>
    </w:pPr>
  </w:style>
  <w:style w:type="paragraph" w:styleId="27">
    <w:name w:val="annotation subject"/>
    <w:basedOn w:val="10"/>
    <w:next w:val="10"/>
    <w:link w:val="52"/>
    <w:autoRedefine/>
    <w:unhideWhenUsed/>
    <w:qFormat/>
    <w:uiPriority w:val="0"/>
    <w:rPr>
      <w:b/>
      <w:bCs/>
    </w:rPr>
  </w:style>
  <w:style w:type="paragraph" w:styleId="28">
    <w:name w:val="Body Text First Indent 2"/>
    <w:basedOn w:val="11"/>
    <w:autoRedefine/>
    <w:qFormat/>
    <w:uiPriority w:val="0"/>
    <w:pPr>
      <w:ind w:firstLine="420" w:firstLineChars="200"/>
    </w:pPr>
    <w:rPr>
      <w:kern w:val="0"/>
      <w:szCs w:val="22"/>
    </w:rPr>
  </w:style>
  <w:style w:type="table" w:styleId="30">
    <w:name w:val="Table Grid"/>
    <w:basedOn w:val="29"/>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1">
    <w:name w:val="Table Theme"/>
    <w:basedOn w:val="29"/>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3">
    <w:name w:val="Strong"/>
    <w:basedOn w:val="32"/>
    <w:autoRedefine/>
    <w:qFormat/>
    <w:locked/>
    <w:uiPriority w:val="0"/>
    <w:rPr>
      <w:b/>
    </w:rPr>
  </w:style>
  <w:style w:type="character" w:styleId="34">
    <w:name w:val="page number"/>
    <w:autoRedefine/>
    <w:qFormat/>
    <w:uiPriority w:val="0"/>
    <w:rPr>
      <w:rFonts w:cs="Times New Roman"/>
    </w:rPr>
  </w:style>
  <w:style w:type="character" w:styleId="35">
    <w:name w:val="Hyperlink"/>
    <w:autoRedefine/>
    <w:unhideWhenUsed/>
    <w:qFormat/>
    <w:uiPriority w:val="99"/>
    <w:rPr>
      <w:color w:val="0000FF"/>
      <w:u w:val="single"/>
    </w:rPr>
  </w:style>
  <w:style w:type="character" w:styleId="36">
    <w:name w:val="annotation reference"/>
    <w:basedOn w:val="32"/>
    <w:autoRedefine/>
    <w:qFormat/>
    <w:uiPriority w:val="0"/>
    <w:rPr>
      <w:sz w:val="21"/>
      <w:szCs w:val="21"/>
    </w:rPr>
  </w:style>
  <w:style w:type="paragraph" w:customStyle="1" w:styleId="37">
    <w:name w:val="Default"/>
    <w:basedOn w:val="38"/>
    <w:next w:val="6"/>
    <w:autoRedefine/>
    <w:qFormat/>
    <w:uiPriority w:val="0"/>
    <w:pPr>
      <w:widowControl w:val="0"/>
      <w:autoSpaceDE w:val="0"/>
      <w:autoSpaceDN w:val="0"/>
      <w:adjustRightInd w:val="0"/>
    </w:pPr>
    <w:rPr>
      <w:rFonts w:ascii="宋体" w:cs="宋体" w:hAnsiTheme="minorHAnsi" w:eastAsiaTheme="minorEastAsia"/>
      <w:color w:val="000000"/>
      <w:sz w:val="24"/>
      <w:szCs w:val="24"/>
      <w:lang w:val="en-US" w:eastAsia="zh-CN" w:bidi="ar-SA"/>
    </w:rPr>
  </w:style>
  <w:style w:type="paragraph" w:customStyle="1" w:styleId="38">
    <w:name w:val="纯文本1"/>
    <w:basedOn w:val="1"/>
    <w:autoRedefine/>
    <w:qFormat/>
    <w:uiPriority w:val="0"/>
    <w:pPr>
      <w:adjustRightInd w:val="0"/>
    </w:pPr>
    <w:rPr>
      <w:rFonts w:ascii="宋体" w:hAnsi="Courier New"/>
    </w:rPr>
  </w:style>
  <w:style w:type="character" w:customStyle="1" w:styleId="39">
    <w:name w:val="标题 2 Char"/>
    <w:link w:val="4"/>
    <w:autoRedefine/>
    <w:qFormat/>
    <w:uiPriority w:val="0"/>
    <w:rPr>
      <w:rFonts w:ascii="黑体" w:hAnsi="黑体" w:eastAsia="黑体"/>
      <w:b/>
      <w:bCs/>
      <w:color w:val="000000"/>
      <w:kern w:val="2"/>
      <w:sz w:val="30"/>
      <w:szCs w:val="30"/>
    </w:rPr>
  </w:style>
  <w:style w:type="character" w:customStyle="1" w:styleId="40">
    <w:name w:val="标题 1 Char"/>
    <w:link w:val="3"/>
    <w:autoRedefine/>
    <w:qFormat/>
    <w:uiPriority w:val="0"/>
    <w:rPr>
      <w:b/>
      <w:bCs/>
      <w:kern w:val="44"/>
      <w:sz w:val="44"/>
      <w:szCs w:val="44"/>
    </w:rPr>
  </w:style>
  <w:style w:type="character" w:customStyle="1" w:styleId="41">
    <w:name w:val="标题 3 Char"/>
    <w:link w:val="5"/>
    <w:autoRedefine/>
    <w:semiHidden/>
    <w:qFormat/>
    <w:uiPriority w:val="0"/>
    <w:rPr>
      <w:b/>
      <w:bCs/>
      <w:kern w:val="2"/>
      <w:sz w:val="32"/>
      <w:szCs w:val="32"/>
    </w:rPr>
  </w:style>
  <w:style w:type="character" w:customStyle="1" w:styleId="42">
    <w:name w:val="君邦正文 Char Char"/>
    <w:link w:val="43"/>
    <w:autoRedefine/>
    <w:qFormat/>
    <w:uiPriority w:val="0"/>
    <w:rPr>
      <w:bCs/>
      <w:snapToGrid w:val="0"/>
      <w:sz w:val="24"/>
      <w:lang w:val="en-US" w:eastAsia="zh-CN" w:bidi="ar-SA"/>
    </w:rPr>
  </w:style>
  <w:style w:type="paragraph" w:customStyle="1" w:styleId="43">
    <w:name w:val="君邦正文"/>
    <w:link w:val="42"/>
    <w:autoRedefine/>
    <w:qFormat/>
    <w:uiPriority w:val="0"/>
    <w:pPr>
      <w:spacing w:after="60" w:line="360" w:lineRule="auto"/>
      <w:ind w:firstLine="480" w:firstLineChars="200"/>
      <w:jc w:val="both"/>
    </w:pPr>
    <w:rPr>
      <w:rFonts w:ascii="Times New Roman" w:hAnsi="Times New Roman" w:eastAsia="宋体" w:cs="Times New Roman"/>
      <w:bCs/>
      <w:snapToGrid w:val="0"/>
      <w:sz w:val="24"/>
      <w:lang w:val="en-US" w:eastAsia="zh-CN" w:bidi="ar-SA"/>
    </w:rPr>
  </w:style>
  <w:style w:type="character" w:customStyle="1" w:styleId="44">
    <w:name w:val="文档结构图 Char"/>
    <w:link w:val="9"/>
    <w:autoRedefine/>
    <w:qFormat/>
    <w:uiPriority w:val="0"/>
    <w:rPr>
      <w:rFonts w:ascii="宋体"/>
      <w:kern w:val="2"/>
      <w:sz w:val="18"/>
      <w:szCs w:val="18"/>
    </w:rPr>
  </w:style>
  <w:style w:type="character" w:customStyle="1" w:styleId="45">
    <w:name w:val="表格内容 Char"/>
    <w:link w:val="46"/>
    <w:autoRedefine/>
    <w:qFormat/>
    <w:uiPriority w:val="0"/>
    <w:rPr>
      <w:sz w:val="24"/>
    </w:rPr>
  </w:style>
  <w:style w:type="paragraph" w:customStyle="1" w:styleId="46">
    <w:name w:val="表格内容"/>
    <w:basedOn w:val="7"/>
    <w:link w:val="45"/>
    <w:autoRedefine/>
    <w:qFormat/>
    <w:uiPriority w:val="0"/>
    <w:pPr>
      <w:spacing w:line="360" w:lineRule="atLeast"/>
      <w:jc w:val="center"/>
    </w:pPr>
    <w:rPr>
      <w:kern w:val="0"/>
    </w:rPr>
  </w:style>
  <w:style w:type="character" w:customStyle="1" w:styleId="47">
    <w:name w:val="副标题 Char"/>
    <w:link w:val="21"/>
    <w:autoRedefine/>
    <w:qFormat/>
    <w:uiPriority w:val="0"/>
    <w:rPr>
      <w:rFonts w:ascii="Cambria" w:hAnsi="Cambria" w:cs="Times New Roman"/>
      <w:b/>
      <w:bCs/>
      <w:kern w:val="28"/>
      <w:sz w:val="24"/>
      <w:szCs w:val="32"/>
    </w:rPr>
  </w:style>
  <w:style w:type="character" w:customStyle="1" w:styleId="48">
    <w:name w:val="批注框文本 Char"/>
    <w:link w:val="17"/>
    <w:autoRedefine/>
    <w:qFormat/>
    <w:uiPriority w:val="0"/>
    <w:rPr>
      <w:kern w:val="2"/>
      <w:sz w:val="18"/>
      <w:szCs w:val="18"/>
    </w:rPr>
  </w:style>
  <w:style w:type="character" w:customStyle="1" w:styleId="49">
    <w:name w:val="Normal Char"/>
    <w:link w:val="50"/>
    <w:autoRedefine/>
    <w:qFormat/>
    <w:uiPriority w:val="0"/>
    <w:rPr>
      <w:rFonts w:ascii="宋体"/>
      <w:sz w:val="24"/>
      <w:lang w:val="en-US" w:eastAsia="zh-CN" w:bidi="ar-SA"/>
    </w:rPr>
  </w:style>
  <w:style w:type="paragraph" w:customStyle="1" w:styleId="50">
    <w:name w:val="正文1"/>
    <w:link w:val="49"/>
    <w:autoRedefine/>
    <w:qFormat/>
    <w:uiPriority w:val="0"/>
    <w:pPr>
      <w:widowControl w:val="0"/>
      <w:adjustRightInd w:val="0"/>
      <w:spacing w:line="315" w:lineRule="atLeast"/>
      <w:textAlignment w:val="baseline"/>
    </w:pPr>
    <w:rPr>
      <w:rFonts w:ascii="宋体" w:hAnsi="Times New Roman" w:eastAsia="宋体" w:cs="Times New Roman"/>
      <w:sz w:val="24"/>
      <w:lang w:val="en-US" w:eastAsia="zh-CN" w:bidi="ar-SA"/>
    </w:rPr>
  </w:style>
  <w:style w:type="character" w:customStyle="1" w:styleId="51">
    <w:name w:val="页眉 Char"/>
    <w:link w:val="19"/>
    <w:autoRedefine/>
    <w:qFormat/>
    <w:uiPriority w:val="99"/>
    <w:rPr>
      <w:kern w:val="2"/>
      <w:sz w:val="18"/>
      <w:szCs w:val="18"/>
    </w:rPr>
  </w:style>
  <w:style w:type="character" w:customStyle="1" w:styleId="52">
    <w:name w:val="批注主题 Char"/>
    <w:link w:val="27"/>
    <w:autoRedefine/>
    <w:qFormat/>
    <w:uiPriority w:val="0"/>
    <w:rPr>
      <w:b/>
      <w:bCs/>
      <w:kern w:val="2"/>
      <w:sz w:val="21"/>
      <w:szCs w:val="24"/>
    </w:rPr>
  </w:style>
  <w:style w:type="character" w:customStyle="1" w:styleId="53">
    <w:name w:val="表格 Char"/>
    <w:link w:val="54"/>
    <w:autoRedefine/>
    <w:qFormat/>
    <w:uiPriority w:val="0"/>
    <w:rPr>
      <w:bCs/>
      <w:color w:val="000000"/>
      <w:kern w:val="2"/>
      <w:sz w:val="18"/>
      <w:szCs w:val="21"/>
    </w:rPr>
  </w:style>
  <w:style w:type="paragraph" w:customStyle="1" w:styleId="54">
    <w:name w:val="表格"/>
    <w:basedOn w:val="1"/>
    <w:link w:val="53"/>
    <w:autoRedefine/>
    <w:qFormat/>
    <w:uiPriority w:val="0"/>
    <w:pPr>
      <w:spacing w:line="240" w:lineRule="exact"/>
      <w:jc w:val="left"/>
    </w:pPr>
    <w:rPr>
      <w:bCs/>
      <w:color w:val="000000"/>
      <w:szCs w:val="21"/>
    </w:rPr>
  </w:style>
  <w:style w:type="character" w:customStyle="1" w:styleId="55">
    <w:name w:val="正文小四 Char Char"/>
    <w:link w:val="56"/>
    <w:autoRedefine/>
    <w:qFormat/>
    <w:uiPriority w:val="0"/>
    <w:rPr>
      <w:kern w:val="2"/>
      <w:sz w:val="24"/>
      <w:szCs w:val="24"/>
    </w:rPr>
  </w:style>
  <w:style w:type="paragraph" w:customStyle="1" w:styleId="56">
    <w:name w:val="正文小四"/>
    <w:basedOn w:val="1"/>
    <w:link w:val="55"/>
    <w:autoRedefine/>
    <w:qFormat/>
    <w:uiPriority w:val="0"/>
    <w:pPr>
      <w:spacing w:line="360" w:lineRule="auto"/>
      <w:ind w:firstLine="480" w:firstLineChars="200"/>
    </w:pPr>
    <w:rPr>
      <w:sz w:val="24"/>
    </w:rPr>
  </w:style>
  <w:style w:type="character" w:customStyle="1" w:styleId="57">
    <w:name w:val="批注文字 Char"/>
    <w:link w:val="10"/>
    <w:autoRedefine/>
    <w:qFormat/>
    <w:uiPriority w:val="0"/>
    <w:rPr>
      <w:kern w:val="2"/>
      <w:sz w:val="21"/>
      <w:szCs w:val="24"/>
    </w:rPr>
  </w:style>
  <w:style w:type="character" w:customStyle="1" w:styleId="58">
    <w:name w:val="style81"/>
    <w:autoRedefine/>
    <w:qFormat/>
    <w:uiPriority w:val="0"/>
    <w:rPr>
      <w:rFonts w:cs="Times New Roman"/>
      <w:color w:val="FF6600"/>
    </w:rPr>
  </w:style>
  <w:style w:type="character" w:customStyle="1" w:styleId="59">
    <w:name w:val="正文缩进 Char"/>
    <w:link w:val="7"/>
    <w:autoRedefine/>
    <w:qFormat/>
    <w:uiPriority w:val="0"/>
    <w:rPr>
      <w:kern w:val="2"/>
      <w:sz w:val="24"/>
    </w:rPr>
  </w:style>
  <w:style w:type="paragraph" w:customStyle="1" w:styleId="60">
    <w:name w:val="表头"/>
    <w:basedOn w:val="1"/>
    <w:autoRedefine/>
    <w:qFormat/>
    <w:uiPriority w:val="0"/>
    <w:pPr>
      <w:spacing w:line="240" w:lineRule="atLeast"/>
      <w:ind w:right="-105" w:rightChars="-50"/>
      <w:jc w:val="center"/>
    </w:pPr>
    <w:rPr>
      <w:rFonts w:ascii="宋体" w:hAnsi="宋体" w:cs="Arial"/>
      <w:b/>
      <w:color w:val="000000"/>
      <w:sz w:val="24"/>
    </w:rPr>
  </w:style>
  <w:style w:type="paragraph" w:customStyle="1" w:styleId="61">
    <w:name w:val="列出段落1"/>
    <w:basedOn w:val="1"/>
    <w:autoRedefine/>
    <w:qFormat/>
    <w:uiPriority w:val="34"/>
    <w:pPr>
      <w:ind w:firstLine="420" w:firstLineChars="200"/>
    </w:pPr>
    <w:rPr>
      <w:szCs w:val="20"/>
    </w:rPr>
  </w:style>
  <w:style w:type="paragraph" w:customStyle="1" w:styleId="62">
    <w:name w:val="表 头"/>
    <w:basedOn w:val="1"/>
    <w:autoRedefine/>
    <w:qFormat/>
    <w:uiPriority w:val="0"/>
    <w:pPr>
      <w:spacing w:before="120" w:after="120" w:line="360" w:lineRule="atLeast"/>
      <w:jc w:val="center"/>
    </w:pPr>
    <w:rPr>
      <w:rFonts w:eastAsia="黑体"/>
      <w:spacing w:val="10"/>
      <w:kern w:val="0"/>
      <w:sz w:val="24"/>
      <w:szCs w:val="20"/>
    </w:rPr>
  </w:style>
  <w:style w:type="paragraph" w:customStyle="1" w:styleId="63">
    <w:name w:val="样式 首行缩进:  1.34 厘米"/>
    <w:basedOn w:val="1"/>
    <w:autoRedefine/>
    <w:qFormat/>
    <w:uiPriority w:val="0"/>
    <w:pPr>
      <w:spacing w:line="360" w:lineRule="auto"/>
      <w:ind w:firstLine="567"/>
    </w:pPr>
    <w:rPr>
      <w:sz w:val="28"/>
      <w:szCs w:val="20"/>
    </w:rPr>
  </w:style>
  <w:style w:type="paragraph" w:customStyle="1" w:styleId="64">
    <w:name w:val="文档一级标题"/>
    <w:basedOn w:val="1"/>
    <w:autoRedefine/>
    <w:qFormat/>
    <w:uiPriority w:val="0"/>
    <w:rPr>
      <w:rFonts w:ascii="黑体" w:hAnsi="华文仿宋" w:eastAsia="黑体"/>
      <w:sz w:val="28"/>
    </w:rPr>
  </w:style>
  <w:style w:type="paragraph" w:customStyle="1" w:styleId="65">
    <w:name w:val="TOC 标题1"/>
    <w:basedOn w:val="3"/>
    <w:next w:val="1"/>
    <w:autoRedefine/>
    <w:qFormat/>
    <w:uiPriority w:val="39"/>
    <w:pPr>
      <w:widowControl/>
      <w:spacing w:before="480" w:after="0" w:line="276" w:lineRule="auto"/>
      <w:jc w:val="left"/>
      <w:outlineLvl w:val="9"/>
    </w:pPr>
    <w:rPr>
      <w:rFonts w:ascii="Cambria" w:hAnsi="Cambria"/>
      <w:color w:val="365F91"/>
      <w:kern w:val="0"/>
      <w:sz w:val="28"/>
      <w:szCs w:val="28"/>
    </w:rPr>
  </w:style>
  <w:style w:type="paragraph" w:customStyle="1" w:styleId="66">
    <w:name w:val="表内字体"/>
    <w:basedOn w:val="1"/>
    <w:link w:val="118"/>
    <w:autoRedefine/>
    <w:qFormat/>
    <w:uiPriority w:val="0"/>
    <w:rPr>
      <w:szCs w:val="22"/>
    </w:rPr>
  </w:style>
  <w:style w:type="paragraph" w:customStyle="1" w:styleId="67">
    <w:name w:val="段落"/>
    <w:basedOn w:val="1"/>
    <w:autoRedefine/>
    <w:qFormat/>
    <w:uiPriority w:val="0"/>
    <w:pPr>
      <w:spacing w:line="500" w:lineRule="exact"/>
      <w:ind w:firstLine="200" w:firstLineChars="200"/>
    </w:pPr>
    <w:rPr>
      <w:spacing w:val="10"/>
      <w:sz w:val="28"/>
      <w:szCs w:val="20"/>
    </w:rPr>
  </w:style>
  <w:style w:type="paragraph" w:customStyle="1" w:styleId="68">
    <w:name w:val="xl29"/>
    <w:basedOn w:val="1"/>
    <w:autoRedefine/>
    <w:qFormat/>
    <w:uiPriority w:val="0"/>
    <w:pPr>
      <w:widowControl/>
      <w:spacing w:before="100" w:after="100"/>
      <w:jc w:val="center"/>
    </w:pPr>
    <w:rPr>
      <w:kern w:val="0"/>
      <w:sz w:val="24"/>
      <w:szCs w:val="20"/>
    </w:rPr>
  </w:style>
  <w:style w:type="paragraph" w:customStyle="1" w:styleId="69">
    <w:name w:val="xl47"/>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rPr>
  </w:style>
  <w:style w:type="paragraph" w:customStyle="1" w:styleId="70">
    <w:name w:val="列出段落2"/>
    <w:basedOn w:val="1"/>
    <w:autoRedefine/>
    <w:qFormat/>
    <w:uiPriority w:val="34"/>
    <w:pPr>
      <w:widowControl/>
      <w:spacing w:after="200"/>
      <w:ind w:firstLine="420" w:firstLineChars="200"/>
      <w:jc w:val="left"/>
    </w:pPr>
    <w:rPr>
      <w:rFonts w:ascii="Tahoma" w:hAnsi="Tahoma" w:eastAsia="微软雅黑"/>
      <w:kern w:val="0"/>
      <w:sz w:val="22"/>
      <w:szCs w:val="22"/>
    </w:rPr>
  </w:style>
  <w:style w:type="paragraph" w:customStyle="1" w:styleId="71">
    <w:name w:val="文档二级标题"/>
    <w:basedOn w:val="1"/>
    <w:autoRedefine/>
    <w:qFormat/>
    <w:uiPriority w:val="0"/>
    <w:rPr>
      <w:rFonts w:ascii="黑体" w:hAnsi="华文仿宋" w:eastAsia="黑体"/>
      <w:sz w:val="28"/>
    </w:rPr>
  </w:style>
  <w:style w:type="paragraph" w:customStyle="1" w:styleId="72">
    <w:name w:val="表X－X"/>
    <w:basedOn w:val="1"/>
    <w:autoRedefine/>
    <w:qFormat/>
    <w:uiPriority w:val="0"/>
    <w:pPr>
      <w:jc w:val="center"/>
    </w:pPr>
    <w:rPr>
      <w:rFonts w:ascii="黑体" w:hAnsi="华文仿宋" w:eastAsia="黑体"/>
      <w:sz w:val="28"/>
    </w:rPr>
  </w:style>
  <w:style w:type="paragraph" w:customStyle="1" w:styleId="73">
    <w:name w:val="样式2"/>
    <w:basedOn w:val="1"/>
    <w:autoRedefine/>
    <w:qFormat/>
    <w:uiPriority w:val="0"/>
    <w:pPr>
      <w:ind w:firstLine="640" w:firstLineChars="200"/>
    </w:pPr>
    <w:rPr>
      <w:rFonts w:ascii="仿宋_GB2312" w:hAnsi="华文仿宋" w:eastAsia="仿宋_GB2312"/>
      <w:sz w:val="28"/>
    </w:rPr>
  </w:style>
  <w:style w:type="paragraph" w:customStyle="1" w:styleId="74">
    <w:name w:val="Char Char Char Char Char Char Char Char Char1 Char Char Char Char"/>
    <w:basedOn w:val="1"/>
    <w:autoRedefine/>
    <w:qFormat/>
    <w:uiPriority w:val="0"/>
    <w:rPr>
      <w:sz w:val="24"/>
    </w:rPr>
  </w:style>
  <w:style w:type="paragraph" w:customStyle="1" w:styleId="75">
    <w:name w:val="无间隔1"/>
    <w:autoRedefine/>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76">
    <w:name w:val="1"/>
    <w:basedOn w:val="1"/>
    <w:next w:val="2"/>
    <w:autoRedefine/>
    <w:qFormat/>
    <w:uiPriority w:val="0"/>
    <w:pPr>
      <w:spacing w:line="360" w:lineRule="auto"/>
    </w:pPr>
    <w:rPr>
      <w:sz w:val="24"/>
    </w:rPr>
  </w:style>
  <w:style w:type="paragraph" w:customStyle="1" w:styleId="77">
    <w:name w:val="Char"/>
    <w:basedOn w:val="1"/>
    <w:autoRedefine/>
    <w:qFormat/>
    <w:uiPriority w:val="0"/>
    <w:rPr>
      <w:szCs w:val="20"/>
    </w:rPr>
  </w:style>
  <w:style w:type="paragraph" w:customStyle="1" w:styleId="78">
    <w:name w:val="陈光的正文"/>
    <w:basedOn w:val="1"/>
    <w:autoRedefine/>
    <w:qFormat/>
    <w:uiPriority w:val="0"/>
    <w:pPr>
      <w:spacing w:before="31" w:after="31" w:line="360" w:lineRule="auto"/>
      <w:ind w:firstLine="560" w:firstLineChars="200"/>
    </w:pPr>
    <w:rPr>
      <w:sz w:val="28"/>
      <w:szCs w:val="20"/>
    </w:rPr>
  </w:style>
  <w:style w:type="paragraph" w:customStyle="1" w:styleId="79">
    <w:name w:val="列出段落3"/>
    <w:basedOn w:val="1"/>
    <w:autoRedefine/>
    <w:qFormat/>
    <w:uiPriority w:val="0"/>
    <w:pPr>
      <w:widowControl/>
      <w:spacing w:after="200"/>
      <w:ind w:firstLine="420" w:firstLineChars="200"/>
      <w:jc w:val="left"/>
    </w:pPr>
    <w:rPr>
      <w:rFonts w:ascii="Tahoma" w:hAnsi="Tahoma" w:eastAsia="微软雅黑"/>
      <w:kern w:val="0"/>
      <w:sz w:val="22"/>
      <w:szCs w:val="22"/>
    </w:rPr>
  </w:style>
  <w:style w:type="paragraph" w:customStyle="1" w:styleId="80">
    <w:name w:val="表内格式"/>
    <w:basedOn w:val="1"/>
    <w:link w:val="102"/>
    <w:autoRedefine/>
    <w:qFormat/>
    <w:uiPriority w:val="0"/>
    <w:pPr>
      <w:spacing w:line="240" w:lineRule="exact"/>
      <w:jc w:val="center"/>
    </w:pPr>
    <w:rPr>
      <w:rFonts w:ascii="宋体" w:hAnsi="宋体"/>
      <w:szCs w:val="20"/>
    </w:rPr>
  </w:style>
  <w:style w:type="character" w:customStyle="1" w:styleId="81">
    <w:name w:val="表格整体 Char"/>
    <w:link w:val="82"/>
    <w:autoRedefine/>
    <w:qFormat/>
    <w:uiPriority w:val="0"/>
    <w:rPr>
      <w:szCs w:val="21"/>
    </w:rPr>
  </w:style>
  <w:style w:type="paragraph" w:customStyle="1" w:styleId="82">
    <w:name w:val="表格整体"/>
    <w:basedOn w:val="1"/>
    <w:link w:val="81"/>
    <w:autoRedefine/>
    <w:qFormat/>
    <w:uiPriority w:val="0"/>
    <w:pPr>
      <w:spacing w:line="240" w:lineRule="exact"/>
      <w:jc w:val="center"/>
    </w:pPr>
    <w:rPr>
      <w:kern w:val="0"/>
      <w:sz w:val="20"/>
      <w:szCs w:val="21"/>
    </w:rPr>
  </w:style>
  <w:style w:type="character" w:customStyle="1" w:styleId="83">
    <w:name w:val="apple-converted-space"/>
    <w:autoRedefine/>
    <w:qFormat/>
    <w:uiPriority w:val="0"/>
  </w:style>
  <w:style w:type="paragraph" w:customStyle="1" w:styleId="84">
    <w:name w:val="BIAOGE"/>
    <w:basedOn w:val="85"/>
    <w:autoRedefine/>
    <w:qFormat/>
    <w:uiPriority w:val="0"/>
    <w:pPr>
      <w:ind w:firstLine="0" w:firstLineChars="0"/>
    </w:pPr>
    <w:rPr>
      <w:b w:val="0"/>
    </w:rPr>
  </w:style>
  <w:style w:type="paragraph" w:customStyle="1" w:styleId="85">
    <w:name w:val="BIAOTI"/>
    <w:basedOn w:val="1"/>
    <w:autoRedefine/>
    <w:qFormat/>
    <w:uiPriority w:val="99"/>
    <w:pPr>
      <w:ind w:firstLine="422" w:firstLineChars="200"/>
      <w:jc w:val="center"/>
    </w:pPr>
    <w:rPr>
      <w:b/>
      <w:bCs/>
      <w:szCs w:val="21"/>
    </w:rPr>
  </w:style>
  <w:style w:type="paragraph" w:customStyle="1" w:styleId="86">
    <w:name w:val="ZW"/>
    <w:basedOn w:val="1"/>
    <w:autoRedefine/>
    <w:qFormat/>
    <w:uiPriority w:val="0"/>
    <w:pPr>
      <w:spacing w:line="360" w:lineRule="auto"/>
      <w:ind w:firstLine="480" w:firstLineChars="200"/>
    </w:pPr>
    <w:rPr>
      <w:bCs/>
      <w:sz w:val="24"/>
    </w:rPr>
  </w:style>
  <w:style w:type="character" w:customStyle="1" w:styleId="87">
    <w:name w:val="页脚 Char"/>
    <w:link w:val="18"/>
    <w:autoRedefine/>
    <w:qFormat/>
    <w:uiPriority w:val="99"/>
    <w:rPr>
      <w:kern w:val="2"/>
      <w:sz w:val="18"/>
      <w:szCs w:val="18"/>
    </w:rPr>
  </w:style>
  <w:style w:type="paragraph" w:customStyle="1" w:styleId="88">
    <w:name w:val="正文表标题"/>
    <w:next w:val="1"/>
    <w:autoRedefine/>
    <w:qFormat/>
    <w:uiPriority w:val="0"/>
    <w:pPr>
      <w:numPr>
        <w:ilvl w:val="0"/>
        <w:numId w:val="1"/>
      </w:numPr>
      <w:tabs>
        <w:tab w:val="left" w:pos="360"/>
        <w:tab w:val="clear" w:pos="720"/>
      </w:tabs>
      <w:spacing w:beforeLines="50" w:afterLines="50"/>
      <w:jc w:val="center"/>
    </w:pPr>
    <w:rPr>
      <w:rFonts w:ascii="黑体" w:hAnsi="Times New Roman" w:eastAsia="黑体" w:cs="Times New Roman"/>
      <w:sz w:val="21"/>
      <w:lang w:val="en-US" w:eastAsia="zh-CN" w:bidi="ar-SA"/>
    </w:rPr>
  </w:style>
  <w:style w:type="paragraph" w:customStyle="1" w:styleId="89">
    <w:name w:val="列出段落11"/>
    <w:basedOn w:val="1"/>
    <w:autoRedefine/>
    <w:qFormat/>
    <w:uiPriority w:val="0"/>
    <w:pPr>
      <w:ind w:firstLine="420" w:firstLineChars="200"/>
    </w:pPr>
  </w:style>
  <w:style w:type="character" w:customStyle="1" w:styleId="90">
    <w:name w:val="环科院正文 Char Char Char"/>
    <w:link w:val="91"/>
    <w:autoRedefine/>
    <w:qFormat/>
    <w:uiPriority w:val="0"/>
    <w:rPr>
      <w:sz w:val="24"/>
      <w:szCs w:val="24"/>
    </w:rPr>
  </w:style>
  <w:style w:type="paragraph" w:customStyle="1" w:styleId="91">
    <w:name w:val="环科院正文 Char Char"/>
    <w:basedOn w:val="1"/>
    <w:link w:val="90"/>
    <w:autoRedefine/>
    <w:qFormat/>
    <w:uiPriority w:val="0"/>
    <w:pPr>
      <w:spacing w:line="300" w:lineRule="auto"/>
      <w:ind w:firstLine="480" w:firstLineChars="200"/>
    </w:pPr>
    <w:rPr>
      <w:kern w:val="0"/>
      <w:sz w:val="24"/>
    </w:rPr>
  </w:style>
  <w:style w:type="paragraph" w:customStyle="1" w:styleId="92">
    <w:name w:val="正文（行首缩进）"/>
    <w:basedOn w:val="1"/>
    <w:autoRedefine/>
    <w:qFormat/>
    <w:uiPriority w:val="0"/>
    <w:pPr>
      <w:spacing w:line="360" w:lineRule="auto"/>
      <w:ind w:firstLine="200" w:firstLineChars="200"/>
    </w:pPr>
    <w:rPr>
      <w:kern w:val="44"/>
      <w:position w:val="-8"/>
      <w:sz w:val="28"/>
      <w:szCs w:val="28"/>
    </w:rPr>
  </w:style>
  <w:style w:type="character" w:customStyle="1" w:styleId="93">
    <w:name w:val="标题1"/>
    <w:autoRedefine/>
    <w:qFormat/>
    <w:uiPriority w:val="0"/>
  </w:style>
  <w:style w:type="paragraph" w:customStyle="1" w:styleId="94">
    <w:name w:val="环科院插图标题"/>
    <w:basedOn w:val="1"/>
    <w:autoRedefine/>
    <w:qFormat/>
    <w:uiPriority w:val="0"/>
    <w:pPr>
      <w:spacing w:afterLines="50"/>
      <w:jc w:val="center"/>
    </w:pPr>
    <w:rPr>
      <w:rFonts w:eastAsia="黑体"/>
      <w:b/>
      <w:szCs w:val="21"/>
    </w:rPr>
  </w:style>
  <w:style w:type="paragraph" w:styleId="95">
    <w:name w:val="List Paragraph"/>
    <w:basedOn w:val="1"/>
    <w:autoRedefine/>
    <w:qFormat/>
    <w:uiPriority w:val="99"/>
    <w:pPr>
      <w:ind w:firstLine="420" w:firstLineChars="200"/>
    </w:pPr>
    <w:rPr>
      <w:rFonts w:ascii="Calibri" w:hAnsi="Calibri"/>
      <w:szCs w:val="22"/>
    </w:rPr>
  </w:style>
  <w:style w:type="character" w:customStyle="1" w:styleId="96">
    <w:name w:val="fontstyle01"/>
    <w:basedOn w:val="32"/>
    <w:autoRedefine/>
    <w:qFormat/>
    <w:uiPriority w:val="0"/>
    <w:rPr>
      <w:rFonts w:hint="eastAsia" w:ascii="楷体_GB2312" w:eastAsia="楷体_GB2312"/>
      <w:color w:val="000000"/>
      <w:sz w:val="24"/>
      <w:szCs w:val="24"/>
    </w:rPr>
  </w:style>
  <w:style w:type="character" w:customStyle="1" w:styleId="97">
    <w:name w:val="fontstyle21"/>
    <w:basedOn w:val="32"/>
    <w:autoRedefine/>
    <w:qFormat/>
    <w:uiPriority w:val="0"/>
    <w:rPr>
      <w:rFonts w:hint="default" w:ascii="Times New Roman" w:hAnsi="Times New Roman" w:cs="Times New Roman"/>
      <w:color w:val="000000"/>
      <w:sz w:val="24"/>
      <w:szCs w:val="24"/>
    </w:rPr>
  </w:style>
  <w:style w:type="character" w:customStyle="1" w:styleId="98">
    <w:name w:val="fontstyle11"/>
    <w:basedOn w:val="32"/>
    <w:autoRedefine/>
    <w:qFormat/>
    <w:uiPriority w:val="0"/>
    <w:rPr>
      <w:rFonts w:hint="eastAsia" w:ascii="宋体" w:hAnsi="宋体" w:eastAsia="宋体"/>
      <w:color w:val="000000"/>
      <w:sz w:val="18"/>
      <w:szCs w:val="18"/>
    </w:rPr>
  </w:style>
  <w:style w:type="character" w:customStyle="1" w:styleId="99">
    <w:name w:val="fontstyle31"/>
    <w:basedOn w:val="32"/>
    <w:autoRedefine/>
    <w:qFormat/>
    <w:uiPriority w:val="0"/>
    <w:rPr>
      <w:rFonts w:hint="eastAsia" w:ascii="宋体" w:hAnsi="宋体" w:eastAsia="宋体"/>
      <w:color w:val="000000"/>
      <w:sz w:val="24"/>
      <w:szCs w:val="24"/>
    </w:rPr>
  </w:style>
  <w:style w:type="character" w:customStyle="1" w:styleId="100">
    <w:name w:val="font21"/>
    <w:basedOn w:val="32"/>
    <w:autoRedefine/>
    <w:qFormat/>
    <w:uiPriority w:val="0"/>
    <w:rPr>
      <w:rFonts w:hint="default" w:ascii="仿宋_GB2312" w:eastAsia="仿宋_GB2312" w:cs="仿宋_GB2312"/>
      <w:color w:val="000000"/>
      <w:sz w:val="24"/>
      <w:szCs w:val="24"/>
      <w:u w:val="none"/>
    </w:rPr>
  </w:style>
  <w:style w:type="character" w:customStyle="1" w:styleId="101">
    <w:name w:val="font41"/>
    <w:basedOn w:val="32"/>
    <w:autoRedefine/>
    <w:qFormat/>
    <w:uiPriority w:val="0"/>
    <w:rPr>
      <w:rFonts w:hint="default" w:ascii="Times New Roman" w:hAnsi="Times New Roman" w:cs="Times New Roman"/>
      <w:color w:val="000000"/>
      <w:sz w:val="20"/>
      <w:szCs w:val="20"/>
      <w:u w:val="none"/>
    </w:rPr>
  </w:style>
  <w:style w:type="character" w:customStyle="1" w:styleId="102">
    <w:name w:val="表内格式 Char Char"/>
    <w:link w:val="80"/>
    <w:autoRedefine/>
    <w:qFormat/>
    <w:locked/>
    <w:uiPriority w:val="0"/>
    <w:rPr>
      <w:rFonts w:ascii="宋体" w:hAnsi="宋体"/>
      <w:kern w:val="2"/>
      <w:sz w:val="21"/>
    </w:rPr>
  </w:style>
  <w:style w:type="paragraph" w:customStyle="1" w:styleId="103">
    <w:name w:val="市环科院正文"/>
    <w:basedOn w:val="1"/>
    <w:link w:val="104"/>
    <w:autoRedefine/>
    <w:qFormat/>
    <w:uiPriority w:val="0"/>
    <w:pPr>
      <w:spacing w:line="300" w:lineRule="auto"/>
      <w:ind w:firstLine="480" w:firstLineChars="200"/>
    </w:pPr>
    <w:rPr>
      <w:kern w:val="0"/>
      <w:sz w:val="24"/>
    </w:rPr>
  </w:style>
  <w:style w:type="character" w:customStyle="1" w:styleId="104">
    <w:name w:val="市环科院正文 Char"/>
    <w:link w:val="103"/>
    <w:autoRedefine/>
    <w:qFormat/>
    <w:uiPriority w:val="0"/>
    <w:rPr>
      <w:sz w:val="24"/>
      <w:szCs w:val="24"/>
    </w:rPr>
  </w:style>
  <w:style w:type="character" w:customStyle="1" w:styleId="105">
    <w:name w:val="君邦正文 Char2"/>
    <w:autoRedefine/>
    <w:qFormat/>
    <w:uiPriority w:val="0"/>
    <w:rPr>
      <w:rFonts w:eastAsia="宋体"/>
      <w:kern w:val="2"/>
      <w:sz w:val="24"/>
      <w:lang w:val="en-US" w:eastAsia="zh-CN" w:bidi="ar-SA"/>
    </w:rPr>
  </w:style>
  <w:style w:type="paragraph" w:customStyle="1" w:styleId="106">
    <w:name w:val="表格标题0000"/>
    <w:basedOn w:val="1"/>
    <w:autoRedefine/>
    <w:qFormat/>
    <w:uiPriority w:val="0"/>
    <w:pPr>
      <w:jc w:val="center"/>
    </w:pPr>
    <w:rPr>
      <w:rFonts w:eastAsia="黑体"/>
      <w:b/>
    </w:rPr>
  </w:style>
  <w:style w:type="paragraph" w:customStyle="1" w:styleId="107">
    <w:name w:val="表格0000"/>
    <w:basedOn w:val="1"/>
    <w:autoRedefine/>
    <w:qFormat/>
    <w:uiPriority w:val="0"/>
    <w:pPr>
      <w:jc w:val="center"/>
    </w:pPr>
  </w:style>
  <w:style w:type="character" w:customStyle="1" w:styleId="108">
    <w:name w:val="纯文本 Char"/>
    <w:basedOn w:val="32"/>
    <w:link w:val="13"/>
    <w:autoRedefine/>
    <w:qFormat/>
    <w:uiPriority w:val="99"/>
    <w:rPr>
      <w:rFonts w:ascii="宋体" w:hAnsi="Courier New"/>
      <w:kern w:val="2"/>
      <w:sz w:val="28"/>
      <w:szCs w:val="22"/>
    </w:rPr>
  </w:style>
  <w:style w:type="character" w:customStyle="1" w:styleId="109">
    <w:name w:val="正文修改 Char"/>
    <w:link w:val="110"/>
    <w:autoRedefine/>
    <w:qFormat/>
    <w:uiPriority w:val="0"/>
    <w:rPr>
      <w:rFonts w:cs="宋体"/>
      <w:sz w:val="24"/>
      <w:szCs w:val="24"/>
    </w:rPr>
  </w:style>
  <w:style w:type="paragraph" w:customStyle="1" w:styleId="110">
    <w:name w:val="正文修改"/>
    <w:basedOn w:val="1"/>
    <w:link w:val="109"/>
    <w:autoRedefine/>
    <w:qFormat/>
    <w:uiPriority w:val="0"/>
    <w:pPr>
      <w:spacing w:line="360" w:lineRule="auto"/>
      <w:ind w:firstLine="480" w:firstLineChars="200"/>
    </w:pPr>
    <w:rPr>
      <w:rFonts w:cs="宋体"/>
      <w:kern w:val="0"/>
      <w:sz w:val="24"/>
    </w:rPr>
  </w:style>
  <w:style w:type="character" w:customStyle="1" w:styleId="111">
    <w:name w:val="正文小四 Char"/>
    <w:autoRedefine/>
    <w:qFormat/>
    <w:uiPriority w:val="0"/>
    <w:rPr>
      <w:kern w:val="2"/>
      <w:sz w:val="24"/>
      <w:szCs w:val="24"/>
    </w:rPr>
  </w:style>
  <w:style w:type="character" w:customStyle="1" w:styleId="112">
    <w:name w:val="表内格式 Char"/>
    <w:autoRedefine/>
    <w:qFormat/>
    <w:uiPriority w:val="0"/>
    <w:rPr>
      <w:rFonts w:ascii="宋体" w:hAnsi="宋体"/>
      <w:kern w:val="2"/>
      <w:sz w:val="21"/>
    </w:rPr>
  </w:style>
  <w:style w:type="character" w:customStyle="1" w:styleId="113">
    <w:name w:val="报告表正文 Char"/>
    <w:link w:val="114"/>
    <w:autoRedefine/>
    <w:qFormat/>
    <w:uiPriority w:val="0"/>
    <w:rPr>
      <w:rFonts w:eastAsia="楷体_GB2312"/>
      <w:kern w:val="2"/>
      <w:sz w:val="24"/>
      <w:szCs w:val="24"/>
    </w:rPr>
  </w:style>
  <w:style w:type="paragraph" w:customStyle="1" w:styleId="114">
    <w:name w:val="报告表正文"/>
    <w:basedOn w:val="1"/>
    <w:link w:val="113"/>
    <w:autoRedefine/>
    <w:qFormat/>
    <w:uiPriority w:val="0"/>
    <w:pPr>
      <w:spacing w:line="360" w:lineRule="auto"/>
      <w:ind w:firstLine="200" w:firstLineChars="200"/>
    </w:pPr>
    <w:rPr>
      <w:rFonts w:eastAsia="楷体_GB2312"/>
      <w:sz w:val="24"/>
    </w:rPr>
  </w:style>
  <w:style w:type="character" w:customStyle="1" w:styleId="115">
    <w:name w:val="报告书正文 Char Char"/>
    <w:link w:val="116"/>
    <w:autoRedefine/>
    <w:qFormat/>
    <w:locked/>
    <w:uiPriority w:val="0"/>
    <w:rPr>
      <w:kern w:val="2"/>
      <w:sz w:val="24"/>
    </w:rPr>
  </w:style>
  <w:style w:type="paragraph" w:customStyle="1" w:styleId="116">
    <w:name w:val="报告书正文"/>
    <w:basedOn w:val="1"/>
    <w:link w:val="115"/>
    <w:autoRedefine/>
    <w:qFormat/>
    <w:uiPriority w:val="0"/>
    <w:pPr>
      <w:widowControl/>
      <w:spacing w:line="360" w:lineRule="auto"/>
      <w:ind w:firstLine="480" w:firstLineChars="200"/>
    </w:pPr>
    <w:rPr>
      <w:sz w:val="24"/>
      <w:szCs w:val="20"/>
    </w:rPr>
  </w:style>
  <w:style w:type="character" w:customStyle="1" w:styleId="117">
    <w:name w:val="font11"/>
    <w:basedOn w:val="32"/>
    <w:autoRedefine/>
    <w:qFormat/>
    <w:uiPriority w:val="0"/>
    <w:rPr>
      <w:rFonts w:hint="default" w:ascii="Times New Roman" w:hAnsi="Times New Roman" w:cs="Times New Roman"/>
      <w:color w:val="000000"/>
      <w:sz w:val="20"/>
      <w:szCs w:val="20"/>
      <w:u w:val="none"/>
      <w:vertAlign w:val="superscript"/>
    </w:rPr>
  </w:style>
  <w:style w:type="character" w:customStyle="1" w:styleId="118">
    <w:name w:val="表内字体 Char"/>
    <w:link w:val="66"/>
    <w:autoRedefine/>
    <w:qFormat/>
    <w:uiPriority w:val="0"/>
    <w:rPr>
      <w:rFonts w:ascii="Times New Roman" w:hAnsi="Times New Roman" w:eastAsia="宋体" w:cs="Times New Roman"/>
      <w:kern w:val="2"/>
      <w:sz w:val="21"/>
      <w:szCs w:val="22"/>
    </w:rPr>
  </w:style>
  <w:style w:type="paragraph" w:customStyle="1" w:styleId="119">
    <w:name w:val="环科院正文"/>
    <w:basedOn w:val="1"/>
    <w:link w:val="120"/>
    <w:autoRedefine/>
    <w:qFormat/>
    <w:uiPriority w:val="0"/>
    <w:pPr>
      <w:spacing w:line="300" w:lineRule="auto"/>
      <w:ind w:firstLine="480" w:firstLineChars="200"/>
    </w:pPr>
    <w:rPr>
      <w:snapToGrid w:val="0"/>
      <w:color w:val="000000"/>
      <w:kern w:val="0"/>
      <w:sz w:val="24"/>
    </w:rPr>
  </w:style>
  <w:style w:type="character" w:customStyle="1" w:styleId="120">
    <w:name w:val="环科院正文 Char"/>
    <w:link w:val="119"/>
    <w:autoRedefine/>
    <w:qFormat/>
    <w:uiPriority w:val="0"/>
    <w:rPr>
      <w:rFonts w:ascii="Times New Roman" w:hAnsi="Times New Roman" w:eastAsia="宋体" w:cs="Times New Roman"/>
      <w:snapToGrid w:val="0"/>
      <w:color w:val="000000"/>
      <w:sz w:val="24"/>
      <w:szCs w:val="24"/>
    </w:rPr>
  </w:style>
  <w:style w:type="paragraph" w:customStyle="1" w:styleId="121">
    <w:name w:val="智汇元表头新"/>
    <w:basedOn w:val="1"/>
    <w:autoRedefine/>
    <w:qFormat/>
    <w:uiPriority w:val="0"/>
    <w:pPr>
      <w:numPr>
        <w:ilvl w:val="0"/>
        <w:numId w:val="2"/>
      </w:numPr>
      <w:tabs>
        <w:tab w:val="left" w:pos="840"/>
        <w:tab w:val="left" w:pos="3725"/>
      </w:tabs>
      <w:jc w:val="center"/>
    </w:pPr>
    <w:rPr>
      <w:rFonts w:eastAsia="黑体"/>
      <w:bCs/>
      <w:kern w:val="0"/>
      <w:szCs w:val="21"/>
    </w:rPr>
  </w:style>
  <w:style w:type="paragraph" w:customStyle="1" w:styleId="122">
    <w:name w:val="正文-SH"/>
    <w:basedOn w:val="1"/>
    <w:autoRedefine/>
    <w:qFormat/>
    <w:uiPriority w:val="0"/>
    <w:pPr>
      <w:spacing w:line="360" w:lineRule="auto"/>
      <w:ind w:firstLine="480" w:firstLineChars="200"/>
    </w:pPr>
    <w:rPr>
      <w:rFonts w:ascii="TimesNewRoman" w:hAnsi="TimesNewRoman" w:cs="TimesNewRoman"/>
      <w:kern w:val="0"/>
      <w:sz w:val="24"/>
    </w:rPr>
  </w:style>
  <w:style w:type="paragraph" w:customStyle="1" w:styleId="123">
    <w:name w:val="小5表文字"/>
    <w:basedOn w:val="1"/>
    <w:autoRedefine/>
    <w:qFormat/>
    <w:uiPriority w:val="0"/>
    <w:pPr>
      <w:jc w:val="center"/>
    </w:pPr>
  </w:style>
  <w:style w:type="paragraph" w:customStyle="1" w:styleId="124">
    <w:name w:val="图名"/>
    <w:basedOn w:val="1"/>
    <w:autoRedefine/>
    <w:qFormat/>
    <w:uiPriority w:val="0"/>
    <w:pPr>
      <w:tabs>
        <w:tab w:val="left" w:pos="680"/>
      </w:tabs>
      <w:spacing w:line="360" w:lineRule="auto"/>
      <w:jc w:val="center"/>
    </w:pPr>
    <w:rPr>
      <w:rFonts w:eastAsia="黑体"/>
    </w:rPr>
  </w:style>
  <w:style w:type="paragraph" w:customStyle="1" w:styleId="125">
    <w:name w:val="ST正文"/>
    <w:basedOn w:val="126"/>
    <w:autoRedefine/>
    <w:qFormat/>
    <w:uiPriority w:val="0"/>
    <w:pPr>
      <w:spacing w:before="60" w:after="0"/>
      <w:ind w:firstLine="200"/>
    </w:pPr>
  </w:style>
  <w:style w:type="paragraph" w:customStyle="1" w:styleId="126">
    <w:name w:val="环评正文"/>
    <w:basedOn w:val="15"/>
    <w:autoRedefine/>
    <w:qFormat/>
    <w:uiPriority w:val="0"/>
    <w:pPr>
      <w:widowControl w:val="0"/>
      <w:suppressAutoHyphens w:val="0"/>
      <w:snapToGrid/>
      <w:spacing w:before="0" w:line="360" w:lineRule="auto"/>
      <w:ind w:left="0" w:firstLine="560"/>
    </w:pPr>
    <w:rPr>
      <w:rFonts w:ascii="仿宋_GB2312" w:hAnsi="仿宋_GB2312" w:eastAsia="宋体"/>
      <w:color w:val="auto"/>
    </w:rPr>
  </w:style>
  <w:style w:type="paragraph" w:customStyle="1" w:styleId="127">
    <w:name w:val="环科院正文 Char Char4"/>
    <w:basedOn w:val="1"/>
    <w:autoRedefine/>
    <w:qFormat/>
    <w:uiPriority w:val="0"/>
    <w:pPr>
      <w:spacing w:line="360" w:lineRule="auto"/>
      <w:ind w:firstLine="480" w:firstLineChars="200"/>
    </w:pPr>
    <w:rPr>
      <w:sz w:val="24"/>
      <w:lang w:bidi="en-US"/>
    </w:rPr>
  </w:style>
  <w:style w:type="paragraph" w:customStyle="1" w:styleId="128">
    <w:name w:val="环评表格正文"/>
    <w:basedOn w:val="1"/>
    <w:autoRedefine/>
    <w:qFormat/>
    <w:uiPriority w:val="0"/>
    <w:pPr>
      <w:jc w:val="center"/>
    </w:pPr>
    <w:rPr>
      <w:color w:val="1D1B11"/>
      <w:sz w:val="20"/>
      <w:szCs w:val="21"/>
      <w:lang w:val="zh-CN"/>
    </w:rPr>
  </w:style>
  <w:style w:type="paragraph" w:customStyle="1" w:styleId="129">
    <w:name w:val="Table Paragraph"/>
    <w:basedOn w:val="1"/>
    <w:autoRedefine/>
    <w:qFormat/>
    <w:uiPriority w:val="1"/>
    <w:rPr>
      <w:rFonts w:eastAsia="Times New Roman"/>
    </w:rPr>
  </w:style>
  <w:style w:type="character" w:customStyle="1" w:styleId="130">
    <w:name w:val="font31"/>
    <w:basedOn w:val="32"/>
    <w:autoRedefine/>
    <w:qFormat/>
    <w:uiPriority w:val="0"/>
    <w:rPr>
      <w:rFonts w:hint="default" w:ascii="Times New Roman" w:hAnsi="Times New Roman" w:cs="Times New Roman"/>
      <w:color w:val="000000"/>
      <w:sz w:val="13"/>
      <w:szCs w:val="13"/>
      <w:u w:val="none"/>
    </w:rPr>
  </w:style>
  <w:style w:type="paragraph" w:customStyle="1" w:styleId="131">
    <w:name w:val="Revision"/>
    <w:autoRedefine/>
    <w:hidden/>
    <w:unhideWhenUsed/>
    <w:qFormat/>
    <w:uiPriority w:val="99"/>
    <w:rPr>
      <w:rFonts w:ascii="Times New Roman" w:hAnsi="Times New Roman" w:eastAsia="宋体" w:cs="Times New Roman"/>
      <w:kern w:val="2"/>
      <w:sz w:val="18"/>
      <w:szCs w:val="18"/>
      <w:lang w:val="en-US" w:eastAsia="zh-CN" w:bidi="ar-SA"/>
    </w:rPr>
  </w:style>
  <w:style w:type="paragraph" w:customStyle="1" w:styleId="132">
    <w:name w:val="报告表表格文字"/>
    <w:basedOn w:val="1"/>
    <w:autoRedefine/>
    <w:qFormat/>
    <w:uiPriority w:val="0"/>
    <w:pPr>
      <w:jc w:val="center"/>
    </w:pPr>
    <w:rPr>
      <w:snapToGrid w:val="0"/>
      <w:sz w:val="18"/>
      <w:szCs w:val="20"/>
    </w:rPr>
  </w:style>
  <w:style w:type="paragraph" w:customStyle="1" w:styleId="133">
    <w:name w:val="智汇元正文"/>
    <w:basedOn w:val="1"/>
    <w:next w:val="1"/>
    <w:autoRedefine/>
    <w:qFormat/>
    <w:uiPriority w:val="0"/>
    <w:pPr>
      <w:spacing w:line="300" w:lineRule="auto"/>
      <w:ind w:firstLine="420"/>
      <w:jc w:val="left"/>
    </w:pPr>
  </w:style>
  <w:style w:type="paragraph" w:customStyle="1" w:styleId="134">
    <w:name w:val="智汇元标题1、2"/>
    <w:basedOn w:val="114"/>
    <w:next w:val="1"/>
    <w:autoRedefine/>
    <w:qFormat/>
    <w:uiPriority w:val="0"/>
    <w:pPr>
      <w:autoSpaceDE w:val="0"/>
      <w:autoSpaceDN w:val="0"/>
      <w:adjustRightInd w:val="0"/>
      <w:snapToGrid w:val="0"/>
      <w:ind w:firstLine="0" w:firstLineChars="0"/>
      <w:jc w:val="left"/>
    </w:pPr>
    <w:rPr>
      <w:b/>
      <w:bCs/>
      <w:kern w:val="0"/>
    </w:rPr>
  </w:style>
  <w:style w:type="paragraph" w:customStyle="1" w:styleId="135">
    <w:name w:val="1表格"/>
    <w:basedOn w:val="1"/>
    <w:autoRedefine/>
    <w:qFormat/>
    <w:uiPriority w:val="0"/>
    <w:pPr>
      <w:spacing w:line="240" w:lineRule="exact"/>
    </w:pPr>
    <w:rPr>
      <w:rFonts w:eastAsia="仿宋_GB2312"/>
      <w:sz w:val="18"/>
      <w:szCs w:val="22"/>
    </w:rPr>
  </w:style>
  <w:style w:type="paragraph" w:customStyle="1" w:styleId="136">
    <w:name w:val="LP表格-RED"/>
    <w:autoRedefine/>
    <w:qFormat/>
    <w:uiPriority w:val="99"/>
    <w:pPr>
      <w:jc w:val="center"/>
    </w:pPr>
    <w:rPr>
      <w:rFonts w:ascii="Times New Roman" w:hAnsi="Times New Roman" w:eastAsia="宋体" w:cs="Times New Roman"/>
      <w:kern w:val="2"/>
      <w:sz w:val="18"/>
      <w:szCs w:val="18"/>
      <w:lang w:val="en-US" w:eastAsia="zh-CN" w:bidi="ar-SA"/>
    </w:rPr>
  </w:style>
  <w:style w:type="paragraph" w:customStyle="1" w:styleId="137">
    <w:name w:val="智汇元图头"/>
    <w:basedOn w:val="124"/>
    <w:autoRedefine/>
    <w:qFormat/>
    <w:uiPriority w:val="0"/>
    <w:pPr>
      <w:spacing w:after="120" w:afterLines="50" w:line="240" w:lineRule="auto"/>
    </w:pPr>
    <w:rPr>
      <w:lang w:val="zh-CN"/>
    </w:rPr>
  </w:style>
  <w:style w:type="paragraph" w:customStyle="1" w:styleId="138">
    <w:name w:val="lgy-表格文字"/>
    <w:basedOn w:val="1"/>
    <w:autoRedefine/>
    <w:qFormat/>
    <w:uiPriority w:val="0"/>
    <w:pPr>
      <w:adjustRightInd w:val="0"/>
      <w:snapToGrid w:val="0"/>
      <w:jc w:val="center"/>
    </w:pPr>
    <w:rPr>
      <w:rFonts w:ascii="Times New Roman" w:hAnsi="Times New Roman" w:eastAsia="楷体_GB2312"/>
      <w:bCs/>
      <w:kern w:val="0"/>
      <w:sz w:val="18"/>
      <w:szCs w:val="18"/>
    </w:rPr>
  </w:style>
  <w:style w:type="paragraph" w:customStyle="1" w:styleId="139">
    <w:name w:val="lgy表名"/>
    <w:autoRedefine/>
    <w:qFormat/>
    <w:uiPriority w:val="0"/>
    <w:pPr>
      <w:widowControl w:val="0"/>
      <w:adjustRightInd w:val="0"/>
      <w:snapToGrid w:val="0"/>
      <w:jc w:val="center"/>
    </w:pPr>
    <w:rPr>
      <w:rFonts w:ascii="Times New Roman" w:hAnsi="Times New Roman" w:eastAsia="楷体_GB2312" w:cs="Times New Roman"/>
      <w:b/>
      <w:color w:val="000000"/>
      <w:kern w:val="2"/>
      <w:sz w:val="24"/>
      <w:szCs w:val="21"/>
      <w:lang w:val="en-US" w:eastAsia="zh-CN" w:bidi="ar-SA"/>
    </w:rPr>
  </w:style>
  <w:style w:type="paragraph" w:customStyle="1" w:styleId="140">
    <w:name w:val="0智汇元-7表内文字"/>
    <w:basedOn w:val="1"/>
    <w:autoRedefine/>
    <w:qFormat/>
    <w:uiPriority w:val="0"/>
    <w:pPr>
      <w:widowControl/>
      <w:jc w:val="center"/>
    </w:pPr>
    <w:rPr>
      <w:rFonts w:hint="eastAsia" w:ascii="Times New Roman" w:hAnsi="Times New Roman" w:eastAsia="宋体" w:cs="宋体"/>
      <w:sz w:val="18"/>
      <w:szCs w:val="18"/>
    </w:rPr>
  </w:style>
  <w:style w:type="paragraph" w:customStyle="1" w:styleId="141">
    <w:name w:val="3级标题"/>
    <w:basedOn w:val="61"/>
    <w:autoRedefine/>
    <w:qFormat/>
    <w:uiPriority w:val="0"/>
    <w:pPr>
      <w:numPr>
        <w:ilvl w:val="2"/>
        <w:numId w:val="3"/>
      </w:numPr>
      <w:ind w:firstLineChars="0"/>
      <w:jc w:val="left"/>
    </w:pPr>
    <w:rPr>
      <w:color w:val="000000"/>
      <w:sz w:val="24"/>
      <w:szCs w:val="24"/>
    </w:rPr>
  </w:style>
  <w:style w:type="paragraph" w:customStyle="1" w:styleId="142">
    <w:name w:val="LP表格正文"/>
    <w:qFormat/>
    <w:uiPriority w:val="0"/>
    <w:pPr>
      <w:spacing w:line="240" w:lineRule="exact"/>
      <w:jc w:val="center"/>
    </w:pPr>
    <w:rPr>
      <w:rFonts w:ascii="Times New Roman" w:hAnsi="Times New Roman" w:eastAsia="宋体" w:cs="Times New Roman"/>
      <w:kern w:val="2"/>
      <w:sz w:val="18"/>
      <w:szCs w:val="21"/>
      <w:lang w:val="en-US" w:eastAsia="zh-CN" w:bidi="ar-SA"/>
    </w:rPr>
  </w:style>
  <w:style w:type="paragraph" w:customStyle="1" w:styleId="143">
    <w:name w:val="表内容"/>
    <w:basedOn w:val="1"/>
    <w:qFormat/>
    <w:uiPriority w:val="0"/>
    <w:pPr>
      <w:adjustRightInd w:val="0"/>
      <w:snapToGrid w:val="0"/>
      <w:jc w:val="center"/>
    </w:pPr>
    <w:rPr>
      <w:snapToGrid w:val="0"/>
    </w:rPr>
  </w:style>
  <w:style w:type="paragraph" w:customStyle="1" w:styleId="144">
    <w:name w:val="备注"/>
    <w:basedOn w:val="61"/>
    <w:qFormat/>
    <w:uiPriority w:val="0"/>
    <w:pPr>
      <w:ind w:firstLine="0" w:firstLineChars="0"/>
      <w:jc w:val="left"/>
    </w:pPr>
    <w:rPr>
      <w:color w:val="000000" w:themeColor="text1"/>
      <w:sz w:val="15"/>
      <w:szCs w:val="15"/>
      <w:shd w:val="clear" w:color="auto" w:fill="FFFFFF"/>
      <w14:textFill>
        <w14:solidFill>
          <w14:schemeClr w14:val="tx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4.jpeg"/><Relationship Id="rId34" Type="http://schemas.openxmlformats.org/officeDocument/2006/relationships/image" Target="media/image23.png"/><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png"/><Relationship Id="rId16" Type="http://schemas.openxmlformats.org/officeDocument/2006/relationships/image" Target="media/image5.emf"/><Relationship Id="rId15" Type="http://schemas.openxmlformats.org/officeDocument/2006/relationships/oleObject" Target="embeddings/oleObject5.bin"/><Relationship Id="rId14" Type="http://schemas.openxmlformats.org/officeDocument/2006/relationships/image" Target="media/image4.emf"/><Relationship Id="rId13" Type="http://schemas.openxmlformats.org/officeDocument/2006/relationships/oleObject" Target="embeddings/oleObject4.bin"/><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67</Pages>
  <Words>6068</Words>
  <Characters>6947</Characters>
  <Lines>365</Lines>
  <Paragraphs>102</Paragraphs>
  <TotalTime>0</TotalTime>
  <ScaleCrop>false</ScaleCrop>
  <LinksUpToDate>false</LinksUpToDate>
  <CharactersWithSpaces>7007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2022-10-28T03:41:00Z</dcterms:created>
  <dc:creator>Administrator</dc:creator>
  <cp:lastModifiedBy>洛羽</cp:lastModifiedBy>
  <cp:lastPrinted>2023-02-24T02:35:00Z</cp:lastPrinted>
  <dcterms:modified xsi:type="dcterms:W3CDTF">2025-01-21T08:33:46Z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C4E55F30212E4EC781F0FB0911F6F98B_13</vt:lpwstr>
  </property>
  <property fmtid="{D5CDD505-2E9C-101B-9397-08002B2CF9AE}" pid="4" name="KSOTemplateDocerSaveRecord">
    <vt:lpwstr>eyJoZGlkIjoiM2JjZmM4NmVmMzczZGM5OTk3MWE1MjVjNDQ5ZjcwNWMiLCJ1c2VySWQiOiI0NTU2OTQ3NzkifQ==</vt:lpwstr>
  </property>
</Properties>
</file>